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pPr>
      <w: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t>沙河市</w:t>
      </w:r>
      <w:r>
        <w:rPr>
          <w:rFonts w:hint="eastAsia" w:ascii="方正小标宋简体" w:hAnsi="方正小标宋简体" w:eastAsia="方正小标宋简体" w:cs="方正小标宋简体"/>
          <w:b w:val="0"/>
          <w:bCs/>
          <w:color w:val="000000"/>
          <w:kern w:val="2"/>
          <w:sz w:val="44"/>
          <w:szCs w:val="44"/>
        </w:rPr>
        <w:t>市场监督管理局</w:t>
      </w:r>
    </w:p>
    <w:p>
      <w:pPr>
        <w:pStyle w:val="4"/>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pPr>
      <w: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t>2024年度政府信息公开工作年度报告</w:t>
      </w:r>
    </w:p>
    <w:p>
      <w:pPr>
        <w:pStyle w:val="4"/>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333333"/>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仿宋_GB2312" w:hAnsi="仿宋_GB2312" w:eastAsia="仿宋_GB2312" w:cs="仿宋_GB2312"/>
          <w:color w:val="000000"/>
          <w:spacing w:val="0"/>
          <w:kern w:val="0"/>
          <w:sz w:val="32"/>
          <w:szCs w:val="32"/>
          <w:shd w:val="clear" w:color="auto" w:fill="FFFFFF"/>
          <w:lang w:val="en-US" w:eastAsia="zh-CN" w:bidi="ar-SA"/>
        </w:rPr>
        <w:t>本年度报告依据《中华人民共和国政府信息公开条例》、《中华人民共和国政府信息公开工作年度报告格式》和省、市政务公开工作要求，发布本年度报告，年报中所列数据的统计期限为2024年1月1日至12月31日。如对本报告有任何疑问，请与沙河市市场监督管理局办公室联系，联系电话：0319-8756770。</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pacing w:val="0"/>
          <w:sz w:val="32"/>
          <w:szCs w:val="32"/>
          <w:shd w:val="clear" w:color="auto" w:fill="FFFFFF"/>
          <w:lang w:val="en-US" w:eastAsia="zh-CN" w:bidi="ar-SA"/>
        </w:rPr>
      </w:pPr>
      <w:r>
        <w:rPr>
          <w:rFonts w:hint="eastAsia" w:ascii="黑体" w:hAnsi="黑体" w:eastAsia="黑体" w:cs="黑体"/>
          <w:bCs/>
          <w:color w:val="000000"/>
          <w:spacing w:val="0"/>
          <w:sz w:val="32"/>
          <w:szCs w:val="32"/>
          <w:shd w:val="clear" w:color="auto" w:fill="FFFFFF"/>
          <w:lang w:val="en-US" w:eastAsia="zh-CN" w:bidi="ar-SA"/>
        </w:rPr>
        <w:t>一、总体情况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仿宋_GB2312" w:hAnsi="仿宋_GB2312" w:eastAsia="仿宋_GB2312" w:cs="仿宋_GB2312"/>
          <w:color w:val="000000"/>
          <w:spacing w:val="0"/>
          <w:kern w:val="0"/>
          <w:sz w:val="32"/>
          <w:szCs w:val="32"/>
          <w:shd w:val="clear" w:color="auto" w:fill="FFFFFF"/>
          <w:lang w:val="en-US" w:eastAsia="zh-CN" w:bidi="ar-SA"/>
        </w:rPr>
        <w:t>我局严格按照“公正、公平、便民”的总体原则和“及时、准确”的总体要求，认真贯彻落实《中华人民共和国政府信息公开条例》，并把政府信息公开工作作为建设服务政府、透明政府、阳光政府的重要举措，切实推进了全市政府信息公开工作，围绕各项重点任务，积极督导、推进我市政务公开工作顺利开展，进一步提升了工作质量和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（一）主动公开方面。</w:t>
      </w:r>
      <w:r>
        <w:rPr>
          <w:rFonts w:hint="eastAsia" w:ascii="仿宋_GB2312" w:hAnsi="仿宋_GB2312" w:eastAsia="仿宋_GB2312" w:cs="仿宋_GB2312"/>
          <w:color w:val="000000"/>
          <w:spacing w:val="0"/>
          <w:kern w:val="0"/>
          <w:sz w:val="32"/>
          <w:szCs w:val="32"/>
          <w:shd w:val="clear" w:color="auto" w:fill="FFFFFF"/>
          <w:lang w:val="en-US" w:eastAsia="zh-CN" w:bidi="ar-SA"/>
        </w:rPr>
        <w:t>我局主动公开信息主要包括市场监管部门动态、财政预决算信息、市场监管部门通知公告、行政处罚结果、随机抽查结果和查处情况、服务事项上网办理情况、重点民生工作信息等。信息公开平台包括政府网站、互联网＋监管平台、政务服务网及其他部门网站。</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（二）依申请公开方面。</w:t>
      </w:r>
      <w:r>
        <w:rPr>
          <w:rFonts w:hint="eastAsia" w:ascii="仿宋_GB2312" w:hAnsi="仿宋_GB2312" w:eastAsia="仿宋_GB2312" w:cs="仿宋_GB2312"/>
          <w:color w:val="000000"/>
          <w:spacing w:val="0"/>
          <w:kern w:val="0"/>
          <w:sz w:val="32"/>
          <w:szCs w:val="32"/>
          <w:shd w:val="clear" w:color="auto" w:fill="FFFFFF"/>
          <w:lang w:val="en-US" w:eastAsia="zh-CN" w:bidi="ar-SA"/>
        </w:rPr>
        <w:t>2024年，我局未收到政府信息公开申请。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（三）政府信息管理方面。</w:t>
      </w:r>
      <w:r>
        <w:rPr>
          <w:rFonts w:hint="eastAsia" w:ascii="仿宋_GB2312" w:hAnsi="仿宋_GB2312" w:eastAsia="仿宋_GB2312" w:cs="仿宋_GB2312"/>
          <w:color w:val="000000"/>
          <w:spacing w:val="0"/>
          <w:kern w:val="0"/>
          <w:sz w:val="32"/>
          <w:szCs w:val="32"/>
          <w:shd w:val="clear" w:color="auto" w:fill="FFFFFF"/>
          <w:lang w:val="en-US" w:eastAsia="zh-CN" w:bidi="ar-SA"/>
        </w:rPr>
        <w:t>认真贯彻落实公文公开审查机制,将公文属性源头认定和发布审查嵌入发文流程,有效解决文件公开不到位问题，进一步完善了文件信息公开流程。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（四）政府信息公开平台建设方面。</w:t>
      </w:r>
      <w:r>
        <w:rPr>
          <w:rFonts w:hint="eastAsia" w:ascii="仿宋_GB2312" w:hAnsi="仿宋_GB2312" w:eastAsia="仿宋_GB2312" w:cs="仿宋_GB2312"/>
          <w:color w:val="000000"/>
          <w:spacing w:val="0"/>
          <w:kern w:val="0"/>
          <w:sz w:val="32"/>
          <w:szCs w:val="32"/>
          <w:shd w:val="clear" w:color="auto" w:fill="FFFFFF"/>
          <w:lang w:val="en-US" w:eastAsia="zh-CN" w:bidi="ar-SA"/>
        </w:rPr>
        <w:t>积极推进政府信息公开平台建设，持续强化政务新媒体运维管理,及时转载发布相应政策，保持平台更新。</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textAlignment w:val="auto"/>
        <w:rPr>
          <w:rFonts w:hint="eastAsia" w:ascii="仿宋_GB2312" w:hAnsi="仿宋_GB2312" w:eastAsia="仿宋_GB2312" w:cs="仿宋_GB2312"/>
          <w:color w:val="000000"/>
          <w:spacing w:val="0"/>
          <w:kern w:val="0"/>
          <w:sz w:val="32"/>
          <w:szCs w:val="32"/>
          <w:shd w:val="clear" w:color="auto" w:fill="FFFFFF"/>
          <w:lang w:val="en-US" w:eastAsia="zh-CN" w:bidi="ar-SA"/>
        </w:rPr>
      </w:pPr>
      <w:r>
        <w:rPr>
          <w:rFonts w:hint="eastAsia" w:ascii="楷体" w:hAnsi="楷体" w:eastAsia="楷体" w:cs="楷体"/>
          <w:color w:val="000000"/>
          <w:spacing w:val="0"/>
          <w:kern w:val="0"/>
          <w:sz w:val="32"/>
          <w:szCs w:val="32"/>
          <w:shd w:val="clear" w:color="auto" w:fill="FFFFFF"/>
          <w:lang w:val="en-US" w:eastAsia="zh-CN" w:bidi="ar-SA"/>
        </w:rPr>
        <w:t>（五）强化监督保障方面。</w:t>
      </w:r>
      <w:r>
        <w:rPr>
          <w:rFonts w:hint="eastAsia" w:ascii="仿宋_GB2312" w:hAnsi="仿宋_GB2312" w:eastAsia="仿宋_GB2312" w:cs="仿宋_GB2312"/>
          <w:color w:val="000000"/>
          <w:spacing w:val="0"/>
          <w:kern w:val="0"/>
          <w:sz w:val="32"/>
          <w:szCs w:val="32"/>
          <w:shd w:val="clear" w:color="auto" w:fill="FFFFFF"/>
          <w:lang w:val="en-US" w:eastAsia="zh-CN" w:bidi="ar-SA"/>
        </w:rPr>
        <w:t>按照上级政务公开工作重点任务,梳理形成本单位政务公开工作台账,细化实化责任分工,加强政务新媒体运维管理，确保政务新媒体稳定运行;积极组织我单位各科室负责人参与省政府信息公开法律知识学习问答活动。</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二、主动公开政府信息情况</w:t>
      </w:r>
    </w:p>
    <w:tbl>
      <w:tblPr>
        <w:tblStyle w:val="6"/>
        <w:tblW w:w="9215" w:type="dxa"/>
        <w:jc w:val="center"/>
        <w:tblLayout w:type="fixed"/>
        <w:tblCellMar>
          <w:top w:w="0" w:type="dxa"/>
          <w:left w:w="0" w:type="dxa"/>
          <w:bottom w:w="0" w:type="dxa"/>
          <w:right w:w="0" w:type="dxa"/>
        </w:tblCellMar>
      </w:tblPr>
      <w:tblGrid>
        <w:gridCol w:w="1910"/>
        <w:gridCol w:w="2435"/>
        <w:gridCol w:w="2435"/>
        <w:gridCol w:w="2435"/>
      </w:tblGrid>
      <w:tr>
        <w:tblPrEx>
          <w:tblCellMar>
            <w:top w:w="0" w:type="dxa"/>
            <w:left w:w="0" w:type="dxa"/>
            <w:bottom w:w="0" w:type="dxa"/>
            <w:right w:w="0" w:type="dxa"/>
          </w:tblCellMar>
        </w:tblPrEx>
        <w:trPr>
          <w:trHeight w:val="340" w:hRule="atLeast"/>
          <w:jc w:val="center"/>
        </w:trPr>
        <w:tc>
          <w:tcPr>
            <w:tcW w:w="9215"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第二十条第（一）项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本年</w:t>
            </w:r>
            <w:r>
              <w:rPr>
                <w:rFonts w:hint="eastAsia" w:ascii="宋体" w:hAnsi="宋体" w:cs="宋体"/>
                <w:kern w:val="0"/>
                <w:sz w:val="20"/>
                <w:lang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现行有效件</w:t>
            </w:r>
            <w:r>
              <w:rPr>
                <w:rFonts w:hint="eastAsia" w:ascii="宋体" w:hAnsi="宋体" w:cs="宋体"/>
                <w:kern w:val="0"/>
                <w:sz w:val="20"/>
                <w:lang w:bidi="ar"/>
              </w:rPr>
              <w:t>数</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21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第二十条第（五）项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rPr>
                <w:rFonts w:hint="default" w:eastAsia="宋体"/>
                <w:lang w:val="en-US" w:eastAsia="zh-CN"/>
              </w:rPr>
            </w:pPr>
            <w:r>
              <w:rPr>
                <w:rFonts w:ascii="宋体" w:hAnsi="宋体" w:cs="宋体"/>
                <w:color w:val="000000"/>
                <w:kern w:val="0"/>
                <w:sz w:val="20"/>
                <w:lang w:bidi="ar"/>
              </w:rPr>
              <w:t> </w:t>
            </w:r>
            <w:r>
              <w:rPr>
                <w:rFonts w:hint="eastAsia" w:ascii="宋体" w:hAnsi="宋体" w:cs="宋体"/>
                <w:color w:val="000000"/>
                <w:kern w:val="0"/>
                <w:sz w:val="20"/>
                <w:lang w:val="en-US" w:eastAsia="zh-CN" w:bidi="ar"/>
              </w:rPr>
              <w:t>0</w:t>
            </w:r>
          </w:p>
        </w:tc>
      </w:tr>
      <w:tr>
        <w:tblPrEx>
          <w:tblCellMar>
            <w:top w:w="0" w:type="dxa"/>
            <w:left w:w="0" w:type="dxa"/>
            <w:bottom w:w="0" w:type="dxa"/>
            <w:right w:w="0" w:type="dxa"/>
          </w:tblCellMar>
        </w:tblPrEx>
        <w:trPr>
          <w:trHeight w:val="340" w:hRule="atLeast"/>
          <w:jc w:val="center"/>
        </w:trPr>
        <w:tc>
          <w:tcPr>
            <w:tcW w:w="921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第二十条第（六）项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rPr>
                <w:rFonts w:hint="default" w:eastAsia="等线"/>
                <w:lang w:val="en-US" w:eastAsia="zh-CN"/>
              </w:rPr>
            </w:pPr>
            <w:r>
              <w:rPr>
                <w:rFonts w:hint="eastAsia" w:ascii="宋体" w:hAnsi="宋体" w:cs="宋体"/>
                <w:color w:val="000000"/>
                <w:kern w:val="0"/>
                <w:sz w:val="20"/>
                <w:lang w:bidi="ar"/>
              </w:rPr>
              <w:t>　</w:t>
            </w:r>
            <w:r>
              <w:rPr>
                <w:rFonts w:hint="eastAsia" w:ascii="宋体" w:hAnsi="宋体" w:cs="宋体"/>
                <w:color w:val="000000"/>
                <w:kern w:val="0"/>
                <w:sz w:val="20"/>
                <w:lang w:val="en-US" w:eastAsia="zh-CN" w:bidi="ar"/>
              </w:rPr>
              <w:t>443</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rPr>
                <w:rFonts w:hint="default" w:eastAsia="等线"/>
                <w:lang w:val="en-US" w:eastAsia="zh-CN"/>
              </w:rPr>
            </w:pPr>
            <w:r>
              <w:rPr>
                <w:rFonts w:hint="eastAsia" w:ascii="宋体" w:hAnsi="宋体" w:cs="宋体"/>
                <w:color w:val="000000"/>
                <w:kern w:val="0"/>
                <w:sz w:val="20"/>
                <w:lang w:bidi="ar"/>
              </w:rPr>
              <w:t>　</w:t>
            </w:r>
            <w:r>
              <w:rPr>
                <w:rFonts w:hint="eastAsia" w:ascii="宋体" w:hAnsi="宋体" w:cs="宋体"/>
                <w:color w:val="000000"/>
                <w:kern w:val="0"/>
                <w:sz w:val="20"/>
                <w:lang w:val="en-US" w:eastAsia="zh-CN" w:bidi="ar"/>
              </w:rPr>
              <w:t>32</w:t>
            </w:r>
            <w:bookmarkStart w:id="0" w:name="_GoBack"/>
            <w:bookmarkEnd w:id="0"/>
          </w:p>
        </w:tc>
      </w:tr>
      <w:tr>
        <w:tblPrEx>
          <w:tblCellMar>
            <w:top w:w="0" w:type="dxa"/>
            <w:left w:w="0" w:type="dxa"/>
            <w:bottom w:w="0" w:type="dxa"/>
            <w:right w:w="0" w:type="dxa"/>
          </w:tblCellMar>
        </w:tblPrEx>
        <w:trPr>
          <w:trHeight w:val="340" w:hRule="atLeast"/>
          <w:jc w:val="center"/>
        </w:trPr>
        <w:tc>
          <w:tcPr>
            <w:tcW w:w="921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第二十条第（八）项</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center"/>
              <w:textAlignment w:val="auto"/>
            </w:pPr>
            <w:r>
              <w:rPr>
                <w:rFonts w:hint="eastAsia" w:ascii="宋体" w:hAnsi="宋体" w:cs="宋体"/>
                <w:color w:val="000000"/>
                <w:kern w:val="0"/>
                <w:sz w:val="20"/>
                <w:lang w:bidi="ar"/>
              </w:rPr>
              <w:t>本年收费金额（单位：万元）</w:t>
            </w:r>
          </w:p>
        </w:tc>
      </w:tr>
      <w:tr>
        <w:tblPrEx>
          <w:tblCellMar>
            <w:top w:w="0" w:type="dxa"/>
            <w:left w:w="0" w:type="dxa"/>
            <w:bottom w:w="0" w:type="dxa"/>
            <w:right w:w="0" w:type="dxa"/>
          </w:tblCellMar>
        </w:tblPrEx>
        <w:trPr>
          <w:trHeight w:val="340" w:hRule="atLeast"/>
          <w:jc w:val="center"/>
        </w:trPr>
        <w:tc>
          <w:tcPr>
            <w:tcW w:w="191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jc w:val="left"/>
              <w:textAlignment w:val="auto"/>
            </w:pPr>
            <w:r>
              <w:rPr>
                <w:rFonts w:hint="eastAsia" w:ascii="宋体" w:hAnsi="宋体" w:cs="宋体"/>
                <w:color w:val="000000"/>
                <w:kern w:val="0"/>
                <w:sz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40" w:lineRule="exact"/>
              <w:ind w:firstLine="200" w:firstLineChars="100"/>
              <w:textAlignment w:val="auto"/>
              <w:rPr>
                <w:rFonts w:ascii="宋体"/>
                <w:sz w:val="24"/>
                <w:szCs w:val="24"/>
              </w:rPr>
            </w:pPr>
            <w:r>
              <w:rPr>
                <w:rFonts w:hint="eastAsia" w:ascii="宋体" w:hAnsi="宋体" w:cs="宋体"/>
                <w:color w:val="000000"/>
                <w:kern w:val="0"/>
                <w:sz w:val="20"/>
                <w:lang w:bidi="ar"/>
              </w:rPr>
              <w:t>0</w:t>
            </w:r>
          </w:p>
        </w:tc>
      </w:tr>
    </w:tbl>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三、收到和处理政府信息公开申请情况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（本列数据的勾稽关系为：第一项加第二项之和，等于第三项加第四项之和）</w:t>
            </w:r>
          </w:p>
        </w:tc>
        <w:tc>
          <w:tcPr>
            <w:tcW w:w="5515" w:type="dxa"/>
            <w:gridSpan w:val="7"/>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13"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自然人</w:t>
            </w:r>
          </w:p>
        </w:tc>
        <w:tc>
          <w:tcPr>
            <w:tcW w:w="4007" w:type="dxa"/>
            <w:gridSpan w:val="5"/>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法人或其他组织</w:t>
            </w:r>
          </w:p>
        </w:tc>
        <w:tc>
          <w:tcPr>
            <w:tcW w:w="695"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13"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商业企业</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科研机构</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社会公益组织</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法律服务机构</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其他</w:t>
            </w:r>
          </w:p>
        </w:tc>
        <w:tc>
          <w:tcPr>
            <w:tcW w:w="695"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宋体" w:hAnsi="宋体" w:cs="宋体"/>
                <w:color w:val="000000"/>
                <w:kern w:val="0"/>
                <w:sz w:val="20"/>
                <w:lang w:bidi="ar"/>
              </w:rPr>
              <w:t>一、本年新收政府信息公开申请数量</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宋体" w:hAnsi="宋体" w:cs="宋体"/>
                <w:color w:val="000000"/>
                <w:kern w:val="0"/>
                <w:sz w:val="20"/>
                <w:lang w:bidi="ar"/>
              </w:rPr>
              <w:t>二、上年结转政府信息公开申请数量</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ascii="宋体" w:hAnsi="宋体" w:cs="宋体"/>
                <w:color w:val="000000"/>
                <w:kern w:val="0"/>
                <w:sz w:val="20"/>
                <w:lang w:bidi="ar"/>
              </w:rPr>
              <w:t>三、本年度办理结果</w:t>
            </w: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（一）予以公开</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（二）部分公开（区分处理的，只计这一情形，不计其他情形）</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（三）不予公开</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1.属于国家秘密</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2.其他法律行政法规禁止公开</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eastAsia" w:eastAsia="等线"/>
                <w:color w:val="000000"/>
                <w:lang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3.危及“三安全一稳定”</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4.保护第三方合法权益</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5.属于三类内部事务信息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6.属于四类过程性信息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7.属于行政执法案卷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8.属于行政查询事项</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（四）无法提供</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1.本机关不掌握相关政府信息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eastAsia" w:eastAsia="等线"/>
                <w:color w:val="000000"/>
                <w:lang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eastAsia" w:eastAsia="等线"/>
                <w:color w:val="000000"/>
                <w:lang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2.没有现成信息需要另行制作</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eastAsia" w:eastAsia="等线"/>
                <w:color w:val="000000"/>
                <w:lang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eastAsia" w:eastAsia="等线"/>
                <w:color w:val="000000"/>
                <w:lang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9" w:hRule="atLeast"/>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3.补正后申请内容仍不明确</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rFonts w:ascii="楷体" w:hAnsi="楷体" w:eastAsia="楷体" w:cs="楷体"/>
                <w:color w:val="000000"/>
                <w:kern w:val="0"/>
                <w:sz w:val="20"/>
                <w:lang w:bidi="ar"/>
              </w:rPr>
            </w:pPr>
          </w:p>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（五）不予处理</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1.信访举报投诉类申请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2.重复申请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3.要求提供公开出版物</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4.无正当理由大量反复申请</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854"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5.要求行政机关确认或重新出具已获取信息</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（六）其他处理</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6" w:type="dxa"/>
            <w:vMerge w:val="continue"/>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ascii="宋体"/>
                <w:color w:val="000000"/>
                <w:sz w:val="24"/>
                <w:szCs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楷体" w:hAnsi="楷体" w:eastAsia="楷体" w:cs="楷体"/>
                <w:color w:val="000000"/>
                <w:kern w:val="0"/>
                <w:sz w:val="20"/>
                <w:lang w:bidi="ar"/>
              </w:rPr>
              <w:t>（七）总计</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hint="default" w:eastAsia="等线"/>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6"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left"/>
              <w:textAlignment w:val="auto"/>
              <w:rPr>
                <w:color w:val="000000"/>
              </w:rPr>
            </w:pPr>
            <w:r>
              <w:rPr>
                <w:rFonts w:hint="eastAsia" w:ascii="宋体" w:hAnsi="宋体" w:cs="宋体"/>
                <w:color w:val="000000"/>
                <w:kern w:val="0"/>
                <w:sz w:val="20"/>
                <w:lang w:bidi="ar"/>
              </w:rPr>
              <w:t>四、结转下年度继续办理</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81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973"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711"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color w:val="000000"/>
              </w:rPr>
            </w:pPr>
            <w:r>
              <w:rPr>
                <w:rFonts w:hint="eastAsia"/>
                <w:color w:val="000000"/>
              </w:rPr>
              <w:t>0</w:t>
            </w:r>
          </w:p>
        </w:tc>
        <w:tc>
          <w:tcPr>
            <w:tcW w:w="69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80" w:lineRule="exact"/>
              <w:jc w:val="center"/>
              <w:textAlignment w:val="auto"/>
              <w:rPr>
                <w:rFonts w:ascii="宋体"/>
                <w:color w:val="000000"/>
                <w:sz w:val="24"/>
                <w:szCs w:val="24"/>
              </w:rPr>
            </w:pPr>
            <w:r>
              <w:rPr>
                <w:rFonts w:hint="eastAsia"/>
                <w:color w:val="000000"/>
              </w:rPr>
              <w:t>0</w:t>
            </w:r>
          </w:p>
        </w:tc>
      </w:tr>
    </w:tbl>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textAlignment w:val="auto"/>
              <w:rPr>
                <w:rFonts w:ascii="宋体"/>
                <w:color w:val="000000"/>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textAlignment w:val="auto"/>
              <w:rPr>
                <w:rFonts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textAlignment w:val="auto"/>
              <w:rPr>
                <w:rFonts w:ascii="宋体"/>
                <w:color w:val="000000"/>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textAlignment w:val="auto"/>
              <w:rPr>
                <w:rFonts w:ascii="宋体"/>
                <w:color w:val="000000"/>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textAlignment w:val="auto"/>
              <w:rPr>
                <w:rFonts w:ascii="宋体"/>
                <w:color w:val="000000"/>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ascii="宋体" w:hAnsi="宋体" w:cs="宋体"/>
                <w:color w:val="000000"/>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color w:val="000000"/>
              </w:rPr>
            </w:pPr>
            <w:r>
              <w:rPr>
                <w:rFonts w:hint="eastAsia"/>
                <w:color w:val="000000"/>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rFonts w:hint="eastAsia"/>
                <w:color w:val="000000"/>
              </w:rPr>
            </w:pPr>
            <w:r>
              <w:rPr>
                <w:rFonts w:hint="eastAsia"/>
                <w:color w:val="000000"/>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260" w:lineRule="exact"/>
              <w:jc w:val="center"/>
              <w:textAlignment w:val="auto"/>
              <w:rPr>
                <w:rFonts w:hint="eastAsia"/>
                <w:color w:val="000000"/>
              </w:rPr>
            </w:pPr>
            <w:r>
              <w:rPr>
                <w:rFonts w:hint="eastAsia"/>
                <w:color w:val="000000"/>
              </w:rPr>
              <w:t>0</w:t>
            </w:r>
          </w:p>
        </w:tc>
      </w:tr>
    </w:tbl>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五、存在的主要问题及改进情况</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left="0" w:right="0" w:firstLine="672" w:firstLineChars="200"/>
        <w:jc w:val="both"/>
        <w:textAlignment w:val="auto"/>
        <w:rPr>
          <w:rFonts w:hint="eastAsia" w:ascii="仿宋_GB2312" w:hAnsi="仿宋_GB2312" w:eastAsia="仿宋_GB2312" w:cs="仿宋_GB2312"/>
          <w:color w:val="000000"/>
          <w:spacing w:val="8"/>
          <w:kern w:val="0"/>
          <w:sz w:val="32"/>
          <w:szCs w:val="32"/>
          <w:shd w:val="clear" w:color="auto" w:fill="FFFFFF"/>
          <w:lang w:val="en-US" w:eastAsia="zh-CN" w:bidi="ar-SA"/>
        </w:rPr>
      </w:pPr>
      <w:r>
        <w:rPr>
          <w:rFonts w:hint="eastAsia" w:ascii="仿宋_GB2312" w:hAnsi="仿宋_GB2312" w:eastAsia="仿宋_GB2312" w:cs="仿宋_GB2312"/>
          <w:color w:val="000000"/>
          <w:spacing w:val="8"/>
          <w:kern w:val="0"/>
          <w:sz w:val="32"/>
          <w:szCs w:val="32"/>
          <w:shd w:val="clear" w:color="auto" w:fill="FFFFFF"/>
          <w:lang w:val="en-US" w:eastAsia="zh-CN" w:bidi="ar-SA"/>
        </w:rPr>
        <w:t>存在问题：一是政府信息公开工作的形式有待进一步创新，内容有待进一步充实；二是政府信息公开工作人员队伍需进一步加强，工作人员业务能力亟待提升。</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left="0" w:right="0" w:firstLine="672" w:firstLineChars="200"/>
        <w:jc w:val="both"/>
        <w:textAlignment w:val="auto"/>
        <w:rPr>
          <w:rFonts w:hint="eastAsia" w:ascii="仿宋_GB2312" w:hAnsi="仿宋_GB2312" w:eastAsia="仿宋_GB2312" w:cs="仿宋_GB2312"/>
          <w:color w:val="000000"/>
          <w:spacing w:val="8"/>
          <w:kern w:val="0"/>
          <w:sz w:val="32"/>
          <w:szCs w:val="32"/>
          <w:shd w:val="clear" w:color="auto" w:fill="FFFFFF"/>
          <w:lang w:val="en-US" w:eastAsia="zh-CN" w:bidi="ar-SA"/>
        </w:rPr>
      </w:pPr>
      <w:r>
        <w:rPr>
          <w:rFonts w:hint="eastAsia" w:ascii="仿宋_GB2312" w:hAnsi="仿宋_GB2312" w:eastAsia="仿宋_GB2312" w:cs="仿宋_GB2312"/>
          <w:color w:val="000000"/>
          <w:spacing w:val="8"/>
          <w:kern w:val="0"/>
          <w:sz w:val="32"/>
          <w:szCs w:val="32"/>
          <w:shd w:val="clear" w:color="auto" w:fill="FFFFFF"/>
          <w:lang w:val="en-US" w:eastAsia="zh-CN" w:bidi="ar-SA"/>
        </w:rPr>
        <w:t>改进措施：一是创新工作方式，积极探求政府信息公开方式的多样性，让广大群众得到更加快捷、更加方便的服务。二是加强学习、提高认识、明确责任、强化管理，进一步提高政府信息公开工作水平，提高干部职工对政务信息公开工作的认识。</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0" w:afterAutospacing="0" w:line="500" w:lineRule="exact"/>
        <w:ind w:left="0" w:right="0" w:firstLine="640" w:firstLineChars="200"/>
        <w:jc w:val="both"/>
        <w:textAlignment w:val="auto"/>
        <w:rPr>
          <w:rFonts w:hint="eastAsia" w:ascii="黑体" w:hAnsi="黑体" w:eastAsia="黑体" w:cs="黑体"/>
          <w:bCs/>
          <w:color w:val="000000"/>
          <w:sz w:val="32"/>
          <w:szCs w:val="32"/>
          <w:shd w:val="clear" w:color="auto" w:fill="FFFFFF"/>
          <w:lang w:val="en-US" w:eastAsia="zh-CN" w:bidi="ar-SA"/>
        </w:rPr>
      </w:pPr>
      <w:r>
        <w:rPr>
          <w:rFonts w:hint="eastAsia" w:ascii="黑体" w:hAnsi="黑体" w:eastAsia="黑体" w:cs="黑体"/>
          <w:bCs/>
          <w:color w:val="000000"/>
          <w:sz w:val="32"/>
          <w:szCs w:val="32"/>
          <w:shd w:val="clear" w:color="auto" w:fill="FFFFFF"/>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72" w:firstLineChars="200"/>
        <w:jc w:val="left"/>
        <w:textAlignment w:val="auto"/>
      </w:pPr>
      <w:r>
        <w:rPr>
          <w:rFonts w:hint="eastAsia" w:ascii="仿宋_GB2312" w:hAnsi="仿宋_GB2312" w:eastAsia="仿宋_GB2312" w:cs="仿宋_GB2312"/>
          <w:color w:val="000000"/>
          <w:spacing w:val="8"/>
          <w:kern w:val="0"/>
          <w:sz w:val="32"/>
          <w:szCs w:val="32"/>
          <w:shd w:val="clear" w:color="auto" w:fill="FFFFFF"/>
          <w:lang w:val="en-US" w:eastAsia="zh-CN" w:bidi="ar-SA"/>
        </w:rPr>
        <w:t>认真贯彻执行国务院办公厅《政府信息公开信息处理费管理办法》和《关于政府信息公开处理费管理有关事项的通知》。2024年,我局没有收取信息处理费。无其他需要报告事项。</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OTcwMDNkMWNmYTBjNGU0MDY2YTg5MGU4MjAyOWUifQ=="/>
  </w:docVars>
  <w:rsids>
    <w:rsidRoot w:val="00000000"/>
    <w:rsid w:val="00847DE1"/>
    <w:rsid w:val="00ED5986"/>
    <w:rsid w:val="01934780"/>
    <w:rsid w:val="030A6CC4"/>
    <w:rsid w:val="031407B1"/>
    <w:rsid w:val="03A82039"/>
    <w:rsid w:val="04531FA4"/>
    <w:rsid w:val="05137986"/>
    <w:rsid w:val="05B13426"/>
    <w:rsid w:val="05D13AC9"/>
    <w:rsid w:val="064C75F3"/>
    <w:rsid w:val="07AA637F"/>
    <w:rsid w:val="082D0D5E"/>
    <w:rsid w:val="083B791F"/>
    <w:rsid w:val="08AD5B44"/>
    <w:rsid w:val="08EE04EE"/>
    <w:rsid w:val="0A636597"/>
    <w:rsid w:val="0AD55E09"/>
    <w:rsid w:val="0B41275B"/>
    <w:rsid w:val="0B8B1A92"/>
    <w:rsid w:val="0BAD643E"/>
    <w:rsid w:val="0D6C40D7"/>
    <w:rsid w:val="0DDF2AFB"/>
    <w:rsid w:val="0E130AAD"/>
    <w:rsid w:val="0E571C5A"/>
    <w:rsid w:val="0E884F40"/>
    <w:rsid w:val="0FD4052B"/>
    <w:rsid w:val="112B06EC"/>
    <w:rsid w:val="11473D3D"/>
    <w:rsid w:val="12415B32"/>
    <w:rsid w:val="131C20FB"/>
    <w:rsid w:val="16BE59A3"/>
    <w:rsid w:val="17946704"/>
    <w:rsid w:val="18335F1D"/>
    <w:rsid w:val="193261D5"/>
    <w:rsid w:val="19CA665C"/>
    <w:rsid w:val="1A385A6D"/>
    <w:rsid w:val="1A6B49C1"/>
    <w:rsid w:val="1B570174"/>
    <w:rsid w:val="1B7A1CFF"/>
    <w:rsid w:val="1E0C793C"/>
    <w:rsid w:val="213F5933"/>
    <w:rsid w:val="215869F4"/>
    <w:rsid w:val="21E64000"/>
    <w:rsid w:val="22264BFB"/>
    <w:rsid w:val="226D4721"/>
    <w:rsid w:val="22C407E5"/>
    <w:rsid w:val="22FA5B26"/>
    <w:rsid w:val="23502079"/>
    <w:rsid w:val="23A7558E"/>
    <w:rsid w:val="23DF33FD"/>
    <w:rsid w:val="245F009A"/>
    <w:rsid w:val="248C70E1"/>
    <w:rsid w:val="25D9601A"/>
    <w:rsid w:val="27430538"/>
    <w:rsid w:val="27846795"/>
    <w:rsid w:val="27910BBC"/>
    <w:rsid w:val="27AB2CDF"/>
    <w:rsid w:val="29BB5D72"/>
    <w:rsid w:val="2A273408"/>
    <w:rsid w:val="2BEE242F"/>
    <w:rsid w:val="2C9F3729"/>
    <w:rsid w:val="2CDD56D3"/>
    <w:rsid w:val="2CFC0B7C"/>
    <w:rsid w:val="2D3E1194"/>
    <w:rsid w:val="2E156399"/>
    <w:rsid w:val="2E9A4997"/>
    <w:rsid w:val="2F7566A8"/>
    <w:rsid w:val="2FF80CF7"/>
    <w:rsid w:val="304E5B92"/>
    <w:rsid w:val="32E7407C"/>
    <w:rsid w:val="335B4EBC"/>
    <w:rsid w:val="34475066"/>
    <w:rsid w:val="36E20DE2"/>
    <w:rsid w:val="39875C71"/>
    <w:rsid w:val="3A540249"/>
    <w:rsid w:val="3D8F586E"/>
    <w:rsid w:val="3FA72BC9"/>
    <w:rsid w:val="41011D8C"/>
    <w:rsid w:val="41265D6F"/>
    <w:rsid w:val="412A0DFF"/>
    <w:rsid w:val="42E95CA2"/>
    <w:rsid w:val="433C7ACC"/>
    <w:rsid w:val="44550E45"/>
    <w:rsid w:val="454B3FF6"/>
    <w:rsid w:val="455358BB"/>
    <w:rsid w:val="45C85647"/>
    <w:rsid w:val="482A25E9"/>
    <w:rsid w:val="4970227E"/>
    <w:rsid w:val="4986621D"/>
    <w:rsid w:val="4A235542"/>
    <w:rsid w:val="4D333CEE"/>
    <w:rsid w:val="4DC00BCF"/>
    <w:rsid w:val="4DF16326"/>
    <w:rsid w:val="4FE662FB"/>
    <w:rsid w:val="4FEE03A0"/>
    <w:rsid w:val="50AC0097"/>
    <w:rsid w:val="51D81308"/>
    <w:rsid w:val="51E62B80"/>
    <w:rsid w:val="51FF0643"/>
    <w:rsid w:val="52AF5983"/>
    <w:rsid w:val="53C90F08"/>
    <w:rsid w:val="5438608E"/>
    <w:rsid w:val="549C661D"/>
    <w:rsid w:val="55061CE8"/>
    <w:rsid w:val="554B78D9"/>
    <w:rsid w:val="557430F6"/>
    <w:rsid w:val="562B5EAA"/>
    <w:rsid w:val="579730CB"/>
    <w:rsid w:val="57F30C49"/>
    <w:rsid w:val="58BC103B"/>
    <w:rsid w:val="58E4040A"/>
    <w:rsid w:val="58F50A40"/>
    <w:rsid w:val="5B5A0DBD"/>
    <w:rsid w:val="5C6D4CE1"/>
    <w:rsid w:val="5CCE758F"/>
    <w:rsid w:val="5D5E2B42"/>
    <w:rsid w:val="5F1F650F"/>
    <w:rsid w:val="5F5228A6"/>
    <w:rsid w:val="5FAB3BB8"/>
    <w:rsid w:val="6007410A"/>
    <w:rsid w:val="60367925"/>
    <w:rsid w:val="60487659"/>
    <w:rsid w:val="60854409"/>
    <w:rsid w:val="60995CEB"/>
    <w:rsid w:val="61C202FC"/>
    <w:rsid w:val="62685D90"/>
    <w:rsid w:val="62A80AEC"/>
    <w:rsid w:val="638B61DA"/>
    <w:rsid w:val="639A3A4D"/>
    <w:rsid w:val="64AF782A"/>
    <w:rsid w:val="64CD7042"/>
    <w:rsid w:val="68B12E00"/>
    <w:rsid w:val="68CD129C"/>
    <w:rsid w:val="68D131F3"/>
    <w:rsid w:val="695D23C7"/>
    <w:rsid w:val="6AE85CC0"/>
    <w:rsid w:val="6BF67CD7"/>
    <w:rsid w:val="6CA63567"/>
    <w:rsid w:val="6E4476B1"/>
    <w:rsid w:val="72987FCC"/>
    <w:rsid w:val="73306456"/>
    <w:rsid w:val="73F2195D"/>
    <w:rsid w:val="74EC45FF"/>
    <w:rsid w:val="75596138"/>
    <w:rsid w:val="77903967"/>
    <w:rsid w:val="79075EAB"/>
    <w:rsid w:val="791800B8"/>
    <w:rsid w:val="7B656EB9"/>
    <w:rsid w:val="7BB5399C"/>
    <w:rsid w:val="7E1150D6"/>
    <w:rsid w:val="7E47092B"/>
    <w:rsid w:val="7E5F5E41"/>
    <w:rsid w:val="7EFB200E"/>
    <w:rsid w:val="7F4D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560" w:lineRule="exact"/>
      <w:ind w:firstLine="739" w:firstLineChars="231"/>
    </w:pPr>
    <w:rPr>
      <w:rFonts w:ascii="Times New Roman" w:hAnsi="Times New Roman" w:eastAsia="仿宋_GB2312" w:cs="Times New Roman"/>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1383</Words>
  <Characters>1437</Characters>
  <Lines>0</Lines>
  <Paragraphs>0</Paragraphs>
  <TotalTime>1</TotalTime>
  <ScaleCrop>false</ScaleCrop>
  <LinksUpToDate>false</LinksUpToDate>
  <CharactersWithSpaces>1450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不二臣</cp:lastModifiedBy>
  <cp:lastPrinted>2025-01-15T06:36:00Z</cp:lastPrinted>
  <dcterms:modified xsi:type="dcterms:W3CDTF">2025-02-14T00:45:08Z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1DE2E1E26A204343B9BDB4BA65C7924C</vt:lpwstr>
  </property>
  <property fmtid="{D5CDD505-2E9C-101B-9397-08002B2CF9AE}" pid="4" name="KSOTemplateDocerSaveRecord">
    <vt:lpwstr>eyJoZGlkIjoiM2NlMTgyOGNjMDcxMDExZTMzODViNzVhZTEyY2YxYjkiLCJ1c2VySWQiOiI2NDU1NzE2NTcifQ==</vt:lpwstr>
  </property>
</Properties>
</file>