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eastAsia="方正小标宋_GBK" w:cs="方正小标宋_GBK" w:asciiTheme="minorHAnsi" w:hAnsiTheme="minorHAnsi"/>
          <w:color w:val="000000"/>
          <w:sz w:val="44"/>
          <w:lang w:val="uk-UA"/>
        </w:rPr>
      </w:pPr>
      <w:bookmarkStart w:id="1" w:name="_GoBack"/>
      <w:bookmarkEnd w:id="1"/>
      <w:bookmarkStart w:id="0" w:name="_Toc_4_4_0000000001"/>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pStyle w:val="27"/>
        <w:spacing w:before="0" w:after="0"/>
        <w:rPr>
          <w:sz w:val="56"/>
        </w:rPr>
      </w:pPr>
      <w:r>
        <w:rPr>
          <w:sz w:val="56"/>
        </w:rPr>
        <w:t>沙河市应急管理局</w:t>
      </w:r>
      <w:r>
        <w:rPr>
          <w:rFonts w:hint="eastAsia"/>
          <w:sz w:val="56"/>
        </w:rPr>
        <w:t>本级</w:t>
      </w:r>
    </w:p>
    <w:p>
      <w:pPr>
        <w:pStyle w:val="27"/>
        <w:spacing w:before="0" w:after="0"/>
        <w:rPr>
          <w:sz w:val="48"/>
        </w:rPr>
      </w:pPr>
      <w:r>
        <w:rPr>
          <w:rFonts w:hint="eastAsia"/>
          <w:sz w:val="48"/>
        </w:rPr>
        <w:t>预算代码：1</w:t>
      </w:r>
      <w:r>
        <w:rPr>
          <w:sz w:val="48"/>
        </w:rPr>
        <w:t>18001</w:t>
      </w:r>
    </w:p>
    <w:p>
      <w:pPr>
        <w:pStyle w:val="27"/>
        <w:spacing w:before="0" w:after="0"/>
        <w:rPr>
          <w:b/>
          <w:bCs/>
        </w:rPr>
      </w:pPr>
      <w:r>
        <w:rPr>
          <w:b/>
          <w:bCs/>
        </w:rPr>
        <w:t>2024年度</w:t>
      </w:r>
      <w:r>
        <w:rPr>
          <w:rFonts w:hint="eastAsia"/>
          <w:b/>
          <w:bCs/>
        </w:rPr>
        <w:t>单位预算</w:t>
      </w:r>
      <w:r>
        <w:rPr>
          <w:b/>
          <w:bCs/>
        </w:rPr>
        <w:t>公开</w:t>
      </w: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rPr>
          <w:rFonts w:eastAsia="方正小标宋_GBK" w:cs="方正小标宋_GBK" w:asciiTheme="minorHAnsi" w:hAnsiTheme="minorHAnsi"/>
          <w:color w:val="000000"/>
          <w:sz w:val="44"/>
          <w:lang w:val="uk-UA"/>
        </w:rPr>
      </w:pPr>
    </w:p>
    <w:p>
      <w:pPr>
        <w:jc w:val="center"/>
        <w:outlineLvl w:val="3"/>
      </w:pPr>
      <w:r>
        <w:rPr>
          <w:rFonts w:ascii="方正小标宋_GBK" w:hAnsi="方正小标宋_GBK" w:eastAsia="方正小标宋_GBK" w:cs="方正小标宋_GBK"/>
          <w:color w:val="000000"/>
          <w:sz w:val="44"/>
        </w:rPr>
        <w:t>一、沙河市应急管理局本级收支预算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118001沙河市应急管理局本级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2742.08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2651.61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2742.08</w:t>
            </w:r>
          </w:p>
        </w:tc>
        <w:tc>
          <w:tcPr>
            <w:tcW w:w="4535" w:type="dxa"/>
            <w:vAlign w:val="center"/>
          </w:tcPr>
          <w:p>
            <w:pPr>
              <w:pStyle w:val="16"/>
            </w:pPr>
            <w:r>
              <w:t>本年支出合计</w:t>
            </w:r>
          </w:p>
        </w:tc>
        <w:tc>
          <w:tcPr>
            <w:tcW w:w="2126" w:type="dxa"/>
            <w:vAlign w:val="center"/>
          </w:tcPr>
          <w:p>
            <w:pPr>
              <w:pStyle w:val="17"/>
            </w:pPr>
            <w:r>
              <w:t>2761.68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19.60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2761.68</w:t>
            </w:r>
          </w:p>
        </w:tc>
        <w:tc>
          <w:tcPr>
            <w:tcW w:w="4535" w:type="dxa"/>
            <w:vAlign w:val="center"/>
          </w:tcPr>
          <w:p>
            <w:pPr>
              <w:pStyle w:val="16"/>
            </w:pPr>
            <w:r>
              <w:t>支出总计</w:t>
            </w:r>
          </w:p>
        </w:tc>
        <w:tc>
          <w:tcPr>
            <w:tcW w:w="2126" w:type="dxa"/>
            <w:vAlign w:val="center"/>
          </w:tcPr>
          <w:p>
            <w:pPr>
              <w:pStyle w:val="17"/>
            </w:pPr>
            <w:r>
              <w:t>2761.68</w:t>
            </w:r>
          </w:p>
        </w:tc>
      </w:tr>
    </w:tbl>
    <w:p>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118001沙河市应急管理局本级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2761.68</w:t>
            </w:r>
          </w:p>
        </w:tc>
        <w:tc>
          <w:tcPr>
            <w:tcW w:w="1134" w:type="dxa"/>
            <w:vAlign w:val="center"/>
          </w:tcPr>
          <w:p>
            <w:pPr>
              <w:pStyle w:val="17"/>
            </w:pPr>
            <w:r>
              <w:t>2742.08</w:t>
            </w:r>
          </w:p>
        </w:tc>
        <w:tc>
          <w:tcPr>
            <w:tcW w:w="1134" w:type="dxa"/>
            <w:vAlign w:val="center"/>
          </w:tcPr>
          <w:p>
            <w:pPr>
              <w:pStyle w:val="17"/>
            </w:pPr>
            <w:r>
              <w:t>2742.08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46.83</w:t>
            </w:r>
          </w:p>
        </w:tc>
        <w:tc>
          <w:tcPr>
            <w:tcW w:w="1134" w:type="dxa"/>
            <w:vAlign w:val="center"/>
          </w:tcPr>
          <w:p>
            <w:pPr>
              <w:pStyle w:val="13"/>
            </w:pPr>
            <w:r>
              <w:t>46.83</w:t>
            </w:r>
          </w:p>
        </w:tc>
        <w:tc>
          <w:tcPr>
            <w:tcW w:w="1134" w:type="dxa"/>
            <w:vAlign w:val="center"/>
          </w:tcPr>
          <w:p>
            <w:pPr>
              <w:pStyle w:val="13"/>
            </w:pPr>
            <w:r>
              <w:t>46.83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46.83</w:t>
            </w:r>
          </w:p>
        </w:tc>
        <w:tc>
          <w:tcPr>
            <w:tcW w:w="1134" w:type="dxa"/>
            <w:vAlign w:val="center"/>
          </w:tcPr>
          <w:p>
            <w:pPr>
              <w:pStyle w:val="13"/>
            </w:pPr>
            <w:r>
              <w:t>46.83</w:t>
            </w:r>
          </w:p>
        </w:tc>
        <w:tc>
          <w:tcPr>
            <w:tcW w:w="1134" w:type="dxa"/>
            <w:vAlign w:val="center"/>
          </w:tcPr>
          <w:p>
            <w:pPr>
              <w:pStyle w:val="13"/>
            </w:pPr>
            <w:r>
              <w:t>46.83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46.83</w:t>
            </w:r>
          </w:p>
        </w:tc>
        <w:tc>
          <w:tcPr>
            <w:tcW w:w="1134" w:type="dxa"/>
            <w:vAlign w:val="center"/>
          </w:tcPr>
          <w:p>
            <w:pPr>
              <w:pStyle w:val="13"/>
            </w:pPr>
            <w:r>
              <w:t>46.83</w:t>
            </w:r>
          </w:p>
        </w:tc>
        <w:tc>
          <w:tcPr>
            <w:tcW w:w="1134" w:type="dxa"/>
            <w:vAlign w:val="center"/>
          </w:tcPr>
          <w:p>
            <w:pPr>
              <w:pStyle w:val="13"/>
            </w:pPr>
            <w:r>
              <w:t>46.83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40.42</w:t>
            </w:r>
          </w:p>
        </w:tc>
        <w:tc>
          <w:tcPr>
            <w:tcW w:w="1134" w:type="dxa"/>
            <w:vAlign w:val="center"/>
          </w:tcPr>
          <w:p>
            <w:pPr>
              <w:pStyle w:val="13"/>
            </w:pPr>
            <w:r>
              <w:t>40.42</w:t>
            </w:r>
          </w:p>
        </w:tc>
        <w:tc>
          <w:tcPr>
            <w:tcW w:w="1134" w:type="dxa"/>
            <w:vAlign w:val="center"/>
          </w:tcPr>
          <w:p>
            <w:pPr>
              <w:pStyle w:val="13"/>
            </w:pPr>
            <w:r>
              <w:t>40.42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40.42</w:t>
            </w:r>
          </w:p>
        </w:tc>
        <w:tc>
          <w:tcPr>
            <w:tcW w:w="1134" w:type="dxa"/>
            <w:vAlign w:val="center"/>
          </w:tcPr>
          <w:p>
            <w:pPr>
              <w:pStyle w:val="13"/>
            </w:pPr>
            <w:r>
              <w:t>40.42</w:t>
            </w:r>
          </w:p>
        </w:tc>
        <w:tc>
          <w:tcPr>
            <w:tcW w:w="1134" w:type="dxa"/>
            <w:vAlign w:val="center"/>
          </w:tcPr>
          <w:p>
            <w:pPr>
              <w:pStyle w:val="13"/>
            </w:pPr>
            <w:r>
              <w:t>40.42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40.42</w:t>
            </w:r>
          </w:p>
        </w:tc>
        <w:tc>
          <w:tcPr>
            <w:tcW w:w="1134" w:type="dxa"/>
            <w:vAlign w:val="center"/>
          </w:tcPr>
          <w:p>
            <w:pPr>
              <w:pStyle w:val="13"/>
            </w:pPr>
            <w:r>
              <w:t>40.42</w:t>
            </w:r>
          </w:p>
        </w:tc>
        <w:tc>
          <w:tcPr>
            <w:tcW w:w="1134" w:type="dxa"/>
            <w:vAlign w:val="center"/>
          </w:tcPr>
          <w:p>
            <w:pPr>
              <w:pStyle w:val="13"/>
            </w:pPr>
            <w:r>
              <w:t>40.42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2651.61</w:t>
            </w:r>
          </w:p>
        </w:tc>
        <w:tc>
          <w:tcPr>
            <w:tcW w:w="1134" w:type="dxa"/>
            <w:vAlign w:val="center"/>
          </w:tcPr>
          <w:p>
            <w:pPr>
              <w:pStyle w:val="13"/>
            </w:pPr>
            <w:r>
              <w:t>2632.01</w:t>
            </w:r>
          </w:p>
        </w:tc>
        <w:tc>
          <w:tcPr>
            <w:tcW w:w="1134" w:type="dxa"/>
            <w:vAlign w:val="center"/>
          </w:tcPr>
          <w:p>
            <w:pPr>
              <w:pStyle w:val="13"/>
            </w:pPr>
            <w:r>
              <w:t>2632.01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1878.53</w:t>
            </w:r>
          </w:p>
        </w:tc>
        <w:tc>
          <w:tcPr>
            <w:tcW w:w="1134" w:type="dxa"/>
            <w:vAlign w:val="center"/>
          </w:tcPr>
          <w:p>
            <w:pPr>
              <w:pStyle w:val="13"/>
            </w:pPr>
            <w:r>
              <w:t>1878.53</w:t>
            </w:r>
          </w:p>
        </w:tc>
        <w:tc>
          <w:tcPr>
            <w:tcW w:w="1134" w:type="dxa"/>
            <w:vAlign w:val="center"/>
          </w:tcPr>
          <w:p>
            <w:pPr>
              <w:pStyle w:val="13"/>
            </w:pPr>
            <w:r>
              <w:t>1878.53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2240101</w:t>
            </w:r>
          </w:p>
        </w:tc>
        <w:tc>
          <w:tcPr>
            <w:tcW w:w="1559" w:type="dxa"/>
            <w:vAlign w:val="center"/>
          </w:tcPr>
          <w:p>
            <w:pPr>
              <w:pStyle w:val="14"/>
            </w:pPr>
            <w:r>
              <w:t>行政运行</w:t>
            </w:r>
          </w:p>
        </w:tc>
        <w:tc>
          <w:tcPr>
            <w:tcW w:w="1134" w:type="dxa"/>
            <w:vAlign w:val="center"/>
          </w:tcPr>
          <w:p>
            <w:pPr>
              <w:pStyle w:val="13"/>
            </w:pPr>
            <w:r>
              <w:t>1693.86</w:t>
            </w:r>
          </w:p>
        </w:tc>
        <w:tc>
          <w:tcPr>
            <w:tcW w:w="1134" w:type="dxa"/>
            <w:vAlign w:val="center"/>
          </w:tcPr>
          <w:p>
            <w:pPr>
              <w:pStyle w:val="13"/>
            </w:pPr>
            <w:r>
              <w:t>1693.86</w:t>
            </w:r>
          </w:p>
        </w:tc>
        <w:tc>
          <w:tcPr>
            <w:tcW w:w="1134" w:type="dxa"/>
            <w:vAlign w:val="center"/>
          </w:tcPr>
          <w:p>
            <w:pPr>
              <w:pStyle w:val="13"/>
            </w:pPr>
            <w:r>
              <w:t>1693.86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2240199</w:t>
            </w:r>
          </w:p>
        </w:tc>
        <w:tc>
          <w:tcPr>
            <w:tcW w:w="1559" w:type="dxa"/>
            <w:vAlign w:val="center"/>
          </w:tcPr>
          <w:p>
            <w:pPr>
              <w:pStyle w:val="14"/>
            </w:pPr>
            <w:r>
              <w:t>其他应急管理支出</w:t>
            </w:r>
          </w:p>
        </w:tc>
        <w:tc>
          <w:tcPr>
            <w:tcW w:w="1134" w:type="dxa"/>
            <w:vAlign w:val="center"/>
          </w:tcPr>
          <w:p>
            <w:pPr>
              <w:pStyle w:val="13"/>
            </w:pPr>
            <w:r>
              <w:t>184.67</w:t>
            </w:r>
          </w:p>
        </w:tc>
        <w:tc>
          <w:tcPr>
            <w:tcW w:w="1134" w:type="dxa"/>
            <w:vAlign w:val="center"/>
          </w:tcPr>
          <w:p>
            <w:pPr>
              <w:pStyle w:val="13"/>
            </w:pPr>
            <w:r>
              <w:t>184.67</w:t>
            </w:r>
          </w:p>
        </w:tc>
        <w:tc>
          <w:tcPr>
            <w:tcW w:w="1134" w:type="dxa"/>
            <w:vAlign w:val="center"/>
          </w:tcPr>
          <w:p>
            <w:pPr>
              <w:pStyle w:val="13"/>
            </w:pPr>
            <w:r>
              <w:t>184.67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22404</w:t>
            </w:r>
          </w:p>
        </w:tc>
        <w:tc>
          <w:tcPr>
            <w:tcW w:w="1559" w:type="dxa"/>
            <w:vAlign w:val="center"/>
          </w:tcPr>
          <w:p>
            <w:pPr>
              <w:pStyle w:val="14"/>
            </w:pPr>
            <w:r>
              <w:t>矿山安全</w:t>
            </w:r>
          </w:p>
        </w:tc>
        <w:tc>
          <w:tcPr>
            <w:tcW w:w="1134" w:type="dxa"/>
            <w:vAlign w:val="center"/>
          </w:tcPr>
          <w:p>
            <w:pPr>
              <w:pStyle w:val="13"/>
            </w:pPr>
            <w:r>
              <w:t>688.69</w:t>
            </w:r>
          </w:p>
        </w:tc>
        <w:tc>
          <w:tcPr>
            <w:tcW w:w="1134" w:type="dxa"/>
            <w:vAlign w:val="center"/>
          </w:tcPr>
          <w:p>
            <w:pPr>
              <w:pStyle w:val="13"/>
            </w:pPr>
            <w:r>
              <w:t>688.69</w:t>
            </w:r>
          </w:p>
        </w:tc>
        <w:tc>
          <w:tcPr>
            <w:tcW w:w="1134" w:type="dxa"/>
            <w:vAlign w:val="center"/>
          </w:tcPr>
          <w:p>
            <w:pPr>
              <w:pStyle w:val="13"/>
            </w:pPr>
            <w:r>
              <w:t>688.69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2240404</w:t>
            </w:r>
          </w:p>
        </w:tc>
        <w:tc>
          <w:tcPr>
            <w:tcW w:w="1559" w:type="dxa"/>
            <w:vAlign w:val="center"/>
          </w:tcPr>
          <w:p>
            <w:pPr>
              <w:pStyle w:val="14"/>
            </w:pPr>
            <w:r>
              <w:t>矿山安全监察事务</w:t>
            </w:r>
          </w:p>
        </w:tc>
        <w:tc>
          <w:tcPr>
            <w:tcW w:w="1134" w:type="dxa"/>
            <w:vAlign w:val="center"/>
          </w:tcPr>
          <w:p>
            <w:pPr>
              <w:pStyle w:val="13"/>
            </w:pPr>
            <w:r>
              <w:t>47.06</w:t>
            </w:r>
          </w:p>
        </w:tc>
        <w:tc>
          <w:tcPr>
            <w:tcW w:w="1134" w:type="dxa"/>
            <w:vAlign w:val="center"/>
          </w:tcPr>
          <w:p>
            <w:pPr>
              <w:pStyle w:val="13"/>
            </w:pPr>
            <w:r>
              <w:t>47.06</w:t>
            </w:r>
          </w:p>
        </w:tc>
        <w:tc>
          <w:tcPr>
            <w:tcW w:w="1134" w:type="dxa"/>
            <w:vAlign w:val="center"/>
          </w:tcPr>
          <w:p>
            <w:pPr>
              <w:pStyle w:val="13"/>
            </w:pPr>
            <w:r>
              <w:t>47.06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2240499</w:t>
            </w:r>
          </w:p>
        </w:tc>
        <w:tc>
          <w:tcPr>
            <w:tcW w:w="1559" w:type="dxa"/>
            <w:vAlign w:val="center"/>
          </w:tcPr>
          <w:p>
            <w:pPr>
              <w:pStyle w:val="14"/>
            </w:pPr>
            <w:r>
              <w:t>其他矿山安全支出</w:t>
            </w:r>
          </w:p>
        </w:tc>
        <w:tc>
          <w:tcPr>
            <w:tcW w:w="1134" w:type="dxa"/>
            <w:vAlign w:val="center"/>
          </w:tcPr>
          <w:p>
            <w:pPr>
              <w:pStyle w:val="13"/>
            </w:pPr>
            <w:r>
              <w:t>641.63</w:t>
            </w:r>
          </w:p>
        </w:tc>
        <w:tc>
          <w:tcPr>
            <w:tcW w:w="1134" w:type="dxa"/>
            <w:vAlign w:val="center"/>
          </w:tcPr>
          <w:p>
            <w:pPr>
              <w:pStyle w:val="13"/>
            </w:pPr>
            <w:r>
              <w:t>641.63</w:t>
            </w:r>
          </w:p>
        </w:tc>
        <w:tc>
          <w:tcPr>
            <w:tcW w:w="1134" w:type="dxa"/>
            <w:vAlign w:val="center"/>
          </w:tcPr>
          <w:p>
            <w:pPr>
              <w:pStyle w:val="13"/>
            </w:pPr>
            <w:r>
              <w:t>641.63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22407</w:t>
            </w:r>
          </w:p>
        </w:tc>
        <w:tc>
          <w:tcPr>
            <w:tcW w:w="1559" w:type="dxa"/>
            <w:vAlign w:val="center"/>
          </w:tcPr>
          <w:p>
            <w:pPr>
              <w:pStyle w:val="14"/>
            </w:pPr>
            <w:r>
              <w:t>自然灾害救灾及恢复重建支出</w:t>
            </w:r>
          </w:p>
        </w:tc>
        <w:tc>
          <w:tcPr>
            <w:tcW w:w="1134" w:type="dxa"/>
            <w:vAlign w:val="center"/>
          </w:tcPr>
          <w:p>
            <w:pPr>
              <w:pStyle w:val="13"/>
            </w:pPr>
            <w:r>
              <w:t>84.39</w:t>
            </w:r>
          </w:p>
        </w:tc>
        <w:tc>
          <w:tcPr>
            <w:tcW w:w="1134" w:type="dxa"/>
            <w:vAlign w:val="center"/>
          </w:tcPr>
          <w:p>
            <w:pPr>
              <w:pStyle w:val="13"/>
            </w:pPr>
            <w:r>
              <w:t>64.79</w:t>
            </w:r>
          </w:p>
        </w:tc>
        <w:tc>
          <w:tcPr>
            <w:tcW w:w="1134" w:type="dxa"/>
            <w:vAlign w:val="center"/>
          </w:tcPr>
          <w:p>
            <w:pPr>
              <w:pStyle w:val="13"/>
            </w:pPr>
            <w:r>
              <w:t>64.79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2240703</w:t>
            </w:r>
          </w:p>
        </w:tc>
        <w:tc>
          <w:tcPr>
            <w:tcW w:w="1559" w:type="dxa"/>
            <w:vAlign w:val="center"/>
          </w:tcPr>
          <w:p>
            <w:pPr>
              <w:pStyle w:val="14"/>
            </w:pPr>
            <w:r>
              <w:t>自然灾害救灾补助</w:t>
            </w:r>
          </w:p>
        </w:tc>
        <w:tc>
          <w:tcPr>
            <w:tcW w:w="1134" w:type="dxa"/>
            <w:vAlign w:val="center"/>
          </w:tcPr>
          <w:p>
            <w:pPr>
              <w:pStyle w:val="13"/>
            </w:pPr>
            <w:r>
              <w:t>84.39</w:t>
            </w:r>
          </w:p>
        </w:tc>
        <w:tc>
          <w:tcPr>
            <w:tcW w:w="1134" w:type="dxa"/>
            <w:vAlign w:val="center"/>
          </w:tcPr>
          <w:p>
            <w:pPr>
              <w:pStyle w:val="13"/>
            </w:pPr>
            <w:r>
              <w:t>64.79</w:t>
            </w:r>
          </w:p>
        </w:tc>
        <w:tc>
          <w:tcPr>
            <w:tcW w:w="1134" w:type="dxa"/>
            <w:vAlign w:val="center"/>
          </w:tcPr>
          <w:p>
            <w:pPr>
              <w:pStyle w:val="13"/>
            </w:pPr>
            <w:r>
              <w:t>64.79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118001沙河市应急管理局本级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2761.68</w:t>
            </w:r>
          </w:p>
        </w:tc>
        <w:tc>
          <w:tcPr>
            <w:tcW w:w="1361" w:type="dxa"/>
            <w:vAlign w:val="center"/>
          </w:tcPr>
          <w:p>
            <w:pPr>
              <w:pStyle w:val="17"/>
            </w:pPr>
            <w:r>
              <w:t>1803.93</w:t>
            </w:r>
          </w:p>
        </w:tc>
        <w:tc>
          <w:tcPr>
            <w:tcW w:w="1361" w:type="dxa"/>
            <w:vAlign w:val="center"/>
          </w:tcPr>
          <w:p>
            <w:pPr>
              <w:pStyle w:val="17"/>
            </w:pPr>
            <w:r>
              <w:t>957.75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46.83</w:t>
            </w:r>
          </w:p>
        </w:tc>
        <w:tc>
          <w:tcPr>
            <w:tcW w:w="1361" w:type="dxa"/>
            <w:vAlign w:val="center"/>
          </w:tcPr>
          <w:p>
            <w:pPr>
              <w:pStyle w:val="13"/>
            </w:pPr>
            <w:r>
              <w:t>46.83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46.83</w:t>
            </w:r>
          </w:p>
        </w:tc>
        <w:tc>
          <w:tcPr>
            <w:tcW w:w="1361" w:type="dxa"/>
            <w:vAlign w:val="center"/>
          </w:tcPr>
          <w:p>
            <w:pPr>
              <w:pStyle w:val="13"/>
            </w:pPr>
            <w:r>
              <w:t>46.83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46.83</w:t>
            </w:r>
          </w:p>
        </w:tc>
        <w:tc>
          <w:tcPr>
            <w:tcW w:w="1361" w:type="dxa"/>
            <w:vAlign w:val="center"/>
          </w:tcPr>
          <w:p>
            <w:pPr>
              <w:pStyle w:val="13"/>
            </w:pPr>
            <w:r>
              <w:t>46.83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22.82</w:t>
            </w:r>
          </w:p>
        </w:tc>
        <w:tc>
          <w:tcPr>
            <w:tcW w:w="1361" w:type="dxa"/>
            <w:vAlign w:val="center"/>
          </w:tcPr>
          <w:p>
            <w:pPr>
              <w:pStyle w:val="13"/>
            </w:pPr>
            <w:r>
              <w:t>22.82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22.82</w:t>
            </w:r>
          </w:p>
        </w:tc>
        <w:tc>
          <w:tcPr>
            <w:tcW w:w="1361" w:type="dxa"/>
            <w:vAlign w:val="center"/>
          </w:tcPr>
          <w:p>
            <w:pPr>
              <w:pStyle w:val="13"/>
            </w:pPr>
            <w:r>
              <w:t>22.82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22.82</w:t>
            </w:r>
          </w:p>
        </w:tc>
        <w:tc>
          <w:tcPr>
            <w:tcW w:w="1361" w:type="dxa"/>
            <w:vAlign w:val="center"/>
          </w:tcPr>
          <w:p>
            <w:pPr>
              <w:pStyle w:val="13"/>
            </w:pPr>
            <w:r>
              <w:t>22.82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40.42</w:t>
            </w:r>
          </w:p>
        </w:tc>
        <w:tc>
          <w:tcPr>
            <w:tcW w:w="1361" w:type="dxa"/>
            <w:vAlign w:val="center"/>
          </w:tcPr>
          <w:p>
            <w:pPr>
              <w:pStyle w:val="13"/>
            </w:pPr>
            <w:r>
              <w:t>40.42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40.42</w:t>
            </w:r>
          </w:p>
        </w:tc>
        <w:tc>
          <w:tcPr>
            <w:tcW w:w="1361" w:type="dxa"/>
            <w:vAlign w:val="center"/>
          </w:tcPr>
          <w:p>
            <w:pPr>
              <w:pStyle w:val="13"/>
            </w:pPr>
            <w:r>
              <w:t>40.42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40.42</w:t>
            </w:r>
          </w:p>
        </w:tc>
        <w:tc>
          <w:tcPr>
            <w:tcW w:w="1361" w:type="dxa"/>
            <w:vAlign w:val="center"/>
          </w:tcPr>
          <w:p>
            <w:pPr>
              <w:pStyle w:val="13"/>
            </w:pPr>
            <w:r>
              <w:t>40.42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2651.61</w:t>
            </w:r>
          </w:p>
        </w:tc>
        <w:tc>
          <w:tcPr>
            <w:tcW w:w="1361" w:type="dxa"/>
            <w:vAlign w:val="center"/>
          </w:tcPr>
          <w:p>
            <w:pPr>
              <w:pStyle w:val="13"/>
            </w:pPr>
            <w:r>
              <w:t>1693.86</w:t>
            </w:r>
          </w:p>
        </w:tc>
        <w:tc>
          <w:tcPr>
            <w:tcW w:w="1361" w:type="dxa"/>
            <w:vAlign w:val="center"/>
          </w:tcPr>
          <w:p>
            <w:pPr>
              <w:pStyle w:val="13"/>
            </w:pPr>
            <w:r>
              <w:t>957.75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1878.53</w:t>
            </w:r>
          </w:p>
        </w:tc>
        <w:tc>
          <w:tcPr>
            <w:tcW w:w="1361" w:type="dxa"/>
            <w:vAlign w:val="center"/>
          </w:tcPr>
          <w:p>
            <w:pPr>
              <w:pStyle w:val="13"/>
            </w:pPr>
            <w:r>
              <w:t>1693.86</w:t>
            </w:r>
          </w:p>
        </w:tc>
        <w:tc>
          <w:tcPr>
            <w:tcW w:w="1361" w:type="dxa"/>
            <w:vAlign w:val="center"/>
          </w:tcPr>
          <w:p>
            <w:pPr>
              <w:pStyle w:val="13"/>
            </w:pPr>
            <w:r>
              <w:t>184.67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2240101</w:t>
            </w:r>
          </w:p>
        </w:tc>
        <w:tc>
          <w:tcPr>
            <w:tcW w:w="4535" w:type="dxa"/>
            <w:vAlign w:val="center"/>
          </w:tcPr>
          <w:p>
            <w:pPr>
              <w:pStyle w:val="14"/>
            </w:pPr>
            <w:r>
              <w:t>行政运行</w:t>
            </w:r>
          </w:p>
        </w:tc>
        <w:tc>
          <w:tcPr>
            <w:tcW w:w="1361" w:type="dxa"/>
            <w:vAlign w:val="center"/>
          </w:tcPr>
          <w:p>
            <w:pPr>
              <w:pStyle w:val="13"/>
            </w:pPr>
            <w:r>
              <w:t>1693.86</w:t>
            </w:r>
          </w:p>
        </w:tc>
        <w:tc>
          <w:tcPr>
            <w:tcW w:w="1361" w:type="dxa"/>
            <w:vAlign w:val="center"/>
          </w:tcPr>
          <w:p>
            <w:pPr>
              <w:pStyle w:val="13"/>
            </w:pPr>
            <w:r>
              <w:t>1693.86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2240199</w:t>
            </w:r>
          </w:p>
        </w:tc>
        <w:tc>
          <w:tcPr>
            <w:tcW w:w="4535" w:type="dxa"/>
            <w:vAlign w:val="center"/>
          </w:tcPr>
          <w:p>
            <w:pPr>
              <w:pStyle w:val="14"/>
            </w:pPr>
            <w:r>
              <w:t>其他应急管理支出</w:t>
            </w:r>
          </w:p>
        </w:tc>
        <w:tc>
          <w:tcPr>
            <w:tcW w:w="1361" w:type="dxa"/>
            <w:vAlign w:val="center"/>
          </w:tcPr>
          <w:p>
            <w:pPr>
              <w:pStyle w:val="13"/>
            </w:pPr>
            <w:r>
              <w:t>184.67</w:t>
            </w:r>
          </w:p>
        </w:tc>
        <w:tc>
          <w:tcPr>
            <w:tcW w:w="1361" w:type="dxa"/>
            <w:vAlign w:val="center"/>
          </w:tcPr>
          <w:p>
            <w:pPr>
              <w:pStyle w:val="13"/>
            </w:pPr>
          </w:p>
        </w:tc>
        <w:tc>
          <w:tcPr>
            <w:tcW w:w="1361" w:type="dxa"/>
            <w:vAlign w:val="center"/>
          </w:tcPr>
          <w:p>
            <w:pPr>
              <w:pStyle w:val="13"/>
            </w:pPr>
            <w:r>
              <w:t>184.67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22404</w:t>
            </w:r>
          </w:p>
        </w:tc>
        <w:tc>
          <w:tcPr>
            <w:tcW w:w="4535" w:type="dxa"/>
            <w:vAlign w:val="center"/>
          </w:tcPr>
          <w:p>
            <w:pPr>
              <w:pStyle w:val="14"/>
            </w:pPr>
            <w:r>
              <w:t>矿山安全</w:t>
            </w:r>
          </w:p>
        </w:tc>
        <w:tc>
          <w:tcPr>
            <w:tcW w:w="1361" w:type="dxa"/>
            <w:vAlign w:val="center"/>
          </w:tcPr>
          <w:p>
            <w:pPr>
              <w:pStyle w:val="13"/>
            </w:pPr>
            <w:r>
              <w:t>688.69</w:t>
            </w:r>
          </w:p>
        </w:tc>
        <w:tc>
          <w:tcPr>
            <w:tcW w:w="1361" w:type="dxa"/>
            <w:vAlign w:val="center"/>
          </w:tcPr>
          <w:p>
            <w:pPr>
              <w:pStyle w:val="13"/>
            </w:pPr>
          </w:p>
        </w:tc>
        <w:tc>
          <w:tcPr>
            <w:tcW w:w="1361" w:type="dxa"/>
            <w:vAlign w:val="center"/>
          </w:tcPr>
          <w:p>
            <w:pPr>
              <w:pStyle w:val="13"/>
            </w:pPr>
            <w:r>
              <w:t>688.69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2240404</w:t>
            </w:r>
          </w:p>
        </w:tc>
        <w:tc>
          <w:tcPr>
            <w:tcW w:w="4535" w:type="dxa"/>
            <w:vAlign w:val="center"/>
          </w:tcPr>
          <w:p>
            <w:pPr>
              <w:pStyle w:val="14"/>
            </w:pPr>
            <w:r>
              <w:t>矿山安全监察事务</w:t>
            </w:r>
          </w:p>
        </w:tc>
        <w:tc>
          <w:tcPr>
            <w:tcW w:w="1361" w:type="dxa"/>
            <w:vAlign w:val="center"/>
          </w:tcPr>
          <w:p>
            <w:pPr>
              <w:pStyle w:val="13"/>
            </w:pPr>
            <w:r>
              <w:t>47.06</w:t>
            </w:r>
          </w:p>
        </w:tc>
        <w:tc>
          <w:tcPr>
            <w:tcW w:w="1361" w:type="dxa"/>
            <w:vAlign w:val="center"/>
          </w:tcPr>
          <w:p>
            <w:pPr>
              <w:pStyle w:val="13"/>
            </w:pPr>
          </w:p>
        </w:tc>
        <w:tc>
          <w:tcPr>
            <w:tcW w:w="1361" w:type="dxa"/>
            <w:vAlign w:val="center"/>
          </w:tcPr>
          <w:p>
            <w:pPr>
              <w:pStyle w:val="13"/>
            </w:pPr>
            <w:r>
              <w:t>47.06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2240499</w:t>
            </w:r>
          </w:p>
        </w:tc>
        <w:tc>
          <w:tcPr>
            <w:tcW w:w="4535" w:type="dxa"/>
            <w:vAlign w:val="center"/>
          </w:tcPr>
          <w:p>
            <w:pPr>
              <w:pStyle w:val="14"/>
            </w:pPr>
            <w:r>
              <w:t>其他矿山安全支出</w:t>
            </w:r>
          </w:p>
        </w:tc>
        <w:tc>
          <w:tcPr>
            <w:tcW w:w="1361" w:type="dxa"/>
            <w:vAlign w:val="center"/>
          </w:tcPr>
          <w:p>
            <w:pPr>
              <w:pStyle w:val="13"/>
            </w:pPr>
            <w:r>
              <w:t>641.63</w:t>
            </w:r>
          </w:p>
        </w:tc>
        <w:tc>
          <w:tcPr>
            <w:tcW w:w="1361" w:type="dxa"/>
            <w:vAlign w:val="center"/>
          </w:tcPr>
          <w:p>
            <w:pPr>
              <w:pStyle w:val="13"/>
            </w:pPr>
          </w:p>
        </w:tc>
        <w:tc>
          <w:tcPr>
            <w:tcW w:w="1361" w:type="dxa"/>
            <w:vAlign w:val="center"/>
          </w:tcPr>
          <w:p>
            <w:pPr>
              <w:pStyle w:val="13"/>
            </w:pPr>
            <w:r>
              <w:t>641.63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22407</w:t>
            </w:r>
          </w:p>
        </w:tc>
        <w:tc>
          <w:tcPr>
            <w:tcW w:w="4535" w:type="dxa"/>
            <w:vAlign w:val="center"/>
          </w:tcPr>
          <w:p>
            <w:pPr>
              <w:pStyle w:val="14"/>
            </w:pPr>
            <w:r>
              <w:t>自然灾害救灾及恢复重建支出</w:t>
            </w:r>
          </w:p>
        </w:tc>
        <w:tc>
          <w:tcPr>
            <w:tcW w:w="1361" w:type="dxa"/>
            <w:vAlign w:val="center"/>
          </w:tcPr>
          <w:p>
            <w:pPr>
              <w:pStyle w:val="13"/>
            </w:pPr>
            <w:r>
              <w:t>84.39</w:t>
            </w:r>
          </w:p>
        </w:tc>
        <w:tc>
          <w:tcPr>
            <w:tcW w:w="1361" w:type="dxa"/>
            <w:vAlign w:val="center"/>
          </w:tcPr>
          <w:p>
            <w:pPr>
              <w:pStyle w:val="13"/>
            </w:pPr>
          </w:p>
        </w:tc>
        <w:tc>
          <w:tcPr>
            <w:tcW w:w="1361" w:type="dxa"/>
            <w:vAlign w:val="center"/>
          </w:tcPr>
          <w:p>
            <w:pPr>
              <w:pStyle w:val="13"/>
            </w:pPr>
            <w:r>
              <w:t>84.39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2240703</w:t>
            </w:r>
          </w:p>
        </w:tc>
        <w:tc>
          <w:tcPr>
            <w:tcW w:w="4535" w:type="dxa"/>
            <w:vAlign w:val="center"/>
          </w:tcPr>
          <w:p>
            <w:pPr>
              <w:pStyle w:val="14"/>
            </w:pPr>
            <w:r>
              <w:t>自然灾害救灾补助</w:t>
            </w:r>
          </w:p>
        </w:tc>
        <w:tc>
          <w:tcPr>
            <w:tcW w:w="1361" w:type="dxa"/>
            <w:vAlign w:val="center"/>
          </w:tcPr>
          <w:p>
            <w:pPr>
              <w:pStyle w:val="13"/>
            </w:pPr>
            <w:r>
              <w:t>84.39</w:t>
            </w:r>
          </w:p>
        </w:tc>
        <w:tc>
          <w:tcPr>
            <w:tcW w:w="1361" w:type="dxa"/>
            <w:vAlign w:val="center"/>
          </w:tcPr>
          <w:p>
            <w:pPr>
              <w:pStyle w:val="13"/>
            </w:pPr>
          </w:p>
        </w:tc>
        <w:tc>
          <w:tcPr>
            <w:tcW w:w="1361" w:type="dxa"/>
            <w:vAlign w:val="center"/>
          </w:tcPr>
          <w:p>
            <w:pPr>
              <w:pStyle w:val="13"/>
            </w:pPr>
            <w:r>
              <w:t>84.39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118001沙河市应急管理局本级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2742.08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46.83</w:t>
            </w:r>
          </w:p>
        </w:tc>
        <w:tc>
          <w:tcPr>
            <w:tcW w:w="1474" w:type="dxa"/>
            <w:vAlign w:val="center"/>
          </w:tcPr>
          <w:p>
            <w:pPr>
              <w:pStyle w:val="13"/>
            </w:pPr>
            <w:r>
              <w:t>46.83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22.82</w:t>
            </w:r>
          </w:p>
        </w:tc>
        <w:tc>
          <w:tcPr>
            <w:tcW w:w="1474" w:type="dxa"/>
            <w:vAlign w:val="center"/>
          </w:tcPr>
          <w:p>
            <w:pPr>
              <w:pStyle w:val="13"/>
            </w:pPr>
            <w:r>
              <w:t>22.82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40.42</w:t>
            </w:r>
          </w:p>
        </w:tc>
        <w:tc>
          <w:tcPr>
            <w:tcW w:w="1474" w:type="dxa"/>
            <w:vAlign w:val="center"/>
          </w:tcPr>
          <w:p>
            <w:pPr>
              <w:pStyle w:val="13"/>
            </w:pPr>
            <w:r>
              <w:t>40.42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2651.61</w:t>
            </w:r>
          </w:p>
        </w:tc>
        <w:tc>
          <w:tcPr>
            <w:tcW w:w="1474" w:type="dxa"/>
            <w:vAlign w:val="center"/>
          </w:tcPr>
          <w:p>
            <w:pPr>
              <w:pStyle w:val="13"/>
            </w:pPr>
            <w:r>
              <w:t>2651.61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2742.08</w:t>
            </w:r>
          </w:p>
        </w:tc>
        <w:tc>
          <w:tcPr>
            <w:tcW w:w="3402" w:type="dxa"/>
            <w:vAlign w:val="center"/>
          </w:tcPr>
          <w:p>
            <w:pPr>
              <w:pStyle w:val="16"/>
            </w:pPr>
            <w:r>
              <w:t>本年支出合计</w:t>
            </w:r>
          </w:p>
        </w:tc>
        <w:tc>
          <w:tcPr>
            <w:tcW w:w="1474" w:type="dxa"/>
            <w:vAlign w:val="center"/>
          </w:tcPr>
          <w:p>
            <w:pPr>
              <w:pStyle w:val="17"/>
            </w:pPr>
            <w:r>
              <w:t>2761.68</w:t>
            </w:r>
          </w:p>
        </w:tc>
        <w:tc>
          <w:tcPr>
            <w:tcW w:w="1474" w:type="dxa"/>
            <w:vAlign w:val="center"/>
          </w:tcPr>
          <w:p>
            <w:pPr>
              <w:pStyle w:val="17"/>
            </w:pPr>
            <w:r>
              <w:t>2761.68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19.60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19.60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2761.68</w:t>
            </w:r>
          </w:p>
        </w:tc>
        <w:tc>
          <w:tcPr>
            <w:tcW w:w="3402" w:type="dxa"/>
            <w:vAlign w:val="center"/>
          </w:tcPr>
          <w:p>
            <w:pPr>
              <w:pStyle w:val="16"/>
            </w:pPr>
            <w:r>
              <w:t>支出总计</w:t>
            </w:r>
          </w:p>
        </w:tc>
        <w:tc>
          <w:tcPr>
            <w:tcW w:w="1474" w:type="dxa"/>
            <w:vAlign w:val="center"/>
          </w:tcPr>
          <w:p>
            <w:pPr>
              <w:pStyle w:val="17"/>
            </w:pPr>
            <w:r>
              <w:t>2761.68</w:t>
            </w:r>
          </w:p>
        </w:tc>
        <w:tc>
          <w:tcPr>
            <w:tcW w:w="1474" w:type="dxa"/>
            <w:vAlign w:val="center"/>
          </w:tcPr>
          <w:p>
            <w:pPr>
              <w:pStyle w:val="17"/>
            </w:pPr>
            <w:r>
              <w:t>2761.68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118001沙河市应急管理局本级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2761.68</w:t>
            </w:r>
          </w:p>
        </w:tc>
        <w:tc>
          <w:tcPr>
            <w:tcW w:w="2551" w:type="dxa"/>
            <w:vAlign w:val="center"/>
          </w:tcPr>
          <w:p>
            <w:pPr>
              <w:pStyle w:val="17"/>
            </w:pPr>
            <w:r>
              <w:t>1803.93</w:t>
            </w:r>
          </w:p>
        </w:tc>
        <w:tc>
          <w:tcPr>
            <w:tcW w:w="2551" w:type="dxa"/>
            <w:vAlign w:val="center"/>
          </w:tcPr>
          <w:p>
            <w:pPr>
              <w:pStyle w:val="17"/>
            </w:pPr>
            <w:r>
              <w:t>957.75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46.83</w:t>
            </w:r>
          </w:p>
        </w:tc>
        <w:tc>
          <w:tcPr>
            <w:tcW w:w="2551" w:type="dxa"/>
            <w:vAlign w:val="center"/>
          </w:tcPr>
          <w:p>
            <w:pPr>
              <w:pStyle w:val="13"/>
            </w:pPr>
            <w:r>
              <w:t>46.83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46.83</w:t>
            </w:r>
          </w:p>
        </w:tc>
        <w:tc>
          <w:tcPr>
            <w:tcW w:w="2551" w:type="dxa"/>
            <w:vAlign w:val="center"/>
          </w:tcPr>
          <w:p>
            <w:pPr>
              <w:pStyle w:val="13"/>
            </w:pPr>
            <w:r>
              <w:t>46.83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46.83</w:t>
            </w:r>
          </w:p>
        </w:tc>
        <w:tc>
          <w:tcPr>
            <w:tcW w:w="2551" w:type="dxa"/>
            <w:vAlign w:val="center"/>
          </w:tcPr>
          <w:p>
            <w:pPr>
              <w:pStyle w:val="13"/>
            </w:pPr>
            <w:r>
              <w:t>46.83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40.42</w:t>
            </w:r>
          </w:p>
        </w:tc>
        <w:tc>
          <w:tcPr>
            <w:tcW w:w="2551" w:type="dxa"/>
            <w:vAlign w:val="center"/>
          </w:tcPr>
          <w:p>
            <w:pPr>
              <w:pStyle w:val="13"/>
            </w:pPr>
            <w:r>
              <w:t>40.42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40.42</w:t>
            </w:r>
          </w:p>
        </w:tc>
        <w:tc>
          <w:tcPr>
            <w:tcW w:w="2551" w:type="dxa"/>
            <w:vAlign w:val="center"/>
          </w:tcPr>
          <w:p>
            <w:pPr>
              <w:pStyle w:val="13"/>
            </w:pPr>
            <w:r>
              <w:t>40.42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40.42</w:t>
            </w:r>
          </w:p>
        </w:tc>
        <w:tc>
          <w:tcPr>
            <w:tcW w:w="2551" w:type="dxa"/>
            <w:vAlign w:val="center"/>
          </w:tcPr>
          <w:p>
            <w:pPr>
              <w:pStyle w:val="13"/>
            </w:pPr>
            <w:r>
              <w:t>40.42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2651.61</w:t>
            </w:r>
          </w:p>
        </w:tc>
        <w:tc>
          <w:tcPr>
            <w:tcW w:w="2551" w:type="dxa"/>
            <w:vAlign w:val="center"/>
          </w:tcPr>
          <w:p>
            <w:pPr>
              <w:pStyle w:val="13"/>
            </w:pPr>
            <w:r>
              <w:t>1693.86</w:t>
            </w:r>
          </w:p>
        </w:tc>
        <w:tc>
          <w:tcPr>
            <w:tcW w:w="2551" w:type="dxa"/>
            <w:vAlign w:val="center"/>
          </w:tcPr>
          <w:p>
            <w:pPr>
              <w:pStyle w:val="13"/>
            </w:pPr>
            <w:r>
              <w:t>957.75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1878.53</w:t>
            </w:r>
          </w:p>
        </w:tc>
        <w:tc>
          <w:tcPr>
            <w:tcW w:w="2551" w:type="dxa"/>
            <w:vAlign w:val="center"/>
          </w:tcPr>
          <w:p>
            <w:pPr>
              <w:pStyle w:val="13"/>
            </w:pPr>
            <w:r>
              <w:t>1693.86</w:t>
            </w:r>
          </w:p>
        </w:tc>
        <w:tc>
          <w:tcPr>
            <w:tcW w:w="2551" w:type="dxa"/>
            <w:vAlign w:val="center"/>
          </w:tcPr>
          <w:p>
            <w:pPr>
              <w:pStyle w:val="13"/>
            </w:pPr>
            <w:r>
              <w:t>184.67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2240101</w:t>
            </w:r>
          </w:p>
        </w:tc>
        <w:tc>
          <w:tcPr>
            <w:tcW w:w="4535" w:type="dxa"/>
            <w:vAlign w:val="center"/>
          </w:tcPr>
          <w:p>
            <w:pPr>
              <w:pStyle w:val="14"/>
            </w:pPr>
            <w:r>
              <w:t>行政运行</w:t>
            </w:r>
          </w:p>
        </w:tc>
        <w:tc>
          <w:tcPr>
            <w:tcW w:w="2551" w:type="dxa"/>
            <w:vAlign w:val="center"/>
          </w:tcPr>
          <w:p>
            <w:pPr>
              <w:pStyle w:val="13"/>
            </w:pPr>
            <w:r>
              <w:t>1693.86</w:t>
            </w:r>
          </w:p>
        </w:tc>
        <w:tc>
          <w:tcPr>
            <w:tcW w:w="2551" w:type="dxa"/>
            <w:vAlign w:val="center"/>
          </w:tcPr>
          <w:p>
            <w:pPr>
              <w:pStyle w:val="13"/>
            </w:pPr>
            <w:r>
              <w:t>1693.86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2240199</w:t>
            </w:r>
          </w:p>
        </w:tc>
        <w:tc>
          <w:tcPr>
            <w:tcW w:w="4535" w:type="dxa"/>
            <w:vAlign w:val="center"/>
          </w:tcPr>
          <w:p>
            <w:pPr>
              <w:pStyle w:val="14"/>
            </w:pPr>
            <w:r>
              <w:t>其他应急管理支出</w:t>
            </w:r>
          </w:p>
        </w:tc>
        <w:tc>
          <w:tcPr>
            <w:tcW w:w="2551" w:type="dxa"/>
            <w:vAlign w:val="center"/>
          </w:tcPr>
          <w:p>
            <w:pPr>
              <w:pStyle w:val="13"/>
            </w:pPr>
            <w:r>
              <w:t>184.67</w:t>
            </w:r>
          </w:p>
        </w:tc>
        <w:tc>
          <w:tcPr>
            <w:tcW w:w="2551" w:type="dxa"/>
            <w:vAlign w:val="center"/>
          </w:tcPr>
          <w:p>
            <w:pPr>
              <w:pStyle w:val="13"/>
            </w:pPr>
          </w:p>
        </w:tc>
        <w:tc>
          <w:tcPr>
            <w:tcW w:w="2551" w:type="dxa"/>
            <w:vAlign w:val="center"/>
          </w:tcPr>
          <w:p>
            <w:pPr>
              <w:pStyle w:val="13"/>
            </w:pPr>
            <w:r>
              <w:t>184.67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22404</w:t>
            </w:r>
          </w:p>
        </w:tc>
        <w:tc>
          <w:tcPr>
            <w:tcW w:w="4535" w:type="dxa"/>
            <w:vAlign w:val="center"/>
          </w:tcPr>
          <w:p>
            <w:pPr>
              <w:pStyle w:val="14"/>
            </w:pPr>
            <w:r>
              <w:t>矿山安全</w:t>
            </w:r>
          </w:p>
        </w:tc>
        <w:tc>
          <w:tcPr>
            <w:tcW w:w="2551" w:type="dxa"/>
            <w:vAlign w:val="center"/>
          </w:tcPr>
          <w:p>
            <w:pPr>
              <w:pStyle w:val="13"/>
            </w:pPr>
            <w:r>
              <w:t>688.69</w:t>
            </w:r>
          </w:p>
        </w:tc>
        <w:tc>
          <w:tcPr>
            <w:tcW w:w="2551" w:type="dxa"/>
            <w:vAlign w:val="center"/>
          </w:tcPr>
          <w:p>
            <w:pPr>
              <w:pStyle w:val="13"/>
            </w:pPr>
          </w:p>
        </w:tc>
        <w:tc>
          <w:tcPr>
            <w:tcW w:w="2551" w:type="dxa"/>
            <w:vAlign w:val="center"/>
          </w:tcPr>
          <w:p>
            <w:pPr>
              <w:pStyle w:val="13"/>
            </w:pPr>
            <w:r>
              <w:t>688.69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2240404</w:t>
            </w:r>
          </w:p>
        </w:tc>
        <w:tc>
          <w:tcPr>
            <w:tcW w:w="4535" w:type="dxa"/>
            <w:vAlign w:val="center"/>
          </w:tcPr>
          <w:p>
            <w:pPr>
              <w:pStyle w:val="14"/>
            </w:pPr>
            <w:r>
              <w:t>矿山安全监察事务</w:t>
            </w:r>
          </w:p>
        </w:tc>
        <w:tc>
          <w:tcPr>
            <w:tcW w:w="2551" w:type="dxa"/>
            <w:vAlign w:val="center"/>
          </w:tcPr>
          <w:p>
            <w:pPr>
              <w:pStyle w:val="13"/>
            </w:pPr>
            <w:r>
              <w:t>47.06</w:t>
            </w:r>
          </w:p>
        </w:tc>
        <w:tc>
          <w:tcPr>
            <w:tcW w:w="2551" w:type="dxa"/>
            <w:vAlign w:val="center"/>
          </w:tcPr>
          <w:p>
            <w:pPr>
              <w:pStyle w:val="13"/>
            </w:pPr>
          </w:p>
        </w:tc>
        <w:tc>
          <w:tcPr>
            <w:tcW w:w="2551" w:type="dxa"/>
            <w:vAlign w:val="center"/>
          </w:tcPr>
          <w:p>
            <w:pPr>
              <w:pStyle w:val="13"/>
            </w:pPr>
            <w:r>
              <w:t>47.06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2240499</w:t>
            </w:r>
          </w:p>
        </w:tc>
        <w:tc>
          <w:tcPr>
            <w:tcW w:w="4535" w:type="dxa"/>
            <w:vAlign w:val="center"/>
          </w:tcPr>
          <w:p>
            <w:pPr>
              <w:pStyle w:val="14"/>
            </w:pPr>
            <w:r>
              <w:t>其他矿山安全支出</w:t>
            </w:r>
          </w:p>
        </w:tc>
        <w:tc>
          <w:tcPr>
            <w:tcW w:w="2551" w:type="dxa"/>
            <w:vAlign w:val="center"/>
          </w:tcPr>
          <w:p>
            <w:pPr>
              <w:pStyle w:val="13"/>
            </w:pPr>
            <w:r>
              <w:t>641.63</w:t>
            </w:r>
          </w:p>
        </w:tc>
        <w:tc>
          <w:tcPr>
            <w:tcW w:w="2551" w:type="dxa"/>
            <w:vAlign w:val="center"/>
          </w:tcPr>
          <w:p>
            <w:pPr>
              <w:pStyle w:val="13"/>
            </w:pPr>
          </w:p>
        </w:tc>
        <w:tc>
          <w:tcPr>
            <w:tcW w:w="2551" w:type="dxa"/>
            <w:vAlign w:val="center"/>
          </w:tcPr>
          <w:p>
            <w:pPr>
              <w:pStyle w:val="13"/>
            </w:pPr>
            <w:r>
              <w:t>641.63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22407</w:t>
            </w:r>
          </w:p>
        </w:tc>
        <w:tc>
          <w:tcPr>
            <w:tcW w:w="4535" w:type="dxa"/>
            <w:vAlign w:val="center"/>
          </w:tcPr>
          <w:p>
            <w:pPr>
              <w:pStyle w:val="14"/>
            </w:pPr>
            <w:r>
              <w:t>自然灾害救灾及恢复重建支出</w:t>
            </w:r>
          </w:p>
        </w:tc>
        <w:tc>
          <w:tcPr>
            <w:tcW w:w="2551" w:type="dxa"/>
            <w:vAlign w:val="center"/>
          </w:tcPr>
          <w:p>
            <w:pPr>
              <w:pStyle w:val="13"/>
            </w:pPr>
            <w:r>
              <w:t>84.39</w:t>
            </w:r>
          </w:p>
        </w:tc>
        <w:tc>
          <w:tcPr>
            <w:tcW w:w="2551" w:type="dxa"/>
            <w:vAlign w:val="center"/>
          </w:tcPr>
          <w:p>
            <w:pPr>
              <w:pStyle w:val="13"/>
            </w:pPr>
          </w:p>
        </w:tc>
        <w:tc>
          <w:tcPr>
            <w:tcW w:w="2551" w:type="dxa"/>
            <w:vAlign w:val="center"/>
          </w:tcPr>
          <w:p>
            <w:pPr>
              <w:pStyle w:val="13"/>
            </w:pPr>
            <w:r>
              <w:t>84.39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2240703</w:t>
            </w:r>
          </w:p>
        </w:tc>
        <w:tc>
          <w:tcPr>
            <w:tcW w:w="4535" w:type="dxa"/>
            <w:vAlign w:val="center"/>
          </w:tcPr>
          <w:p>
            <w:pPr>
              <w:pStyle w:val="14"/>
            </w:pPr>
            <w:r>
              <w:t>自然灾害救灾补助</w:t>
            </w:r>
          </w:p>
        </w:tc>
        <w:tc>
          <w:tcPr>
            <w:tcW w:w="2551" w:type="dxa"/>
            <w:vAlign w:val="center"/>
          </w:tcPr>
          <w:p>
            <w:pPr>
              <w:pStyle w:val="13"/>
            </w:pPr>
            <w:r>
              <w:t>84.39</w:t>
            </w:r>
          </w:p>
        </w:tc>
        <w:tc>
          <w:tcPr>
            <w:tcW w:w="2551" w:type="dxa"/>
            <w:vAlign w:val="center"/>
          </w:tcPr>
          <w:p>
            <w:pPr>
              <w:pStyle w:val="13"/>
            </w:pPr>
          </w:p>
        </w:tc>
        <w:tc>
          <w:tcPr>
            <w:tcW w:w="2551" w:type="dxa"/>
            <w:vAlign w:val="center"/>
          </w:tcPr>
          <w:p>
            <w:pPr>
              <w:pStyle w:val="13"/>
            </w:pPr>
            <w:r>
              <w:t>84.39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118001沙河市应急管理局本级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1803.93</w:t>
            </w:r>
          </w:p>
        </w:tc>
        <w:tc>
          <w:tcPr>
            <w:tcW w:w="2551" w:type="dxa"/>
            <w:vAlign w:val="center"/>
          </w:tcPr>
          <w:p>
            <w:pPr>
              <w:pStyle w:val="17"/>
            </w:pPr>
            <w:r>
              <w:t>1772.59</w:t>
            </w:r>
          </w:p>
        </w:tc>
        <w:tc>
          <w:tcPr>
            <w:tcW w:w="2551" w:type="dxa"/>
            <w:vAlign w:val="center"/>
          </w:tcPr>
          <w:p>
            <w:pPr>
              <w:pStyle w:val="17"/>
            </w:pPr>
            <w:r>
              <w:t>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1672.24</w:t>
            </w:r>
          </w:p>
        </w:tc>
        <w:tc>
          <w:tcPr>
            <w:tcW w:w="2551" w:type="dxa"/>
            <w:vAlign w:val="center"/>
          </w:tcPr>
          <w:p>
            <w:pPr>
              <w:pStyle w:val="13"/>
            </w:pPr>
            <w:r>
              <w:t>1672.24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1229.41</w:t>
            </w:r>
          </w:p>
        </w:tc>
        <w:tc>
          <w:tcPr>
            <w:tcW w:w="2551" w:type="dxa"/>
            <w:vAlign w:val="center"/>
          </w:tcPr>
          <w:p>
            <w:pPr>
              <w:pStyle w:val="13"/>
            </w:pPr>
            <w:r>
              <w:t>1229.41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47.40</w:t>
            </w:r>
          </w:p>
        </w:tc>
        <w:tc>
          <w:tcPr>
            <w:tcW w:w="2551" w:type="dxa"/>
            <w:vAlign w:val="center"/>
          </w:tcPr>
          <w:p>
            <w:pPr>
              <w:pStyle w:val="13"/>
            </w:pPr>
            <w:r>
              <w:t>47.40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25.81</w:t>
            </w:r>
          </w:p>
        </w:tc>
        <w:tc>
          <w:tcPr>
            <w:tcW w:w="2551" w:type="dxa"/>
            <w:vAlign w:val="center"/>
          </w:tcPr>
          <w:p>
            <w:pPr>
              <w:pStyle w:val="13"/>
            </w:pPr>
            <w:r>
              <w:t>25.81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90.78</w:t>
            </w:r>
          </w:p>
        </w:tc>
        <w:tc>
          <w:tcPr>
            <w:tcW w:w="2551" w:type="dxa"/>
            <w:vAlign w:val="center"/>
          </w:tcPr>
          <w:p>
            <w:pPr>
              <w:pStyle w:val="13"/>
            </w:pPr>
            <w:r>
              <w:t>90.78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46.83</w:t>
            </w:r>
          </w:p>
        </w:tc>
        <w:tc>
          <w:tcPr>
            <w:tcW w:w="2551" w:type="dxa"/>
            <w:vAlign w:val="center"/>
          </w:tcPr>
          <w:p>
            <w:pPr>
              <w:pStyle w:val="13"/>
            </w:pPr>
            <w:r>
              <w:t>46.83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40.42</w:t>
            </w:r>
          </w:p>
        </w:tc>
        <w:tc>
          <w:tcPr>
            <w:tcW w:w="2551" w:type="dxa"/>
            <w:vAlign w:val="center"/>
          </w:tcPr>
          <w:p>
            <w:pPr>
              <w:pStyle w:val="13"/>
            </w:pPr>
            <w:r>
              <w:t>40.42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168.77</w:t>
            </w:r>
          </w:p>
        </w:tc>
        <w:tc>
          <w:tcPr>
            <w:tcW w:w="2551" w:type="dxa"/>
            <w:vAlign w:val="center"/>
          </w:tcPr>
          <w:p>
            <w:pPr>
              <w:pStyle w:val="13"/>
            </w:pPr>
            <w:r>
              <w:t>168.77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31.34</w:t>
            </w:r>
          </w:p>
        </w:tc>
        <w:tc>
          <w:tcPr>
            <w:tcW w:w="2551" w:type="dxa"/>
            <w:vAlign w:val="center"/>
          </w:tcPr>
          <w:p>
            <w:pPr>
              <w:pStyle w:val="13"/>
            </w:pPr>
          </w:p>
        </w:tc>
        <w:tc>
          <w:tcPr>
            <w:tcW w:w="2551" w:type="dxa"/>
            <w:vAlign w:val="center"/>
          </w:tcPr>
          <w:p>
            <w:pPr>
              <w:pStyle w:val="13"/>
            </w:pPr>
            <w:r>
              <w:t>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3.52</w:t>
            </w:r>
          </w:p>
        </w:tc>
        <w:tc>
          <w:tcPr>
            <w:tcW w:w="2551" w:type="dxa"/>
            <w:vAlign w:val="center"/>
          </w:tcPr>
          <w:p>
            <w:pPr>
              <w:pStyle w:val="13"/>
            </w:pPr>
          </w:p>
        </w:tc>
        <w:tc>
          <w:tcPr>
            <w:tcW w:w="2551" w:type="dxa"/>
            <w:vAlign w:val="center"/>
          </w:tcPr>
          <w:p>
            <w:pPr>
              <w:pStyle w:val="13"/>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6.42</w:t>
            </w:r>
          </w:p>
        </w:tc>
        <w:tc>
          <w:tcPr>
            <w:tcW w:w="2551" w:type="dxa"/>
            <w:vAlign w:val="center"/>
          </w:tcPr>
          <w:p>
            <w:pPr>
              <w:pStyle w:val="13"/>
            </w:pPr>
          </w:p>
        </w:tc>
        <w:tc>
          <w:tcPr>
            <w:tcW w:w="2551" w:type="dxa"/>
            <w:vAlign w:val="center"/>
          </w:tcPr>
          <w:p>
            <w:pPr>
              <w:pStyle w:val="13"/>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1.76</w:t>
            </w:r>
          </w:p>
        </w:tc>
        <w:tc>
          <w:tcPr>
            <w:tcW w:w="2551" w:type="dxa"/>
            <w:vAlign w:val="center"/>
          </w:tcPr>
          <w:p>
            <w:pPr>
              <w:pStyle w:val="13"/>
            </w:pPr>
          </w:p>
        </w:tc>
        <w:tc>
          <w:tcPr>
            <w:tcW w:w="2551" w:type="dxa"/>
            <w:vAlign w:val="center"/>
          </w:tcPr>
          <w:p>
            <w:pPr>
              <w:pStyle w:val="13"/>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3.45</w:t>
            </w:r>
          </w:p>
        </w:tc>
        <w:tc>
          <w:tcPr>
            <w:tcW w:w="2551" w:type="dxa"/>
            <w:vAlign w:val="center"/>
          </w:tcPr>
          <w:p>
            <w:pPr>
              <w:pStyle w:val="13"/>
            </w:pPr>
          </w:p>
        </w:tc>
        <w:tc>
          <w:tcPr>
            <w:tcW w:w="2551" w:type="dxa"/>
            <w:vAlign w:val="center"/>
          </w:tcPr>
          <w:p>
            <w:pPr>
              <w:pStyle w:val="13"/>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4.31</w:t>
            </w:r>
          </w:p>
        </w:tc>
        <w:tc>
          <w:tcPr>
            <w:tcW w:w="2551" w:type="dxa"/>
            <w:vAlign w:val="center"/>
          </w:tcPr>
          <w:p>
            <w:pPr>
              <w:pStyle w:val="13"/>
            </w:pPr>
          </w:p>
        </w:tc>
        <w:tc>
          <w:tcPr>
            <w:tcW w:w="2551" w:type="dxa"/>
            <w:vAlign w:val="center"/>
          </w:tcPr>
          <w:p>
            <w:pPr>
              <w:pStyle w:val="13"/>
            </w:pPr>
            <w:r>
              <w:t>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11.88</w:t>
            </w:r>
          </w:p>
        </w:tc>
        <w:tc>
          <w:tcPr>
            <w:tcW w:w="2551" w:type="dxa"/>
            <w:vAlign w:val="center"/>
          </w:tcPr>
          <w:p>
            <w:pPr>
              <w:pStyle w:val="13"/>
            </w:pPr>
          </w:p>
        </w:tc>
        <w:tc>
          <w:tcPr>
            <w:tcW w:w="2551" w:type="dxa"/>
            <w:vAlign w:val="center"/>
          </w:tcPr>
          <w:p>
            <w:pPr>
              <w:pStyle w:val="13"/>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100.35</w:t>
            </w:r>
          </w:p>
        </w:tc>
        <w:tc>
          <w:tcPr>
            <w:tcW w:w="2551" w:type="dxa"/>
            <w:vAlign w:val="center"/>
          </w:tcPr>
          <w:p>
            <w:pPr>
              <w:pStyle w:val="13"/>
            </w:pPr>
            <w:r>
              <w:t>100.35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9.46</w:t>
            </w:r>
          </w:p>
        </w:tc>
        <w:tc>
          <w:tcPr>
            <w:tcW w:w="2551" w:type="dxa"/>
            <w:vAlign w:val="center"/>
          </w:tcPr>
          <w:p>
            <w:pPr>
              <w:pStyle w:val="13"/>
            </w:pPr>
            <w:r>
              <w:t>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0.29</w:t>
            </w:r>
          </w:p>
        </w:tc>
        <w:tc>
          <w:tcPr>
            <w:tcW w:w="2551" w:type="dxa"/>
            <w:vAlign w:val="center"/>
          </w:tcPr>
          <w:p>
            <w:pPr>
              <w:pStyle w:val="13"/>
            </w:pPr>
            <w:r>
              <w:t>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90.60</w:t>
            </w:r>
          </w:p>
        </w:tc>
        <w:tc>
          <w:tcPr>
            <w:tcW w:w="2551" w:type="dxa"/>
            <w:vAlign w:val="center"/>
          </w:tcPr>
          <w:p>
            <w:pPr>
              <w:pStyle w:val="13"/>
            </w:pPr>
            <w:r>
              <w:t>90.60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118001沙河市应急管理局本级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118001沙河市应急管理局本级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118001沙河市应急管理局本级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沙河市应急管理局本级2024年单位预算信息公开情况说明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按照《中华人民共和国预算法》、《地方预决算公开操作规程》和《关于进一步推进预算公开工作的实施意见》规定，现将沙河市应急管理局本级2024年单位预算公开如下：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单位职责：</w:t>
      </w:r>
    </w:p>
    <w:p>
      <w:pPr>
        <w:pStyle w:val="19"/>
      </w:pPr>
      <w:r>
        <w:t>一、负责应急管理工作，指导各级各部门应对安全生产类、自然灾害类等突发事件和综合防灾减灾救灾工作。负责安全生产综合监督管理和工矿商贸行业安全生产监督管理工作。</w:t>
      </w:r>
    </w:p>
    <w:p>
      <w:pPr>
        <w:pStyle w:val="19"/>
      </w:pPr>
      <w:r>
        <w:t>二、拟订应急管理、安全生产等政策规定，组织编制市应急体系建设、安全生产和综合防灾减灾规划，贯彻落实国家、省和邢台市有关法律、法规、规章、规程和标准。</w:t>
      </w:r>
    </w:p>
    <w:p>
      <w:pPr>
        <w:pStyle w:val="19"/>
      </w:pPr>
      <w:r>
        <w:t>三、指导应急预案体系建设，建立完善事故灾难和自然灾害分级应对制度，组织编制市总体应急预案和安全生产类、自然灾害类专项预案，综合协调应急预案衔接工作，组织开展预案演练，推动应急避难设施建设。</w:t>
      </w:r>
    </w:p>
    <w:p>
      <w:pPr>
        <w:pStyle w:val="19"/>
      </w:pPr>
      <w:r>
        <w:t>四、牵头建立统一的全市应急管理信息系统，负责信息传输渠道的规划和布局，建立监测预警和灾情报告制度，健全自然灾害信息资源获取和共享机制，依法统一发布灾情。</w:t>
      </w:r>
    </w:p>
    <w:p>
      <w:pPr>
        <w:pStyle w:val="19"/>
      </w:pPr>
      <w:r>
        <w:t>五、组织指导协调安全生产类、自然灾害类等突发事件应急救援承担市应对重大灾害指挥部工作，综合研判突发事件发展态势并提出应对建议，协助市委、市政府指定的负责同志组织重大灾害应急处置工作。</w:t>
      </w:r>
    </w:p>
    <w:p>
      <w:pPr>
        <w:pStyle w:val="19"/>
      </w:pPr>
      <w:r>
        <w:t>六、统一协调指挥各类应急专业队伍，建立应急协调联动机制，推进指挥平台对接，衔接解放军和武警部队参与应急救援工作。</w:t>
      </w:r>
    </w:p>
    <w:p>
      <w:pPr>
        <w:pStyle w:val="19"/>
      </w:pPr>
      <w:r>
        <w:t>七、统筹应急救援力量建设，负责消防、森林和草原火灾扑救、抗洪抢险、地震和地质灾害救援、生产安全事故救援等专业应急救援力量建设，管理市综合性应急救援队伍，指导各级及社会应急救援力量建设。</w:t>
      </w:r>
    </w:p>
    <w:p>
      <w:pPr>
        <w:pStyle w:val="19"/>
      </w:pPr>
      <w:r>
        <w:t>八、组织协调消防工作，指导各级消防监督、火灾预防、火灾扑救等工作。</w:t>
      </w:r>
    </w:p>
    <w:p>
      <w:pPr>
        <w:pStyle w:val="19"/>
      </w:pPr>
      <w:r>
        <w:t>九、指导协调森林和草原火灾、水旱灾害、地质灾害等防治工作。</w:t>
      </w:r>
    </w:p>
    <w:p>
      <w:pPr>
        <w:pStyle w:val="19"/>
      </w:pPr>
      <w:r>
        <w:t>负责自然灾害综合监测预警工作，指导开展自然灾害综合风险评估工作。</w:t>
      </w:r>
    </w:p>
    <w:p>
      <w:pPr>
        <w:pStyle w:val="19"/>
      </w:pPr>
      <w:r>
        <w:t>十、组织协调灾害救助工作，组织指导灾情核查、损失评估、救灾捐赠工作，管理、分配市救灾款物并监督使用。</w:t>
      </w:r>
    </w:p>
    <w:p>
      <w:pPr>
        <w:pStyle w:val="19"/>
      </w:pPr>
      <w:r>
        <w:t>十一、依法行使市安全生产综合监督管理职权，指导协调、监督检查市有关部门和乡(镇)办事处安全生产工作，组织开展安全生产巡查、考核工作。</w:t>
      </w:r>
    </w:p>
    <w:p>
      <w:pPr>
        <w:pStyle w:val="19"/>
      </w:pPr>
      <w:r>
        <w:t>十二、按照分级、属地原则，依法监督检查工矿商贸生产经营单位贯彻执行安全生产法律法规情况，及其安全生产条件和有关设备(特种设备除外)、材料、劳动防护用品的安全生产管理工作。负责监督管理工矿商贸行业市属企业和驻市中央、省属、邢台市属企业的安全生产工作。负责危险化学品安全监督管理综合工作和烟花爆竹安全生产监督管理工作。</w:t>
      </w:r>
    </w:p>
    <w:p>
      <w:pPr>
        <w:pStyle w:val="19"/>
      </w:pPr>
      <w:r>
        <w:t>十三、依法组织指导生产安全事故调查处理，监督事故查处和责任追究落实情况。组织开展自然灾害类突发事件的调查评估工作。</w:t>
      </w:r>
    </w:p>
    <w:p>
      <w:pPr>
        <w:pStyle w:val="19"/>
      </w:pPr>
      <w:r>
        <w:t>十四、制定应急物资储备和应急救援装备规划并组织实施，会同市发展和改革局(市粮食和物资储备局)等部门建立健全应急物资信息平台和调拨制度，在救灾时统一调度。</w:t>
      </w:r>
    </w:p>
    <w:p>
      <w:pPr>
        <w:pStyle w:val="19"/>
      </w:pPr>
      <w:r>
        <w:t>十五、负责应急管理、安全生产宣传教育和培训工作，组织指导应急管理、安全生产的科学技术研究、推广应用和信息化建设工作。</w:t>
      </w:r>
    </w:p>
    <w:p>
      <w:pPr>
        <w:pStyle w:val="19"/>
      </w:pPr>
      <w:r>
        <w:t>十六、组织实施煤矿安全监管法规和标准，组织指导煤炭资源的合理开发和煤炭产业结构调整。承担全市煤矿安全、煤炭生产监管责任，组织开展对煤矿企业执法检查。</w:t>
      </w:r>
    </w:p>
    <w:p>
      <w:pPr>
        <w:pStyle w:val="19"/>
      </w:pPr>
      <w:r>
        <w:t>十七、负责组织指导协调和监督全市安全生产行政执法工作，组织开展对市属企业及驻市中央、省属、邢台市属企业的执法检查，组织开展对安全生产重点企业的执法检查。</w:t>
      </w:r>
    </w:p>
    <w:p>
      <w:pPr>
        <w:pStyle w:val="19"/>
      </w:pPr>
      <w:r>
        <w:t>十八、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地震台网站;负责地震科技信息工作，管理地震科技档案;负责辖区内地震监测设施和地震观测环境依法保护工作。</w:t>
      </w:r>
    </w:p>
    <w:p>
      <w:pPr>
        <w:pStyle w:val="19"/>
      </w:pPr>
      <w:r>
        <w:t>十九、负责并组织开展辖区内地震灾害预防工作。负责地震灾害的调</w:t>
      </w:r>
      <w:r>
        <w:rPr>
          <w:rFonts w:hint="eastAsia"/>
          <w:lang w:eastAsia="zh-CN"/>
        </w:rPr>
        <w:t>查</w:t>
      </w:r>
      <w:r>
        <w:t>、评估、预测工作;会同有关部门推动建筑物、构筑物地震安全工作;负责推进地震小区划工作;负责监督管理辖区内建设工程的抗震设防要求确定和地震安全性评价工作;负责辖区内地震行政执法工作。</w:t>
      </w:r>
    </w:p>
    <w:p>
      <w:pPr>
        <w:pStyle w:val="19"/>
      </w:pPr>
      <w:r>
        <w:t>二十、负责并组织开展辖区内地震应急救援工作。负责组织制定全市地震应急预案和地震救援方案，经市政府批准后组织实施;负责组建培训地震紧急救援队伍，组织开展地震应急演练;负责震情、灾情收集速报工作;会同有关部门做好地震次生灾害的排查与监测预警工作;参与编制地震灾区恢复重建规划和恢复震后辖区内社会公共保障功能。</w:t>
      </w:r>
    </w:p>
    <w:p>
      <w:pPr>
        <w:pStyle w:val="19"/>
      </w:pPr>
      <w:r>
        <w:t>二十ー、负责管理辖区内地震群测群防“三网一员”网络体系，推进地震宏观异常测报、地震灾情速报、防震减灾科普宣传网络体系建设，组织开展社区地震应急和乡镇民居抗震设防指导和培训。</w:t>
      </w:r>
    </w:p>
    <w:p>
      <w:pPr>
        <w:pStyle w:val="19"/>
      </w:pPr>
      <w:r>
        <w:t>二十二、组织开展应急管理方面的国际交流与合作。</w:t>
      </w:r>
    </w:p>
    <w:p>
      <w:pPr>
        <w:pStyle w:val="19"/>
      </w:pPr>
      <w:r>
        <w:t>ニ十三、完成市委、市政府交办的其他任务。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沙河市应急管理局本级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2761.68万元，其中：一般公共预算收入2742.08万元，基金预算收入0.00万元，国有资本经营预算收入0.00万元，财政专户核拨收入0.00万元，单位资金收入0.00万元，上年结转结余19.60万元。</w:t>
      </w:r>
    </w:p>
    <w:p>
      <w:pPr>
        <w:pStyle w:val="20"/>
      </w:pPr>
      <w:r>
        <w:t>2、支出说明</w:t>
      </w:r>
    </w:p>
    <w:p>
      <w:pPr>
        <w:pStyle w:val="20"/>
      </w:pPr>
      <w:r>
        <w:t>收支预算总表支出栏、基本支出表、项目支出表按经济分类和支出功能分类科目编制，反映沙河市应急管理局本级年度单位预算中支出预算的总体情况。2024年支出预算2761.68万元，其中基本支出1803.93万元，包括人员经费1772.59万元和日常公用经费31.34万元；项目支出957.75万元，主要为非煤矿山安全生产</w:t>
      </w:r>
      <w:r>
        <w:rPr>
          <w:rFonts w:hint="eastAsia"/>
          <w:lang w:eastAsia="zh-CN"/>
        </w:rPr>
        <w:t>监管</w:t>
      </w:r>
      <w:r>
        <w:t>专项经费、加强专业森林消防队伍建设资金和采购应急系统制式服装及标志费用等</w:t>
      </w:r>
    </w:p>
    <w:p>
      <w:pPr>
        <w:pStyle w:val="20"/>
      </w:pPr>
      <w:r>
        <w:t>3、比上年增减情况</w:t>
      </w:r>
    </w:p>
    <w:p>
      <w:pPr>
        <w:pStyle w:val="20"/>
      </w:pPr>
      <w:r>
        <w:t>2024年预算收支安排2761.68万元，较2023年预算减少78.05万元，其中：基本支出增加30.47万元，主要为人员工资调整等项目支出减少108.52万元，主要为2023年</w:t>
      </w:r>
      <w:r>
        <w:rPr>
          <w:rFonts w:hint="eastAsia"/>
          <w:lang w:eastAsia="zh-CN"/>
        </w:rPr>
        <w:t>部分</w:t>
      </w:r>
      <w:r>
        <w:t>项目完成</w:t>
      </w:r>
    </w:p>
    <w:p>
      <w:pPr>
        <w:spacing w:before="10" w:after="10"/>
        <w:ind w:firstLine="640"/>
        <w:outlineLvl w:val="5"/>
      </w:pPr>
      <w:r>
        <w:rPr>
          <w:rFonts w:ascii="黑体" w:hAnsi="黑体" w:eastAsia="黑体" w:cs="黑体"/>
          <w:color w:val="000000"/>
          <w:sz w:val="32"/>
        </w:rPr>
        <w:t>三、机关运行经费安排情况</w:t>
      </w:r>
    </w:p>
    <w:p>
      <w:pPr>
        <w:pStyle w:val="21"/>
      </w:pPr>
      <w:r>
        <w:t>机关运行经费安排情况</w:t>
      </w:r>
    </w:p>
    <w:p>
      <w:pPr>
        <w:pStyle w:val="21"/>
      </w:pPr>
      <w:r>
        <w:t>2024年，我局机关运行经费共计安排31.34万元，主要用于办公费、邮电费、取暖费、福利费、其他交通费用等日常运行支出。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2024年，我</w:t>
      </w:r>
      <w:r>
        <w:rPr>
          <w:rFonts w:hint="eastAsia"/>
          <w:lang w:eastAsia="zh-CN"/>
        </w:rPr>
        <w:t>单位</w:t>
      </w:r>
      <w:r>
        <w:t>财政拨款“三公”经费预算安排0.00万元，其中因公出国（境）费0.00万元；公务用车购置及运维费0.00万元（其中：公务用车购置费为0.00万元，公务用车运维费0.00万元)；公务接待费0.00万元。与2023年相比增加0.00万元，增减变化的主要原因是设立专人管理，严格按照相关规定支出</w:t>
      </w:r>
    </w:p>
    <w:p>
      <w:pPr>
        <w:pStyle w:val="2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1、采购应急系统制式服装及标志费用绩效目标表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13058224P00Y25A10059B</w:t>
            </w:r>
          </w:p>
        </w:tc>
        <w:tc>
          <w:tcPr>
            <w:tcW w:w="2835" w:type="dxa"/>
            <w:vAlign w:val="center"/>
          </w:tcPr>
          <w:p>
            <w:pPr>
              <w:pStyle w:val="12"/>
            </w:pPr>
            <w:r>
              <w:t>项目名称</w:t>
            </w:r>
          </w:p>
        </w:tc>
        <w:tc>
          <w:tcPr>
            <w:tcW w:w="6094" w:type="dxa"/>
            <w:gridSpan w:val="3"/>
            <w:vAlign w:val="center"/>
          </w:tcPr>
          <w:p>
            <w:pPr>
              <w:pStyle w:val="14"/>
            </w:pPr>
            <w:r>
              <w:t>采购应急系统制式服装及标志费用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59.97</w:t>
            </w:r>
          </w:p>
        </w:tc>
        <w:tc>
          <w:tcPr>
            <w:tcW w:w="2835" w:type="dxa"/>
            <w:vAlign w:val="center"/>
          </w:tcPr>
          <w:p>
            <w:pPr>
              <w:pStyle w:val="12"/>
            </w:pPr>
            <w:r>
              <w:t>其中：财政    资金</w:t>
            </w:r>
          </w:p>
        </w:tc>
        <w:tc>
          <w:tcPr>
            <w:tcW w:w="2551" w:type="dxa"/>
            <w:vAlign w:val="center"/>
          </w:tcPr>
          <w:p>
            <w:pPr>
              <w:pStyle w:val="14"/>
            </w:pPr>
            <w:r>
              <w:t>59.97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根据上级文件要求，统一购置制式服装标志。加强执法监管队伍建设，提高队伍形象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59.97</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1.加强执法监管队伍建设，提高队伍形象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服装配备数量</w:t>
            </w:r>
          </w:p>
        </w:tc>
        <w:tc>
          <w:tcPr>
            <w:tcW w:w="5386" w:type="dxa"/>
            <w:vAlign w:val="center"/>
          </w:tcPr>
          <w:p>
            <w:pPr>
              <w:pStyle w:val="14"/>
            </w:pPr>
            <w:r>
              <w:t>执法人员配备服装</w:t>
            </w:r>
          </w:p>
        </w:tc>
        <w:tc>
          <w:tcPr>
            <w:tcW w:w="2268" w:type="dxa"/>
            <w:vAlign w:val="center"/>
          </w:tcPr>
          <w:p>
            <w:pPr>
              <w:pStyle w:val="14"/>
            </w:pPr>
            <w:r>
              <w:t>符合预算</w:t>
            </w:r>
          </w:p>
        </w:tc>
        <w:tc>
          <w:tcPr>
            <w:tcW w:w="1276" w:type="dxa"/>
            <w:vAlign w:val="center"/>
          </w:tcPr>
          <w:p>
            <w:pPr>
              <w:pStyle w:val="14"/>
            </w:pPr>
            <w:r>
              <w:t>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服率装质量合格</w:t>
            </w:r>
          </w:p>
        </w:tc>
        <w:tc>
          <w:tcPr>
            <w:tcW w:w="5386" w:type="dxa"/>
            <w:vAlign w:val="center"/>
          </w:tcPr>
          <w:p>
            <w:pPr>
              <w:pStyle w:val="14"/>
            </w:pPr>
            <w:r>
              <w:t>服率装质量合格</w:t>
            </w:r>
          </w:p>
        </w:tc>
        <w:tc>
          <w:tcPr>
            <w:tcW w:w="2268" w:type="dxa"/>
            <w:vAlign w:val="center"/>
          </w:tcPr>
          <w:p>
            <w:pPr>
              <w:pStyle w:val="14"/>
            </w:pPr>
            <w:r>
              <w:t>100%</w:t>
            </w:r>
          </w:p>
        </w:tc>
        <w:tc>
          <w:tcPr>
            <w:tcW w:w="1276" w:type="dxa"/>
            <w:vAlign w:val="center"/>
          </w:tcPr>
          <w:p>
            <w:pPr>
              <w:pStyle w:val="14"/>
            </w:pPr>
            <w:r>
              <w:t>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年内完成服装配备</w:t>
            </w:r>
          </w:p>
        </w:tc>
        <w:tc>
          <w:tcPr>
            <w:tcW w:w="5386" w:type="dxa"/>
            <w:vAlign w:val="center"/>
          </w:tcPr>
          <w:p>
            <w:pPr>
              <w:pStyle w:val="14"/>
            </w:pPr>
            <w:r>
              <w:t>年内完成服装配备</w:t>
            </w:r>
          </w:p>
        </w:tc>
        <w:tc>
          <w:tcPr>
            <w:tcW w:w="2268" w:type="dxa"/>
            <w:vAlign w:val="center"/>
          </w:tcPr>
          <w:p>
            <w:pPr>
              <w:pStyle w:val="14"/>
            </w:pPr>
            <w:r>
              <w:t>上级下发后及时发放</w:t>
            </w:r>
          </w:p>
        </w:tc>
        <w:tc>
          <w:tcPr>
            <w:tcW w:w="1276" w:type="dxa"/>
            <w:vAlign w:val="center"/>
          </w:tcPr>
          <w:p>
            <w:pPr>
              <w:pStyle w:val="14"/>
            </w:pPr>
            <w:r>
              <w:t>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不超过年初预算</w:t>
            </w:r>
          </w:p>
        </w:tc>
        <w:tc>
          <w:tcPr>
            <w:tcW w:w="5386" w:type="dxa"/>
            <w:vAlign w:val="center"/>
          </w:tcPr>
          <w:p>
            <w:pPr>
              <w:pStyle w:val="14"/>
            </w:pPr>
            <w:r>
              <w:t>不超过年初预算</w:t>
            </w:r>
          </w:p>
        </w:tc>
        <w:tc>
          <w:tcPr>
            <w:tcW w:w="2268" w:type="dxa"/>
            <w:vAlign w:val="center"/>
          </w:tcPr>
          <w:p>
            <w:pPr>
              <w:pStyle w:val="14"/>
            </w:pPr>
            <w:r>
              <w:t>符合预算</w:t>
            </w:r>
          </w:p>
        </w:tc>
        <w:tc>
          <w:tcPr>
            <w:tcW w:w="1276" w:type="dxa"/>
            <w:vAlign w:val="center"/>
          </w:tcPr>
          <w:p>
            <w:pPr>
              <w:pStyle w:val="14"/>
            </w:pPr>
            <w:r>
              <w:t>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提高执法人员执法形象</w:t>
            </w:r>
          </w:p>
        </w:tc>
        <w:tc>
          <w:tcPr>
            <w:tcW w:w="5386" w:type="dxa"/>
            <w:vAlign w:val="center"/>
          </w:tcPr>
          <w:p>
            <w:pPr>
              <w:pStyle w:val="14"/>
            </w:pPr>
            <w:r>
              <w:t>提高执法人员执法形象</w:t>
            </w:r>
          </w:p>
        </w:tc>
        <w:tc>
          <w:tcPr>
            <w:tcW w:w="2268" w:type="dxa"/>
            <w:vAlign w:val="center"/>
          </w:tcPr>
          <w:p>
            <w:pPr>
              <w:pStyle w:val="14"/>
            </w:pPr>
            <w:r>
              <w:t>提高执法人员形象</w:t>
            </w:r>
          </w:p>
        </w:tc>
        <w:tc>
          <w:tcPr>
            <w:tcW w:w="1276" w:type="dxa"/>
            <w:vAlign w:val="center"/>
          </w:tcPr>
          <w:p>
            <w:pPr>
              <w:pStyle w:val="14"/>
            </w:pPr>
            <w:r>
              <w:t>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5386" w:type="dxa"/>
            <w:vAlign w:val="center"/>
          </w:tcPr>
          <w:p>
            <w:pPr>
              <w:pStyle w:val="14"/>
            </w:pPr>
            <w:r>
              <w:t>职工满意度</w:t>
            </w:r>
          </w:p>
        </w:tc>
        <w:tc>
          <w:tcPr>
            <w:tcW w:w="2268" w:type="dxa"/>
            <w:vAlign w:val="center"/>
          </w:tcPr>
          <w:p>
            <w:pPr>
              <w:pStyle w:val="14"/>
            </w:pPr>
            <w:r>
              <w:t>≥90百分比</w:t>
            </w:r>
          </w:p>
        </w:tc>
        <w:tc>
          <w:tcPr>
            <w:tcW w:w="1276" w:type="dxa"/>
            <w:vAlign w:val="center"/>
          </w:tcPr>
          <w:p>
            <w:pPr>
              <w:pStyle w:val="14"/>
            </w:pPr>
            <w:r>
              <w:t>相关政策文件要求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2、非煤矿山安全生产专项经费绩效目标表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13058224P00Y25A10060N</w:t>
            </w:r>
          </w:p>
        </w:tc>
        <w:tc>
          <w:tcPr>
            <w:tcW w:w="2835" w:type="dxa"/>
            <w:vAlign w:val="center"/>
          </w:tcPr>
          <w:p>
            <w:pPr>
              <w:pStyle w:val="12"/>
            </w:pPr>
            <w:r>
              <w:t>项目名称</w:t>
            </w:r>
          </w:p>
        </w:tc>
        <w:tc>
          <w:tcPr>
            <w:tcW w:w="6094" w:type="dxa"/>
            <w:gridSpan w:val="3"/>
            <w:vAlign w:val="center"/>
          </w:tcPr>
          <w:p>
            <w:pPr>
              <w:pStyle w:val="14"/>
            </w:pPr>
            <w:r>
              <w:t>非煤矿山安全生产专项经费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196.23</w:t>
            </w:r>
          </w:p>
        </w:tc>
        <w:tc>
          <w:tcPr>
            <w:tcW w:w="2835" w:type="dxa"/>
            <w:vAlign w:val="center"/>
          </w:tcPr>
          <w:p>
            <w:pPr>
              <w:pStyle w:val="12"/>
            </w:pPr>
            <w:r>
              <w:t>其中：财政    资金</w:t>
            </w:r>
          </w:p>
        </w:tc>
        <w:tc>
          <w:tcPr>
            <w:tcW w:w="2551" w:type="dxa"/>
            <w:vAlign w:val="center"/>
          </w:tcPr>
          <w:p>
            <w:pPr>
              <w:pStyle w:val="14"/>
            </w:pPr>
            <w:r>
              <w:t>196.23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加强安全生产巡查，提升安全生产忧患意识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49.06</w:t>
            </w:r>
          </w:p>
        </w:tc>
        <w:tc>
          <w:tcPr>
            <w:tcW w:w="2835" w:type="dxa"/>
            <w:vAlign w:val="center"/>
          </w:tcPr>
          <w:p>
            <w:pPr>
              <w:pStyle w:val="15"/>
            </w:pPr>
            <w:r>
              <w:t>98.12</w:t>
            </w:r>
          </w:p>
        </w:tc>
        <w:tc>
          <w:tcPr>
            <w:tcW w:w="2551" w:type="dxa"/>
            <w:vAlign w:val="center"/>
          </w:tcPr>
          <w:p>
            <w:pPr>
              <w:pStyle w:val="15"/>
            </w:pPr>
            <w:r>
              <w:t>147.17</w:t>
            </w:r>
          </w:p>
        </w:tc>
        <w:tc>
          <w:tcPr>
            <w:tcW w:w="3543" w:type="dxa"/>
            <w:gridSpan w:val="2"/>
            <w:vAlign w:val="center"/>
          </w:tcPr>
          <w:p>
            <w:pPr>
              <w:pStyle w:val="15"/>
            </w:pPr>
            <w:r>
              <w:t>196.23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1.加强安全生产巡查，提升安全生产忧患意识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巡查次数</w:t>
            </w:r>
          </w:p>
        </w:tc>
        <w:tc>
          <w:tcPr>
            <w:tcW w:w="5386" w:type="dxa"/>
            <w:vAlign w:val="center"/>
          </w:tcPr>
          <w:p>
            <w:pPr>
              <w:pStyle w:val="14"/>
            </w:pPr>
            <w:r>
              <w:t>巡查次数</w:t>
            </w:r>
          </w:p>
        </w:tc>
        <w:tc>
          <w:tcPr>
            <w:tcW w:w="2268" w:type="dxa"/>
            <w:vAlign w:val="center"/>
          </w:tcPr>
          <w:p>
            <w:pPr>
              <w:pStyle w:val="14"/>
            </w:pPr>
            <w:r>
              <w:t>≥20次</w:t>
            </w:r>
          </w:p>
        </w:tc>
        <w:tc>
          <w:tcPr>
            <w:tcW w:w="1276" w:type="dxa"/>
            <w:vAlign w:val="center"/>
          </w:tcPr>
          <w:p>
            <w:pPr>
              <w:pStyle w:val="14"/>
            </w:pPr>
            <w:r>
              <w:t>对相关企业每旬至少一次检查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开展宣传</w:t>
            </w:r>
          </w:p>
        </w:tc>
        <w:tc>
          <w:tcPr>
            <w:tcW w:w="5386" w:type="dxa"/>
            <w:vAlign w:val="center"/>
          </w:tcPr>
          <w:p>
            <w:pPr>
              <w:pStyle w:val="14"/>
            </w:pPr>
            <w:r>
              <w:t>开展安全生产应急宣传教育活动</w:t>
            </w:r>
          </w:p>
        </w:tc>
        <w:tc>
          <w:tcPr>
            <w:tcW w:w="2268" w:type="dxa"/>
            <w:vAlign w:val="center"/>
          </w:tcPr>
          <w:p>
            <w:pPr>
              <w:pStyle w:val="14"/>
            </w:pPr>
            <w:r>
              <w:t>≥2次</w:t>
            </w:r>
          </w:p>
        </w:tc>
        <w:tc>
          <w:tcPr>
            <w:tcW w:w="1276" w:type="dxa"/>
            <w:vAlign w:val="center"/>
          </w:tcPr>
          <w:p>
            <w:pPr>
              <w:pStyle w:val="14"/>
            </w:pPr>
            <w:r>
              <w:t>对安全生产宣传次数不少于2次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及时开展巡查工作</w:t>
            </w:r>
          </w:p>
        </w:tc>
        <w:tc>
          <w:tcPr>
            <w:tcW w:w="5386" w:type="dxa"/>
            <w:vAlign w:val="center"/>
          </w:tcPr>
          <w:p>
            <w:pPr>
              <w:pStyle w:val="14"/>
            </w:pPr>
            <w:r>
              <w:t>按计划及时开展巡查工作</w:t>
            </w:r>
          </w:p>
        </w:tc>
        <w:tc>
          <w:tcPr>
            <w:tcW w:w="2268" w:type="dxa"/>
            <w:vAlign w:val="center"/>
          </w:tcPr>
          <w:p>
            <w:pPr>
              <w:pStyle w:val="14"/>
            </w:pPr>
            <w:r>
              <w:t>≥90%</w:t>
            </w:r>
          </w:p>
        </w:tc>
        <w:tc>
          <w:tcPr>
            <w:tcW w:w="1276" w:type="dxa"/>
            <w:vAlign w:val="center"/>
          </w:tcPr>
          <w:p>
            <w:pPr>
              <w:pStyle w:val="14"/>
            </w:pPr>
            <w:r>
              <w:t>按工作方案开展工作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机关工作正常运行</w:t>
            </w:r>
          </w:p>
        </w:tc>
        <w:tc>
          <w:tcPr>
            <w:tcW w:w="5386" w:type="dxa"/>
            <w:vAlign w:val="center"/>
          </w:tcPr>
          <w:p>
            <w:pPr>
              <w:pStyle w:val="14"/>
            </w:pPr>
            <w:r>
              <w:t>保障机关工作正常运行</w:t>
            </w:r>
          </w:p>
        </w:tc>
        <w:tc>
          <w:tcPr>
            <w:tcW w:w="2268" w:type="dxa"/>
            <w:vAlign w:val="center"/>
          </w:tcPr>
          <w:p>
            <w:pPr>
              <w:pStyle w:val="14"/>
            </w:pPr>
            <w:r>
              <w:t>正常运行</w:t>
            </w:r>
          </w:p>
        </w:tc>
        <w:tc>
          <w:tcPr>
            <w:tcW w:w="1276" w:type="dxa"/>
            <w:vAlign w:val="center"/>
          </w:tcPr>
          <w:p>
            <w:pPr>
              <w:pStyle w:val="14"/>
            </w:pPr>
            <w:r>
              <w:t>保障机关工作正常运行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持续保障应急工作顺利进行</w:t>
            </w:r>
          </w:p>
        </w:tc>
        <w:tc>
          <w:tcPr>
            <w:tcW w:w="5386" w:type="dxa"/>
            <w:vAlign w:val="center"/>
          </w:tcPr>
          <w:p>
            <w:pPr>
              <w:pStyle w:val="14"/>
            </w:pPr>
            <w:r>
              <w:t>持续保障应急工作顺利进行</w:t>
            </w:r>
          </w:p>
        </w:tc>
        <w:tc>
          <w:tcPr>
            <w:tcW w:w="2268" w:type="dxa"/>
            <w:vAlign w:val="center"/>
          </w:tcPr>
          <w:p>
            <w:pPr>
              <w:pStyle w:val="14"/>
            </w:pPr>
            <w:r>
              <w:t>≥90%</w:t>
            </w:r>
          </w:p>
        </w:tc>
        <w:tc>
          <w:tcPr>
            <w:tcW w:w="1276" w:type="dxa"/>
            <w:vAlign w:val="center"/>
          </w:tcPr>
          <w:p>
            <w:pPr>
              <w:pStyle w:val="14"/>
            </w:pPr>
            <w:r>
              <w:t>按照机关三定方案开展工作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5386" w:type="dxa"/>
            <w:vAlign w:val="center"/>
          </w:tcPr>
          <w:p>
            <w:pPr>
              <w:pStyle w:val="14"/>
            </w:pPr>
            <w:r>
              <w:t>非煤矿山企业对安全生产监管工作的满意度</w:t>
            </w:r>
          </w:p>
        </w:tc>
        <w:tc>
          <w:tcPr>
            <w:tcW w:w="2268" w:type="dxa"/>
            <w:vAlign w:val="center"/>
          </w:tcPr>
          <w:p>
            <w:pPr>
              <w:pStyle w:val="14"/>
            </w:pPr>
            <w:r>
              <w:t>≥90%</w:t>
            </w:r>
          </w:p>
        </w:tc>
        <w:tc>
          <w:tcPr>
            <w:tcW w:w="1276" w:type="dxa"/>
            <w:vAlign w:val="center"/>
          </w:tcPr>
          <w:p>
            <w:pPr>
              <w:pStyle w:val="14"/>
            </w:pPr>
            <w:r>
              <w:t>服务对象对工作开展的满意程度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3、加强专业森林消防队伍建设资金绩效目标表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13058224P00Y25A10061A</w:t>
            </w:r>
          </w:p>
        </w:tc>
        <w:tc>
          <w:tcPr>
            <w:tcW w:w="2835" w:type="dxa"/>
            <w:vAlign w:val="center"/>
          </w:tcPr>
          <w:p>
            <w:pPr>
              <w:pStyle w:val="12"/>
            </w:pPr>
            <w:r>
              <w:t>项目名称</w:t>
            </w:r>
          </w:p>
        </w:tc>
        <w:tc>
          <w:tcPr>
            <w:tcW w:w="6094" w:type="dxa"/>
            <w:gridSpan w:val="3"/>
            <w:vAlign w:val="center"/>
          </w:tcPr>
          <w:p>
            <w:pPr>
              <w:pStyle w:val="14"/>
            </w:pPr>
            <w:r>
              <w:t>加强专业森林消防队伍建设资金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431.40</w:t>
            </w:r>
          </w:p>
        </w:tc>
        <w:tc>
          <w:tcPr>
            <w:tcW w:w="2835" w:type="dxa"/>
            <w:vAlign w:val="center"/>
          </w:tcPr>
          <w:p>
            <w:pPr>
              <w:pStyle w:val="12"/>
            </w:pPr>
            <w:r>
              <w:t>其中：财政    资金</w:t>
            </w:r>
          </w:p>
        </w:tc>
        <w:tc>
          <w:tcPr>
            <w:tcW w:w="2551" w:type="dxa"/>
            <w:vAlign w:val="center"/>
          </w:tcPr>
          <w:p>
            <w:pPr>
              <w:pStyle w:val="14"/>
            </w:pPr>
            <w:r>
              <w:t>431.40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组建专业森林消防队伍，保障学习训练，顺利开展工作。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107.85</w:t>
            </w:r>
          </w:p>
        </w:tc>
        <w:tc>
          <w:tcPr>
            <w:tcW w:w="2835" w:type="dxa"/>
            <w:vAlign w:val="center"/>
          </w:tcPr>
          <w:p>
            <w:pPr>
              <w:pStyle w:val="15"/>
            </w:pPr>
            <w:r>
              <w:t>215.70</w:t>
            </w:r>
          </w:p>
        </w:tc>
        <w:tc>
          <w:tcPr>
            <w:tcW w:w="2551" w:type="dxa"/>
            <w:vAlign w:val="center"/>
          </w:tcPr>
          <w:p>
            <w:pPr>
              <w:pStyle w:val="15"/>
            </w:pPr>
            <w:r>
              <w:t>323.55</w:t>
            </w:r>
          </w:p>
        </w:tc>
        <w:tc>
          <w:tcPr>
            <w:tcW w:w="3543" w:type="dxa"/>
            <w:gridSpan w:val="2"/>
            <w:vAlign w:val="center"/>
          </w:tcPr>
          <w:p>
            <w:pPr>
              <w:pStyle w:val="15"/>
            </w:pPr>
            <w:r>
              <w:t>431.40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1.用于组建专业森林消防队伍，支付队员工资、保险，福利，保障学习训练，顺利开展工作。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专业扑火队伍建队率</w:t>
            </w:r>
          </w:p>
        </w:tc>
        <w:tc>
          <w:tcPr>
            <w:tcW w:w="5386" w:type="dxa"/>
            <w:vAlign w:val="center"/>
          </w:tcPr>
          <w:p>
            <w:pPr>
              <w:pStyle w:val="14"/>
            </w:pPr>
            <w:r>
              <w:t>按二级防火县标准，建队率达到85%以上，定期开展培训教育</w:t>
            </w:r>
          </w:p>
        </w:tc>
        <w:tc>
          <w:tcPr>
            <w:tcW w:w="2268" w:type="dxa"/>
            <w:vAlign w:val="center"/>
          </w:tcPr>
          <w:p>
            <w:pPr>
              <w:pStyle w:val="14"/>
            </w:pPr>
            <w:r>
              <w:t>≥85%</w:t>
            </w:r>
          </w:p>
        </w:tc>
        <w:tc>
          <w:tcPr>
            <w:tcW w:w="1276" w:type="dxa"/>
            <w:vAlign w:val="center"/>
          </w:tcPr>
          <w:p>
            <w:pPr>
              <w:pStyle w:val="14"/>
            </w:pPr>
            <w:r>
              <w:t>2019年省级政府安全生产和消防工作考评标准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扑火队伍配备扑火装备</w:t>
            </w:r>
          </w:p>
        </w:tc>
        <w:tc>
          <w:tcPr>
            <w:tcW w:w="5386" w:type="dxa"/>
            <w:vAlign w:val="center"/>
          </w:tcPr>
          <w:p>
            <w:pPr>
              <w:pStyle w:val="14"/>
            </w:pPr>
            <w:r>
              <w:t>健全扑火队伍配备扑火装备</w:t>
            </w:r>
          </w:p>
        </w:tc>
        <w:tc>
          <w:tcPr>
            <w:tcW w:w="2268" w:type="dxa"/>
            <w:vAlign w:val="center"/>
          </w:tcPr>
          <w:p>
            <w:pPr>
              <w:pStyle w:val="14"/>
            </w:pPr>
            <w:r>
              <w:t>≥90%</w:t>
            </w:r>
          </w:p>
        </w:tc>
        <w:tc>
          <w:tcPr>
            <w:tcW w:w="1276" w:type="dxa"/>
            <w:vAlign w:val="center"/>
          </w:tcPr>
          <w:p>
            <w:pPr>
              <w:pStyle w:val="14"/>
            </w:pPr>
            <w:r>
              <w:t>2019年省级政府安全生产和消防工作考评标准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组织开展森林督导检查</w:t>
            </w:r>
          </w:p>
        </w:tc>
        <w:tc>
          <w:tcPr>
            <w:tcW w:w="5386" w:type="dxa"/>
            <w:vAlign w:val="center"/>
          </w:tcPr>
          <w:p>
            <w:pPr>
              <w:pStyle w:val="14"/>
            </w:pPr>
            <w:r>
              <w:t>组织森林火灾应急演练，开展森林防灭火预防检查</w:t>
            </w:r>
          </w:p>
        </w:tc>
        <w:tc>
          <w:tcPr>
            <w:tcW w:w="2268" w:type="dxa"/>
            <w:vAlign w:val="center"/>
          </w:tcPr>
          <w:p>
            <w:pPr>
              <w:pStyle w:val="14"/>
            </w:pPr>
            <w:r>
              <w:t>≥3次</w:t>
            </w:r>
          </w:p>
        </w:tc>
        <w:tc>
          <w:tcPr>
            <w:tcW w:w="1276" w:type="dxa"/>
            <w:vAlign w:val="center"/>
          </w:tcPr>
          <w:p>
            <w:pPr>
              <w:pStyle w:val="14"/>
            </w:pPr>
            <w:r>
              <w:t>督导检查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支出成本</w:t>
            </w:r>
          </w:p>
        </w:tc>
        <w:tc>
          <w:tcPr>
            <w:tcW w:w="5386" w:type="dxa"/>
            <w:vAlign w:val="center"/>
          </w:tcPr>
          <w:p>
            <w:pPr>
              <w:pStyle w:val="14"/>
            </w:pPr>
            <w:r>
              <w:t>支出成本不超过预算</w:t>
            </w:r>
          </w:p>
        </w:tc>
        <w:tc>
          <w:tcPr>
            <w:tcW w:w="2268" w:type="dxa"/>
            <w:vAlign w:val="center"/>
          </w:tcPr>
          <w:p>
            <w:pPr>
              <w:pStyle w:val="14"/>
            </w:pPr>
            <w:r>
              <w:t>不超过预算</w:t>
            </w:r>
          </w:p>
        </w:tc>
        <w:tc>
          <w:tcPr>
            <w:tcW w:w="1276" w:type="dxa"/>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宣传作用</w:t>
            </w:r>
          </w:p>
        </w:tc>
        <w:tc>
          <w:tcPr>
            <w:tcW w:w="5386" w:type="dxa"/>
            <w:vAlign w:val="center"/>
          </w:tcPr>
          <w:p>
            <w:pPr>
              <w:pStyle w:val="14"/>
            </w:pPr>
            <w:r>
              <w:t>起到良好作用</w:t>
            </w:r>
          </w:p>
        </w:tc>
        <w:tc>
          <w:tcPr>
            <w:tcW w:w="2268" w:type="dxa"/>
            <w:vAlign w:val="center"/>
          </w:tcPr>
          <w:p>
            <w:pPr>
              <w:pStyle w:val="14"/>
            </w:pPr>
            <w:r>
              <w:t>≥80%</w:t>
            </w:r>
          </w:p>
        </w:tc>
        <w:tc>
          <w:tcPr>
            <w:tcW w:w="1276" w:type="dxa"/>
            <w:vAlign w:val="center"/>
          </w:tcPr>
          <w:p>
            <w:pPr>
              <w:pStyle w:val="14"/>
            </w:pPr>
            <w:r>
              <w:t>提高群众认知度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≥80%</w:t>
            </w:r>
          </w:p>
        </w:tc>
        <w:tc>
          <w:tcPr>
            <w:tcW w:w="1276" w:type="dxa"/>
            <w:vAlign w:val="center"/>
          </w:tcPr>
          <w:p>
            <w:pPr>
              <w:pStyle w:val="14"/>
            </w:pPr>
            <w:r>
              <w:t>服务对象对工作开展的满意程度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4、煤矿留守处经费绩效目标表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13058224P00Y25A10062X</w:t>
            </w:r>
          </w:p>
        </w:tc>
        <w:tc>
          <w:tcPr>
            <w:tcW w:w="2835" w:type="dxa"/>
            <w:vAlign w:val="center"/>
          </w:tcPr>
          <w:p>
            <w:pPr>
              <w:pStyle w:val="12"/>
            </w:pPr>
            <w:r>
              <w:t>项目名称</w:t>
            </w:r>
          </w:p>
        </w:tc>
        <w:tc>
          <w:tcPr>
            <w:tcW w:w="6094" w:type="dxa"/>
            <w:gridSpan w:val="3"/>
            <w:vAlign w:val="center"/>
          </w:tcPr>
          <w:p>
            <w:pPr>
              <w:pStyle w:val="14"/>
            </w:pPr>
            <w:r>
              <w:t>煤矿留守处经费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14.00</w:t>
            </w:r>
          </w:p>
        </w:tc>
        <w:tc>
          <w:tcPr>
            <w:tcW w:w="2835" w:type="dxa"/>
            <w:vAlign w:val="center"/>
          </w:tcPr>
          <w:p>
            <w:pPr>
              <w:pStyle w:val="12"/>
            </w:pPr>
            <w:r>
              <w:t>其中：财政    资金</w:t>
            </w:r>
          </w:p>
        </w:tc>
        <w:tc>
          <w:tcPr>
            <w:tcW w:w="2551" w:type="dxa"/>
            <w:vAlign w:val="center"/>
          </w:tcPr>
          <w:p>
            <w:pPr>
              <w:pStyle w:val="14"/>
            </w:pPr>
            <w:r>
              <w:t>14.00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保障留守处人员工资按时发放，解决李家庄、三王村煤矿遗留问题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3.50</w:t>
            </w:r>
          </w:p>
        </w:tc>
        <w:tc>
          <w:tcPr>
            <w:tcW w:w="2835" w:type="dxa"/>
            <w:vAlign w:val="center"/>
          </w:tcPr>
          <w:p>
            <w:pPr>
              <w:pStyle w:val="15"/>
            </w:pPr>
            <w:r>
              <w:t>7.00</w:t>
            </w:r>
          </w:p>
        </w:tc>
        <w:tc>
          <w:tcPr>
            <w:tcW w:w="2551" w:type="dxa"/>
            <w:vAlign w:val="center"/>
          </w:tcPr>
          <w:p>
            <w:pPr>
              <w:pStyle w:val="15"/>
            </w:pPr>
            <w:r>
              <w:t>10.50</w:t>
            </w:r>
          </w:p>
        </w:tc>
        <w:tc>
          <w:tcPr>
            <w:tcW w:w="3543" w:type="dxa"/>
            <w:gridSpan w:val="2"/>
            <w:vAlign w:val="center"/>
          </w:tcPr>
          <w:p>
            <w:pPr>
              <w:pStyle w:val="15"/>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1.保障留守处人员工资按时发放，解决李家庄、三王村煤矿遗留问题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管理企业数量</w:t>
            </w:r>
          </w:p>
        </w:tc>
        <w:tc>
          <w:tcPr>
            <w:tcW w:w="5386" w:type="dxa"/>
            <w:vAlign w:val="center"/>
          </w:tcPr>
          <w:p>
            <w:pPr>
              <w:pStyle w:val="14"/>
            </w:pPr>
            <w:r>
              <w:t>李家庄煤矿、三王村煤矿</w:t>
            </w:r>
          </w:p>
        </w:tc>
        <w:tc>
          <w:tcPr>
            <w:tcW w:w="2268" w:type="dxa"/>
            <w:vAlign w:val="center"/>
          </w:tcPr>
          <w:p>
            <w:pPr>
              <w:pStyle w:val="14"/>
            </w:pPr>
            <w:r>
              <w:t>2家</w:t>
            </w:r>
          </w:p>
        </w:tc>
        <w:tc>
          <w:tcPr>
            <w:tcW w:w="1276" w:type="dxa"/>
            <w:vAlign w:val="center"/>
          </w:tcPr>
          <w:p>
            <w:pPr>
              <w:pStyle w:val="14"/>
            </w:pPr>
            <w:r>
              <w:t>代管李家庄三王村煤矿遗留问题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5386" w:type="dxa"/>
            <w:vAlign w:val="center"/>
          </w:tcPr>
          <w:p>
            <w:pPr>
              <w:pStyle w:val="14"/>
            </w:pPr>
            <w:r>
              <w:t>遗留问题出现后是否及时上报，尽力解决</w:t>
            </w:r>
          </w:p>
        </w:tc>
        <w:tc>
          <w:tcPr>
            <w:tcW w:w="2268" w:type="dxa"/>
            <w:vAlign w:val="center"/>
          </w:tcPr>
          <w:p>
            <w:pPr>
              <w:pStyle w:val="14"/>
            </w:pPr>
            <w:r>
              <w:t>≥90%</w:t>
            </w:r>
          </w:p>
        </w:tc>
        <w:tc>
          <w:tcPr>
            <w:tcW w:w="1276" w:type="dxa"/>
            <w:vAlign w:val="center"/>
          </w:tcPr>
          <w:p>
            <w:pPr>
              <w:pStyle w:val="14"/>
            </w:pPr>
            <w:r>
              <w:t>及时处理李家庄三王村煤矿遗留问题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留守处人员工资发放率</w:t>
            </w:r>
          </w:p>
        </w:tc>
        <w:tc>
          <w:tcPr>
            <w:tcW w:w="5386" w:type="dxa"/>
            <w:vAlign w:val="center"/>
          </w:tcPr>
          <w:p>
            <w:pPr>
              <w:pStyle w:val="14"/>
            </w:pPr>
            <w:r>
              <w:t>留守处人员工资按时发放</w:t>
            </w:r>
          </w:p>
        </w:tc>
        <w:tc>
          <w:tcPr>
            <w:tcW w:w="2268" w:type="dxa"/>
            <w:vAlign w:val="center"/>
          </w:tcPr>
          <w:p>
            <w:pPr>
              <w:pStyle w:val="14"/>
            </w:pPr>
            <w:r>
              <w:t>≥90%</w:t>
            </w:r>
          </w:p>
        </w:tc>
        <w:tc>
          <w:tcPr>
            <w:tcW w:w="1276" w:type="dxa"/>
            <w:vAlign w:val="center"/>
          </w:tcPr>
          <w:p>
            <w:pPr>
              <w:pStyle w:val="14"/>
            </w:pPr>
            <w:r>
              <w:t>留守处人员工资按时发放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补偿资金是否达到标准</w:t>
            </w:r>
          </w:p>
        </w:tc>
        <w:tc>
          <w:tcPr>
            <w:tcW w:w="5386" w:type="dxa"/>
            <w:vAlign w:val="center"/>
          </w:tcPr>
          <w:p>
            <w:pPr>
              <w:pStyle w:val="14"/>
            </w:pPr>
            <w:r>
              <w:t>是否按要求发放补偿资金</w:t>
            </w:r>
          </w:p>
        </w:tc>
        <w:tc>
          <w:tcPr>
            <w:tcW w:w="2268" w:type="dxa"/>
            <w:vAlign w:val="center"/>
          </w:tcPr>
          <w:p>
            <w:pPr>
              <w:pStyle w:val="14"/>
            </w:pPr>
            <w:r>
              <w:t>≥90%</w:t>
            </w:r>
          </w:p>
        </w:tc>
        <w:tc>
          <w:tcPr>
            <w:tcW w:w="1276" w:type="dxa"/>
            <w:vAlign w:val="center"/>
          </w:tcPr>
          <w:p>
            <w:pPr>
              <w:pStyle w:val="14"/>
            </w:pPr>
            <w:r>
              <w:t>按照劳动局核算标准完成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5386" w:type="dxa"/>
            <w:vAlign w:val="center"/>
          </w:tcPr>
          <w:p>
            <w:pPr>
              <w:pStyle w:val="14"/>
            </w:pPr>
            <w:r>
              <w:t>及时了解企业遗留问题，维护社会稳定</w:t>
            </w:r>
          </w:p>
        </w:tc>
        <w:tc>
          <w:tcPr>
            <w:tcW w:w="2268" w:type="dxa"/>
            <w:vAlign w:val="center"/>
          </w:tcPr>
          <w:p>
            <w:pPr>
              <w:pStyle w:val="14"/>
            </w:pPr>
            <w:r>
              <w:t>是否</w:t>
            </w:r>
          </w:p>
        </w:tc>
        <w:tc>
          <w:tcPr>
            <w:tcW w:w="1276" w:type="dxa"/>
            <w:vAlign w:val="center"/>
          </w:tcPr>
          <w:p>
            <w:pPr>
              <w:pStyle w:val="14"/>
            </w:pPr>
            <w:r>
              <w:t>工作中及时了解相关情况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相关群众满意程度</w:t>
            </w:r>
          </w:p>
        </w:tc>
        <w:tc>
          <w:tcPr>
            <w:tcW w:w="2268" w:type="dxa"/>
            <w:vAlign w:val="center"/>
          </w:tcPr>
          <w:p>
            <w:pPr>
              <w:pStyle w:val="14"/>
            </w:pPr>
            <w:r>
              <w:t>≥80%</w:t>
            </w:r>
          </w:p>
        </w:tc>
        <w:tc>
          <w:tcPr>
            <w:tcW w:w="1276" w:type="dxa"/>
            <w:vAlign w:val="center"/>
          </w:tcPr>
          <w:p>
            <w:pPr>
              <w:pStyle w:val="14"/>
            </w:pPr>
            <w:r>
              <w:t>服务对象对工作的满意程度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5、农房保险资金绩效目标表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13058224P00Y25A10058P</w:t>
            </w:r>
          </w:p>
        </w:tc>
        <w:tc>
          <w:tcPr>
            <w:tcW w:w="2835" w:type="dxa"/>
            <w:vAlign w:val="center"/>
          </w:tcPr>
          <w:p>
            <w:pPr>
              <w:pStyle w:val="12"/>
            </w:pPr>
            <w:r>
              <w:t>项目名称</w:t>
            </w:r>
          </w:p>
        </w:tc>
        <w:tc>
          <w:tcPr>
            <w:tcW w:w="6094" w:type="dxa"/>
            <w:gridSpan w:val="3"/>
            <w:vAlign w:val="center"/>
          </w:tcPr>
          <w:p>
            <w:pPr>
              <w:pStyle w:val="14"/>
            </w:pPr>
            <w:r>
              <w:t>农房保险资金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19.70</w:t>
            </w:r>
          </w:p>
        </w:tc>
        <w:tc>
          <w:tcPr>
            <w:tcW w:w="2835" w:type="dxa"/>
            <w:vAlign w:val="center"/>
          </w:tcPr>
          <w:p>
            <w:pPr>
              <w:pStyle w:val="12"/>
            </w:pPr>
            <w:r>
              <w:t>其中：财政    资金</w:t>
            </w:r>
          </w:p>
        </w:tc>
        <w:tc>
          <w:tcPr>
            <w:tcW w:w="2551" w:type="dxa"/>
            <w:vAlign w:val="center"/>
          </w:tcPr>
          <w:p>
            <w:pPr>
              <w:pStyle w:val="14"/>
            </w:pPr>
            <w:r>
              <w:t>19.70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通过财政保险补助，引导鼓励农户参保，增强受灾群众抵御自然灾害能力，化解自然灾害引起的政府风险，减轻财政支出压力，提高农村居民灾后重建家园，恢复基本生产生活能力。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19.70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1.通过财政保险补助，引导鼓励农户参保，增强受灾群众抵御自然灾害能力，化解自然灾害引起的政府风险，减轻财政支出压力，提高农村居民灾后重建家园，恢复基本生产生活能力。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补助数量</w:t>
            </w:r>
          </w:p>
        </w:tc>
        <w:tc>
          <w:tcPr>
            <w:tcW w:w="5386" w:type="dxa"/>
            <w:vAlign w:val="center"/>
          </w:tcPr>
          <w:p>
            <w:pPr>
              <w:pStyle w:val="14"/>
            </w:pPr>
            <w:r>
              <w:t>补助户数</w:t>
            </w:r>
          </w:p>
        </w:tc>
        <w:tc>
          <w:tcPr>
            <w:tcW w:w="2268" w:type="dxa"/>
            <w:vAlign w:val="center"/>
          </w:tcPr>
          <w:p>
            <w:pPr>
              <w:pStyle w:val="14"/>
            </w:pPr>
            <w:r>
              <w:t>≥50000户</w:t>
            </w:r>
          </w:p>
        </w:tc>
        <w:tc>
          <w:tcPr>
            <w:tcW w:w="1276" w:type="dxa"/>
            <w:vAlign w:val="center"/>
          </w:tcPr>
          <w:p>
            <w:pPr>
              <w:pStyle w:val="14"/>
            </w:pPr>
            <w:r>
              <w:t>根据相关政策文件要求年投保用户不低于50000户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补助覆盖率</w:t>
            </w:r>
          </w:p>
        </w:tc>
        <w:tc>
          <w:tcPr>
            <w:tcW w:w="5386" w:type="dxa"/>
            <w:vAlign w:val="center"/>
          </w:tcPr>
          <w:p>
            <w:pPr>
              <w:pStyle w:val="14"/>
            </w:pPr>
            <w:r>
              <w:t>已补助人数占应补助人数的比率</w:t>
            </w:r>
          </w:p>
        </w:tc>
        <w:tc>
          <w:tcPr>
            <w:tcW w:w="2268" w:type="dxa"/>
            <w:vAlign w:val="center"/>
          </w:tcPr>
          <w:p>
            <w:pPr>
              <w:pStyle w:val="14"/>
            </w:pPr>
            <w:r>
              <w:t>≥90%</w:t>
            </w:r>
          </w:p>
        </w:tc>
        <w:tc>
          <w:tcPr>
            <w:tcW w:w="1276" w:type="dxa"/>
            <w:vAlign w:val="center"/>
          </w:tcPr>
          <w:p>
            <w:pPr>
              <w:pStyle w:val="14"/>
            </w:pPr>
            <w:r>
              <w:t>投保用户占应保用户比例不低于90%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赔付及时率</w:t>
            </w:r>
          </w:p>
        </w:tc>
        <w:tc>
          <w:tcPr>
            <w:tcW w:w="5386" w:type="dxa"/>
            <w:vAlign w:val="center"/>
          </w:tcPr>
          <w:p>
            <w:pPr>
              <w:pStyle w:val="14"/>
            </w:pPr>
            <w:r>
              <w:t>保险赔偿金发放及时率</w:t>
            </w:r>
          </w:p>
        </w:tc>
        <w:tc>
          <w:tcPr>
            <w:tcW w:w="2268" w:type="dxa"/>
            <w:vAlign w:val="center"/>
          </w:tcPr>
          <w:p>
            <w:pPr>
              <w:pStyle w:val="14"/>
            </w:pPr>
            <w:r>
              <w:t>≤7工作日</w:t>
            </w:r>
          </w:p>
        </w:tc>
        <w:tc>
          <w:tcPr>
            <w:tcW w:w="1276" w:type="dxa"/>
            <w:vAlign w:val="center"/>
          </w:tcPr>
          <w:p>
            <w:pPr>
              <w:pStyle w:val="14"/>
            </w:pPr>
            <w:r>
              <w:t>保险赔偿金是否按规定时间进行赔付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补助金发放率</w:t>
            </w:r>
          </w:p>
        </w:tc>
        <w:tc>
          <w:tcPr>
            <w:tcW w:w="5386" w:type="dxa"/>
            <w:vAlign w:val="center"/>
          </w:tcPr>
          <w:p>
            <w:pPr>
              <w:pStyle w:val="14"/>
            </w:pPr>
            <w:r>
              <w:t>实际发放占应发放比例</w:t>
            </w:r>
          </w:p>
        </w:tc>
        <w:tc>
          <w:tcPr>
            <w:tcW w:w="2268" w:type="dxa"/>
            <w:vAlign w:val="center"/>
          </w:tcPr>
          <w:p>
            <w:pPr>
              <w:pStyle w:val="14"/>
            </w:pPr>
            <w:r>
              <w:t>≥90%</w:t>
            </w:r>
          </w:p>
        </w:tc>
        <w:tc>
          <w:tcPr>
            <w:tcW w:w="1276" w:type="dxa"/>
            <w:vAlign w:val="center"/>
          </w:tcPr>
          <w:p>
            <w:pPr>
              <w:pStyle w:val="14"/>
            </w:pPr>
            <w:r>
              <w:t>保险赔偿金是否按规定要求进行赔付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恢复基本生活保障</w:t>
            </w:r>
          </w:p>
        </w:tc>
        <w:tc>
          <w:tcPr>
            <w:tcW w:w="5386" w:type="dxa"/>
            <w:vAlign w:val="center"/>
          </w:tcPr>
          <w:p>
            <w:pPr>
              <w:pStyle w:val="14"/>
            </w:pPr>
            <w:r>
              <w:t>有效降低自然灾害和意外事故对农民生产生活的影响</w:t>
            </w:r>
          </w:p>
        </w:tc>
        <w:tc>
          <w:tcPr>
            <w:tcW w:w="2268" w:type="dxa"/>
            <w:vAlign w:val="center"/>
          </w:tcPr>
          <w:p>
            <w:pPr>
              <w:pStyle w:val="14"/>
            </w:pPr>
            <w:r>
              <w:t>≥90%</w:t>
            </w:r>
          </w:p>
        </w:tc>
        <w:tc>
          <w:tcPr>
            <w:tcW w:w="1276" w:type="dxa"/>
            <w:vAlign w:val="center"/>
          </w:tcPr>
          <w:p>
            <w:pPr>
              <w:pStyle w:val="14"/>
            </w:pPr>
            <w:r>
              <w:t>有效降低自然灾害和意外事故对农民生产生活的影响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群众满意度占总数比例</w:t>
            </w:r>
          </w:p>
        </w:tc>
        <w:tc>
          <w:tcPr>
            <w:tcW w:w="2268" w:type="dxa"/>
            <w:vAlign w:val="center"/>
          </w:tcPr>
          <w:p>
            <w:pPr>
              <w:pStyle w:val="14"/>
            </w:pPr>
            <w:r>
              <w:t>≥90%</w:t>
            </w:r>
          </w:p>
        </w:tc>
        <w:tc>
          <w:tcPr>
            <w:tcW w:w="1276" w:type="dxa"/>
            <w:vAlign w:val="center"/>
          </w:tcPr>
          <w:p>
            <w:pPr>
              <w:pStyle w:val="14"/>
            </w:pPr>
            <w:r>
              <w:t>服务对象对工作开展的满意程度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6、业务补助经费*绩效目标表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13058224P00Y25A100645</w:t>
            </w:r>
          </w:p>
        </w:tc>
        <w:tc>
          <w:tcPr>
            <w:tcW w:w="2835" w:type="dxa"/>
            <w:vAlign w:val="center"/>
          </w:tcPr>
          <w:p>
            <w:pPr>
              <w:pStyle w:val="12"/>
            </w:pPr>
            <w:r>
              <w:t>项目名称</w:t>
            </w:r>
          </w:p>
        </w:tc>
        <w:tc>
          <w:tcPr>
            <w:tcW w:w="6094" w:type="dxa"/>
            <w:gridSpan w:val="3"/>
            <w:vAlign w:val="center"/>
          </w:tcPr>
          <w:p>
            <w:pPr>
              <w:pStyle w:val="14"/>
            </w:pPr>
            <w:r>
              <w:t>业务补助经费*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w:t>
            </w:r>
          </w:p>
        </w:tc>
        <w:tc>
          <w:tcPr>
            <w:tcW w:w="2835" w:type="dxa"/>
            <w:vAlign w:val="center"/>
          </w:tcPr>
          <w:p>
            <w:pPr>
              <w:pStyle w:val="12"/>
            </w:pPr>
            <w:r>
              <w:t>其中：财政    资金</w:t>
            </w:r>
          </w:p>
        </w:tc>
        <w:tc>
          <w:tcPr>
            <w:tcW w:w="2551" w:type="dxa"/>
            <w:vAlign w:val="center"/>
          </w:tcPr>
          <w:p>
            <w:pPr>
              <w:pStyle w:val="14"/>
            </w:pPr>
            <w:r>
              <w:t>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改善执法检查能力，加强高危行业事故排查和事故隐患排查治理力度，预防和减少高危行业事故的发生，增强组织协调能力。保障机关正常运转，各项业务顺利进行。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1.改善执法检查能力，加强高危行业事故排查和事故隐患排查治理力度，预防和减少高危行业事故的发生，增强组织协调能力。保障机关正常运转，各项业务顺利进行。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执法检查次数</w:t>
            </w:r>
          </w:p>
        </w:tc>
        <w:tc>
          <w:tcPr>
            <w:tcW w:w="5386" w:type="dxa"/>
            <w:vAlign w:val="center"/>
          </w:tcPr>
          <w:p>
            <w:pPr>
              <w:pStyle w:val="14"/>
            </w:pPr>
            <w:r>
              <w:t>开展执法检查</w:t>
            </w:r>
          </w:p>
        </w:tc>
        <w:tc>
          <w:tcPr>
            <w:tcW w:w="2268" w:type="dxa"/>
            <w:vAlign w:val="center"/>
          </w:tcPr>
          <w:p>
            <w:pPr>
              <w:pStyle w:val="14"/>
            </w:pPr>
            <w:r>
              <w:t>≥150次</w:t>
            </w:r>
          </w:p>
        </w:tc>
        <w:tc>
          <w:tcPr>
            <w:tcW w:w="1276" w:type="dxa"/>
            <w:vAlign w:val="center"/>
          </w:tcPr>
          <w:p>
            <w:pPr>
              <w:pStyle w:val="14"/>
            </w:pPr>
            <w:r>
              <w:t>按照工作方案开展检查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高质量巡查次数</w:t>
            </w:r>
          </w:p>
        </w:tc>
        <w:tc>
          <w:tcPr>
            <w:tcW w:w="5386" w:type="dxa"/>
            <w:vAlign w:val="center"/>
          </w:tcPr>
          <w:p>
            <w:pPr>
              <w:pStyle w:val="14"/>
            </w:pPr>
            <w:r>
              <w:t>高质量巡查</w:t>
            </w:r>
          </w:p>
        </w:tc>
        <w:tc>
          <w:tcPr>
            <w:tcW w:w="2268" w:type="dxa"/>
            <w:vAlign w:val="center"/>
          </w:tcPr>
          <w:p>
            <w:pPr>
              <w:pStyle w:val="14"/>
            </w:pPr>
            <w:r>
              <w:t>≥12次</w:t>
            </w:r>
          </w:p>
        </w:tc>
        <w:tc>
          <w:tcPr>
            <w:tcW w:w="1276" w:type="dxa"/>
            <w:vAlign w:val="center"/>
          </w:tcPr>
          <w:p>
            <w:pPr>
              <w:pStyle w:val="14"/>
            </w:pPr>
            <w:r>
              <w:t>每月至少一次督导检查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及时开展执法检查工作</w:t>
            </w:r>
          </w:p>
        </w:tc>
        <w:tc>
          <w:tcPr>
            <w:tcW w:w="5386" w:type="dxa"/>
            <w:vAlign w:val="center"/>
          </w:tcPr>
          <w:p>
            <w:pPr>
              <w:pStyle w:val="14"/>
            </w:pPr>
            <w:r>
              <w:t>按工作计划及时完成</w:t>
            </w:r>
          </w:p>
        </w:tc>
        <w:tc>
          <w:tcPr>
            <w:tcW w:w="2268" w:type="dxa"/>
            <w:vAlign w:val="center"/>
          </w:tcPr>
          <w:p>
            <w:pPr>
              <w:pStyle w:val="14"/>
            </w:pPr>
            <w:r>
              <w:t>≥90%</w:t>
            </w:r>
          </w:p>
        </w:tc>
        <w:tc>
          <w:tcPr>
            <w:tcW w:w="1276" w:type="dxa"/>
            <w:vAlign w:val="center"/>
          </w:tcPr>
          <w:p>
            <w:pPr>
              <w:pStyle w:val="14"/>
            </w:pPr>
            <w:r>
              <w:t>按工作计划进行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综合事务管理成本</w:t>
            </w:r>
          </w:p>
        </w:tc>
        <w:tc>
          <w:tcPr>
            <w:tcW w:w="5386" w:type="dxa"/>
            <w:vAlign w:val="center"/>
          </w:tcPr>
          <w:p>
            <w:pPr>
              <w:pStyle w:val="14"/>
            </w:pPr>
            <w:r>
              <w:t>综合事务管理成本</w:t>
            </w:r>
          </w:p>
        </w:tc>
        <w:tc>
          <w:tcPr>
            <w:tcW w:w="2268" w:type="dxa"/>
            <w:vAlign w:val="center"/>
          </w:tcPr>
          <w:p>
            <w:pPr>
              <w:pStyle w:val="14"/>
            </w:pPr>
            <w:r>
              <w:t>不超过预算</w:t>
            </w:r>
          </w:p>
        </w:tc>
        <w:tc>
          <w:tcPr>
            <w:tcW w:w="1276" w:type="dxa"/>
            <w:vAlign w:val="center"/>
          </w:tcPr>
          <w:p>
            <w:pPr>
              <w:pStyle w:val="14"/>
            </w:pPr>
            <w:r>
              <w:t>按财政实际拨付资金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隐患整改率</w:t>
            </w:r>
          </w:p>
        </w:tc>
        <w:tc>
          <w:tcPr>
            <w:tcW w:w="5386" w:type="dxa"/>
            <w:vAlign w:val="center"/>
          </w:tcPr>
          <w:p>
            <w:pPr>
              <w:pStyle w:val="14"/>
            </w:pPr>
            <w:r>
              <w:t>已整改隐患占执法发现隐患总数的比例</w:t>
            </w:r>
          </w:p>
        </w:tc>
        <w:tc>
          <w:tcPr>
            <w:tcW w:w="2268" w:type="dxa"/>
            <w:vAlign w:val="center"/>
          </w:tcPr>
          <w:p>
            <w:pPr>
              <w:pStyle w:val="14"/>
            </w:pPr>
            <w:r>
              <w:t>≥90%</w:t>
            </w:r>
          </w:p>
        </w:tc>
        <w:tc>
          <w:tcPr>
            <w:tcW w:w="1276" w:type="dxa"/>
            <w:vAlign w:val="center"/>
          </w:tcPr>
          <w:p>
            <w:pPr>
              <w:pStyle w:val="14"/>
            </w:pPr>
            <w:r>
              <w:t>按照整改方案进行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5386" w:type="dxa"/>
            <w:vAlign w:val="center"/>
          </w:tcPr>
          <w:p>
            <w:pPr>
              <w:pStyle w:val="14"/>
            </w:pPr>
            <w:r>
              <w:t>企业满意度</w:t>
            </w:r>
          </w:p>
        </w:tc>
        <w:tc>
          <w:tcPr>
            <w:tcW w:w="2268" w:type="dxa"/>
            <w:vAlign w:val="center"/>
          </w:tcPr>
          <w:p>
            <w:pPr>
              <w:pStyle w:val="14"/>
            </w:pPr>
            <w:r>
              <w:t>≥90%</w:t>
            </w:r>
          </w:p>
        </w:tc>
        <w:tc>
          <w:tcPr>
            <w:tcW w:w="1276" w:type="dxa"/>
            <w:vAlign w:val="center"/>
          </w:tcPr>
          <w:p>
            <w:pPr>
              <w:pStyle w:val="14"/>
            </w:pPr>
            <w:r>
              <w:t>服务对象对工作开展的满意程度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7、应急局工作经费绩效目标表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13058224P00Y25A10063H</w:t>
            </w:r>
          </w:p>
        </w:tc>
        <w:tc>
          <w:tcPr>
            <w:tcW w:w="2835" w:type="dxa"/>
            <w:vAlign w:val="center"/>
          </w:tcPr>
          <w:p>
            <w:pPr>
              <w:pStyle w:val="12"/>
            </w:pPr>
            <w:r>
              <w:t>项目名称</w:t>
            </w:r>
          </w:p>
        </w:tc>
        <w:tc>
          <w:tcPr>
            <w:tcW w:w="6094" w:type="dxa"/>
            <w:gridSpan w:val="3"/>
            <w:vAlign w:val="center"/>
          </w:tcPr>
          <w:p>
            <w:pPr>
              <w:pStyle w:val="14"/>
            </w:pPr>
            <w:r>
              <w:t>应急局工作经费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加强高危行业事故排查和事故隐患排查治理力度，预防和减少高危行业事故的发生，增强组织协调能力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1.25</w:t>
            </w:r>
          </w:p>
        </w:tc>
        <w:tc>
          <w:tcPr>
            <w:tcW w:w="2835" w:type="dxa"/>
            <w:vAlign w:val="center"/>
          </w:tcPr>
          <w:p>
            <w:pPr>
              <w:pStyle w:val="15"/>
            </w:pPr>
            <w:r>
              <w:t>2.50</w:t>
            </w:r>
          </w:p>
        </w:tc>
        <w:tc>
          <w:tcPr>
            <w:tcW w:w="2551" w:type="dxa"/>
            <w:vAlign w:val="center"/>
          </w:tcPr>
          <w:p>
            <w:pPr>
              <w:pStyle w:val="15"/>
            </w:pPr>
            <w:r>
              <w:t>3.75</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1.改善执法检查能力，加强高危行业事故排查和事故隐患排查治理力度，预防和减少高危行业事故的发生，增强组织协调能力。保障机关正常运转，各项业务顺利进行。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执法检查次数</w:t>
            </w:r>
          </w:p>
        </w:tc>
        <w:tc>
          <w:tcPr>
            <w:tcW w:w="5386" w:type="dxa"/>
            <w:vAlign w:val="center"/>
          </w:tcPr>
          <w:p>
            <w:pPr>
              <w:pStyle w:val="14"/>
            </w:pPr>
            <w:r>
              <w:t>开展执法检查</w:t>
            </w:r>
          </w:p>
        </w:tc>
        <w:tc>
          <w:tcPr>
            <w:tcW w:w="2268" w:type="dxa"/>
            <w:vAlign w:val="center"/>
          </w:tcPr>
          <w:p>
            <w:pPr>
              <w:pStyle w:val="14"/>
            </w:pPr>
            <w:r>
              <w:t>≥150次</w:t>
            </w:r>
          </w:p>
        </w:tc>
        <w:tc>
          <w:tcPr>
            <w:tcW w:w="1276" w:type="dxa"/>
            <w:vAlign w:val="center"/>
          </w:tcPr>
          <w:p>
            <w:pPr>
              <w:pStyle w:val="14"/>
            </w:pPr>
            <w:r>
              <w:t>按照工作方案开展检查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高质量巡查次数</w:t>
            </w:r>
          </w:p>
        </w:tc>
        <w:tc>
          <w:tcPr>
            <w:tcW w:w="5386" w:type="dxa"/>
            <w:vAlign w:val="center"/>
          </w:tcPr>
          <w:p>
            <w:pPr>
              <w:pStyle w:val="14"/>
            </w:pPr>
            <w:r>
              <w:t>高质量巡查</w:t>
            </w:r>
          </w:p>
        </w:tc>
        <w:tc>
          <w:tcPr>
            <w:tcW w:w="2268" w:type="dxa"/>
            <w:vAlign w:val="center"/>
          </w:tcPr>
          <w:p>
            <w:pPr>
              <w:pStyle w:val="14"/>
            </w:pPr>
            <w:r>
              <w:t>≥12次</w:t>
            </w:r>
          </w:p>
        </w:tc>
        <w:tc>
          <w:tcPr>
            <w:tcW w:w="1276" w:type="dxa"/>
            <w:vAlign w:val="center"/>
          </w:tcPr>
          <w:p>
            <w:pPr>
              <w:pStyle w:val="14"/>
            </w:pPr>
            <w:r>
              <w:t>每月至少一次督导检查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及时开展执法检查工作</w:t>
            </w:r>
          </w:p>
        </w:tc>
        <w:tc>
          <w:tcPr>
            <w:tcW w:w="5386" w:type="dxa"/>
            <w:vAlign w:val="center"/>
          </w:tcPr>
          <w:p>
            <w:pPr>
              <w:pStyle w:val="14"/>
            </w:pPr>
            <w:r>
              <w:t>按工作计划及时完成</w:t>
            </w:r>
          </w:p>
        </w:tc>
        <w:tc>
          <w:tcPr>
            <w:tcW w:w="2268" w:type="dxa"/>
            <w:vAlign w:val="center"/>
          </w:tcPr>
          <w:p>
            <w:pPr>
              <w:pStyle w:val="14"/>
            </w:pPr>
            <w:r>
              <w:t>≥90%</w:t>
            </w:r>
          </w:p>
        </w:tc>
        <w:tc>
          <w:tcPr>
            <w:tcW w:w="1276" w:type="dxa"/>
            <w:vAlign w:val="center"/>
          </w:tcPr>
          <w:p>
            <w:pPr>
              <w:pStyle w:val="14"/>
            </w:pPr>
            <w:r>
              <w:t>按工作计划进行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综合事务管理成本</w:t>
            </w:r>
          </w:p>
        </w:tc>
        <w:tc>
          <w:tcPr>
            <w:tcW w:w="5386" w:type="dxa"/>
            <w:vAlign w:val="center"/>
          </w:tcPr>
          <w:p>
            <w:pPr>
              <w:pStyle w:val="14"/>
            </w:pPr>
            <w:r>
              <w:t>综合事务管理成本</w:t>
            </w:r>
          </w:p>
        </w:tc>
        <w:tc>
          <w:tcPr>
            <w:tcW w:w="2268" w:type="dxa"/>
            <w:vAlign w:val="center"/>
          </w:tcPr>
          <w:p>
            <w:pPr>
              <w:pStyle w:val="14"/>
            </w:pPr>
            <w:r>
              <w:t>不超过预算</w:t>
            </w:r>
          </w:p>
        </w:tc>
        <w:tc>
          <w:tcPr>
            <w:tcW w:w="1276" w:type="dxa"/>
            <w:vAlign w:val="center"/>
          </w:tcPr>
          <w:p>
            <w:pPr>
              <w:pStyle w:val="14"/>
            </w:pPr>
            <w:r>
              <w:t>按财政实际拨付资金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隐患整改率</w:t>
            </w:r>
          </w:p>
        </w:tc>
        <w:tc>
          <w:tcPr>
            <w:tcW w:w="5386" w:type="dxa"/>
            <w:vAlign w:val="center"/>
          </w:tcPr>
          <w:p>
            <w:pPr>
              <w:pStyle w:val="14"/>
            </w:pPr>
            <w:r>
              <w:t>已整改隐患占执法发现隐患总数的比例</w:t>
            </w:r>
          </w:p>
        </w:tc>
        <w:tc>
          <w:tcPr>
            <w:tcW w:w="2268" w:type="dxa"/>
            <w:vAlign w:val="center"/>
          </w:tcPr>
          <w:p>
            <w:pPr>
              <w:pStyle w:val="14"/>
            </w:pPr>
            <w:r>
              <w:t>≥90%</w:t>
            </w:r>
          </w:p>
        </w:tc>
        <w:tc>
          <w:tcPr>
            <w:tcW w:w="1276" w:type="dxa"/>
            <w:vAlign w:val="center"/>
          </w:tcPr>
          <w:p>
            <w:pPr>
              <w:pStyle w:val="14"/>
            </w:pPr>
            <w:r>
              <w:t>按照整改方案进行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5386" w:type="dxa"/>
            <w:vAlign w:val="center"/>
          </w:tcPr>
          <w:p>
            <w:pPr>
              <w:pStyle w:val="14"/>
            </w:pPr>
            <w:r>
              <w:t>企业满意度</w:t>
            </w:r>
          </w:p>
        </w:tc>
        <w:tc>
          <w:tcPr>
            <w:tcW w:w="2268" w:type="dxa"/>
            <w:vAlign w:val="center"/>
          </w:tcPr>
          <w:p>
            <w:pPr>
              <w:pStyle w:val="14"/>
            </w:pPr>
            <w:r>
              <w:t>≥90%</w:t>
            </w:r>
          </w:p>
        </w:tc>
        <w:tc>
          <w:tcPr>
            <w:tcW w:w="1276" w:type="dxa"/>
            <w:vAlign w:val="center"/>
          </w:tcPr>
          <w:p>
            <w:pPr>
              <w:pStyle w:val="14"/>
            </w:pPr>
            <w:r>
              <w:t>服务对象对工作开展的满意程度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118001沙河市应急管理局本级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沙河市应急管理局本级上年末固定资产金额为1634.23万元（详见下表）。本年度拟购置固定资产总额为0.00万元，已按要求列入政府采购预算，详见政府采购预算表。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118001沙河市应急管理局本级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1634.23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2300</w:t>
            </w:r>
          </w:p>
        </w:tc>
        <w:tc>
          <w:tcPr>
            <w:tcW w:w="2835" w:type="dxa"/>
            <w:vAlign w:val="center"/>
          </w:tcPr>
          <w:p>
            <w:pPr>
              <w:pStyle w:val="13"/>
            </w:pPr>
            <w:r>
              <w:t>736.38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1400</w:t>
            </w:r>
          </w:p>
        </w:tc>
        <w:tc>
          <w:tcPr>
            <w:tcW w:w="2835" w:type="dxa"/>
            <w:vAlign w:val="center"/>
          </w:tcPr>
          <w:p>
            <w:pPr>
              <w:pStyle w:val="13"/>
            </w:pPr>
            <w:r>
              <w:t>736.38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19</w:t>
            </w:r>
          </w:p>
        </w:tc>
        <w:tc>
          <w:tcPr>
            <w:tcW w:w="2835" w:type="dxa"/>
            <w:vAlign w:val="center"/>
          </w:tcPr>
          <w:p>
            <w:pPr>
              <w:pStyle w:val="13"/>
            </w:pPr>
            <w:r>
              <w:t>336.96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1793</w:t>
            </w:r>
          </w:p>
        </w:tc>
        <w:tc>
          <w:tcPr>
            <w:tcW w:w="2835" w:type="dxa"/>
            <w:vAlign w:val="center"/>
          </w:tcPr>
          <w:p>
            <w:pPr>
              <w:pStyle w:val="13"/>
            </w:pPr>
            <w:r>
              <w:t>560.89</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NGY1YzFmODlkNWQ2MmMxZmRkOTA1YThjY2IwYWEifQ=="/>
  </w:docVars>
  <w:rsids>
    <w:rsidRoot w:val="00DC38D1"/>
    <w:rsid w:val="000F051F"/>
    <w:rsid w:val="001809F8"/>
    <w:rsid w:val="00202CBF"/>
    <w:rsid w:val="003E5A35"/>
    <w:rsid w:val="00591793"/>
    <w:rsid w:val="00B27591"/>
    <w:rsid w:val="00C46471"/>
    <w:rsid w:val="00DA733E"/>
    <w:rsid w:val="00DC38D1"/>
    <w:rsid w:val="00E300CD"/>
    <w:rsid w:val="0B9C0E39"/>
    <w:rsid w:val="3B736388"/>
    <w:rsid w:val="3FB91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unhideWhenUsed/>
    <w:uiPriority w:val="99"/>
    <w:pPr>
      <w:tabs>
        <w:tab w:val="center" w:pos="4153"/>
        <w:tab w:val="right" w:pos="8306"/>
      </w:tabs>
      <w:snapToGrid w:val="0"/>
    </w:pPr>
    <w:rPr>
      <w:sz w:val="18"/>
      <w:szCs w:val="18"/>
    </w:rPr>
  </w:style>
  <w:style w:type="paragraph" w:styleId="3">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styleId="24">
    <w:name w:val="No Spacing"/>
    <w:link w:val="25"/>
    <w:qFormat/>
    <w:uiPriority w:val="1"/>
    <w:rPr>
      <w:rFonts w:asciiTheme="minorHAnsi" w:hAnsiTheme="minorHAnsi" w:eastAsiaTheme="minorEastAsia" w:cstheme="minorBidi"/>
      <w:sz w:val="22"/>
      <w:szCs w:val="22"/>
      <w:lang w:val="en-US" w:eastAsia="zh-CN" w:bidi="ar-SA"/>
    </w:rPr>
  </w:style>
  <w:style w:type="character" w:customStyle="1" w:styleId="25">
    <w:name w:val="无间隔 字符"/>
    <w:basedOn w:val="8"/>
    <w:link w:val="24"/>
    <w:qFormat/>
    <w:uiPriority w:val="1"/>
    <w:rPr>
      <w:sz w:val="22"/>
      <w:szCs w:val="22"/>
    </w:rPr>
  </w:style>
  <w:style w:type="character" w:customStyle="1" w:styleId="26">
    <w:name w:val="正文文本 (4)_"/>
    <w:basedOn w:val="8"/>
    <w:link w:val="27"/>
    <w:qFormat/>
    <w:uiPriority w:val="0"/>
    <w:rPr>
      <w:rFonts w:ascii="黑体" w:hAnsi="黑体" w:eastAsia="黑体" w:cs="黑体"/>
      <w:sz w:val="72"/>
      <w:szCs w:val="72"/>
    </w:rPr>
  </w:style>
  <w:style w:type="paragraph" w:customStyle="1" w:styleId="27">
    <w:name w:val="正文文本 (4)"/>
    <w:basedOn w:val="1"/>
    <w:link w:val="26"/>
    <w:qFormat/>
    <w:uiPriority w:val="0"/>
    <w:pPr>
      <w:widowControl w:val="0"/>
      <w:spacing w:before="2080" w:after="540"/>
      <w:jc w:val="center"/>
    </w:pPr>
    <w:rPr>
      <w:rFonts w:ascii="黑体" w:hAnsi="黑体" w:eastAsia="黑体" w:cs="黑体"/>
      <w:sz w:val="72"/>
      <w:szCs w:val="72"/>
      <w:lang w:eastAsia="zh-CN"/>
    </w:rPr>
  </w:style>
  <w:style w:type="character" w:customStyle="1" w:styleId="28">
    <w:name w:val="页眉 字符"/>
    <w:basedOn w:val="8"/>
    <w:link w:val="3"/>
    <w:qFormat/>
    <w:uiPriority w:val="99"/>
    <w:rPr>
      <w:rFonts w:ascii="Times New Roman" w:hAnsi="Times New Roman" w:eastAsia="Times New Roman"/>
      <w:sz w:val="18"/>
      <w:szCs w:val="18"/>
      <w:lang w:eastAsia="uk-UA"/>
    </w:rPr>
  </w:style>
  <w:style w:type="character" w:customStyle="1" w:styleId="29">
    <w:name w:val="页脚 字符"/>
    <w:basedOn w:val="8"/>
    <w:link w:val="2"/>
    <w:qFormat/>
    <w:uiPriority w:val="99"/>
    <w:rPr>
      <w:rFonts w:ascii="Times New Roman" w:hAnsi="Times New Roman" w:eastAsia="Times New Roman"/>
      <w:sz w:val="18"/>
      <w:szCs w:val="18"/>
      <w:lang w:eastAsia="uk-UA"/>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2024-02-06T15:33:23Z</dcterms:created>
  <dcterms:modified xsi:type="dcterms:W3CDTF">2024-02-06T07:33:23Z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2024-02-06T15:33:24Z</dcterms:created>
  <dcterms:modified xsi:type="dcterms:W3CDTF">2024-02-06T07:33:24Z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2024-02-06T15:33:21Z</dcterms:created>
  <dcterms:modified xsi:type="dcterms:W3CDTF">2024-02-06T07:33:21Z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2024-02-06T15:33:24Z</dcterms:created>
  <dcterms:modified xsi:type="dcterms:W3CDTF">2024-02-06T07:33:24Z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2024-02-06T15:33:26Z</dcterms:created>
  <dcterms:modified xsi:type="dcterms:W3CDTF">2024-02-06T07:33:26Z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2024-02-06T15:33:24Z</dcterms:created>
  <dcterms:modified xsi:type="dcterms:W3CDTF">2024-02-06T07:33:24Z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2024-02-06T15:33:25Z</dcterms:created>
  <dcterms:modified xsi:type="dcterms:W3CDTF">2024-02-06T07:33:25Z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2024-02-06T15:33:24Z</dcterms:created>
  <dcterms:modified xsi:type="dcterms:W3CDTF">2024-02-06T07:33:24Z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2024-02-06T15:33:23Z</dcterms:created>
  <dcterms:modified xsi:type="dcterms:W3CDTF">2024-02-06T07:33:23Z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2024-02-06T15:33:23Z</dcterms:created>
  <dcterms:modified xsi:type="dcterms:W3CDTF">2024-02-06T07:33:23Z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2024-02-06T15:33:25Z</dcterms:created>
  <dcterms:modified xsi:type="dcterms:W3CDTF">2024-02-06T07:33:25Z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2024-02-06T15:33:18Z</dcterms:created>
  <dcterms:modified xsi:type="dcterms:W3CDTF">2024-02-06T07:33:18Z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2024-02-06T15:33:25Z</dcterms:created>
  <dcterms:modified xsi:type="dcterms:W3CDTF">2024-02-06T07:33:25Z</dcterms:modified>
</cp:coreProperties>
</file>

<file path=customXml/itemProps1.xml><?xml version="1.0" encoding="utf-8"?>
<ds:datastoreItem xmlns:ds="http://schemas.openxmlformats.org/officeDocument/2006/customXml" ds:itemID="{5457EE36-7F27-41D1-8A0B-87B1AA97F11F}">
  <ds:schemaRefs/>
</ds:datastoreItem>
</file>

<file path=customXml/itemProps10.xml><?xml version="1.0" encoding="utf-8"?>
<ds:datastoreItem xmlns:ds="http://schemas.openxmlformats.org/officeDocument/2006/customXml" ds:itemID="{B5535F22-C2C9-4D7B-8E0A-7814599C4EAD}">
  <ds:schemaRefs/>
</ds:datastoreItem>
</file>

<file path=customXml/itemProps11.xml><?xml version="1.0" encoding="utf-8"?>
<ds:datastoreItem xmlns:ds="http://schemas.openxmlformats.org/officeDocument/2006/customXml" ds:itemID="{FFB9F68C-C11F-49D7-A1A6-F0E8ED1953C5}">
  <ds:schemaRefs/>
</ds:datastoreItem>
</file>

<file path=customXml/itemProps12.xml><?xml version="1.0" encoding="utf-8"?>
<ds:datastoreItem xmlns:ds="http://schemas.openxmlformats.org/officeDocument/2006/customXml" ds:itemID="{625E9CF4-19F2-4010-B6B8-D49043B28D6E}">
  <ds:schemaRefs/>
</ds:datastoreItem>
</file>

<file path=customXml/itemProps13.xml><?xml version="1.0" encoding="utf-8"?>
<ds:datastoreItem xmlns:ds="http://schemas.openxmlformats.org/officeDocument/2006/customXml" ds:itemID="{583408B9-F6D6-4FD0-A1E6-696925DC1C95}">
  <ds:schemaRefs/>
</ds:datastoreItem>
</file>

<file path=customXml/itemProps14.xml><?xml version="1.0" encoding="utf-8"?>
<ds:datastoreItem xmlns:ds="http://schemas.openxmlformats.org/officeDocument/2006/customXml" ds:itemID="{D2313055-B344-4E9D-9E6E-9957B71BD0EB}">
  <ds:schemaRefs/>
</ds:datastoreItem>
</file>

<file path=customXml/itemProps15.xml><?xml version="1.0" encoding="utf-8"?>
<ds:datastoreItem xmlns:ds="http://schemas.openxmlformats.org/officeDocument/2006/customXml" ds:itemID="{5248D2C9-4307-493C-9CCE-ABA401EB2EA0}">
  <ds:schemaRefs/>
</ds:datastoreItem>
</file>

<file path=customXml/itemProps16.xml><?xml version="1.0" encoding="utf-8"?>
<ds:datastoreItem xmlns:ds="http://schemas.openxmlformats.org/officeDocument/2006/customXml" ds:itemID="{2A6BEEF4-50CA-470A-AD00-3FFFFDD4DDF3}">
  <ds:schemaRefs/>
</ds:datastoreItem>
</file>

<file path=customXml/itemProps17.xml><?xml version="1.0" encoding="utf-8"?>
<ds:datastoreItem xmlns:ds="http://schemas.openxmlformats.org/officeDocument/2006/customXml" ds:itemID="{89EC5744-2680-4651-9D49-ADE985FAFAD2}">
  <ds:schemaRefs/>
</ds:datastoreItem>
</file>

<file path=customXml/itemProps18.xml><?xml version="1.0" encoding="utf-8"?>
<ds:datastoreItem xmlns:ds="http://schemas.openxmlformats.org/officeDocument/2006/customXml" ds:itemID="{BFFF496E-408C-4FEB-8FF2-47DD6406E22D}">
  <ds:schemaRefs/>
</ds:datastoreItem>
</file>

<file path=customXml/itemProps19.xml><?xml version="1.0" encoding="utf-8"?>
<ds:datastoreItem xmlns:ds="http://schemas.openxmlformats.org/officeDocument/2006/customXml" ds:itemID="{804DDB69-2CA0-43F5-9AEE-7DAAC8F43B62}">
  <ds:schemaRefs/>
</ds:datastoreItem>
</file>

<file path=customXml/itemProps2.xml><?xml version="1.0" encoding="utf-8"?>
<ds:datastoreItem xmlns:ds="http://schemas.openxmlformats.org/officeDocument/2006/customXml" ds:itemID="{3D0F6B66-D43A-4324-B0E7-370329038A5B}">
  <ds:schemaRefs/>
</ds:datastoreItem>
</file>

<file path=customXml/itemProps20.xml><?xml version="1.0" encoding="utf-8"?>
<ds:datastoreItem xmlns:ds="http://schemas.openxmlformats.org/officeDocument/2006/customXml" ds:itemID="{3ED8995A-41F7-452C-BF60-5891521269B2}">
  <ds:schemaRefs/>
</ds:datastoreItem>
</file>

<file path=customXml/itemProps21.xml><?xml version="1.0" encoding="utf-8"?>
<ds:datastoreItem xmlns:ds="http://schemas.openxmlformats.org/officeDocument/2006/customXml" ds:itemID="{B465B7FD-587B-44E0-A0FF-E68B449DD279}">
  <ds:schemaRefs/>
</ds:datastoreItem>
</file>

<file path=customXml/itemProps22.xml><?xml version="1.0" encoding="utf-8"?>
<ds:datastoreItem xmlns:ds="http://schemas.openxmlformats.org/officeDocument/2006/customXml" ds:itemID="{7A265582-075F-4A4D-A463-56BF53307431}">
  <ds:schemaRefs/>
</ds:datastoreItem>
</file>

<file path=customXml/itemProps23.xml><?xml version="1.0" encoding="utf-8"?>
<ds:datastoreItem xmlns:ds="http://schemas.openxmlformats.org/officeDocument/2006/customXml" ds:itemID="{01CB8980-5DA9-4421-A52A-67AF72B9034E}">
  <ds:schemaRefs/>
</ds:datastoreItem>
</file>

<file path=customXml/itemProps24.xml><?xml version="1.0" encoding="utf-8"?>
<ds:datastoreItem xmlns:ds="http://schemas.openxmlformats.org/officeDocument/2006/customXml" ds:itemID="{D137BCAF-777F-4A69-9D62-9B7F67C742DF}">
  <ds:schemaRefs/>
</ds:datastoreItem>
</file>

<file path=customXml/itemProps25.xml><?xml version="1.0" encoding="utf-8"?>
<ds:datastoreItem xmlns:ds="http://schemas.openxmlformats.org/officeDocument/2006/customXml" ds:itemID="{7950B75E-0D46-442B-B9D7-110F9C120145}">
  <ds:schemaRefs/>
</ds:datastoreItem>
</file>

<file path=customXml/itemProps26.xml><?xml version="1.0" encoding="utf-8"?>
<ds:datastoreItem xmlns:ds="http://schemas.openxmlformats.org/officeDocument/2006/customXml" ds:itemID="{28E7FECB-84FD-4E5D-9C5E-6998FE9D797D}">
  <ds:schemaRefs/>
</ds:datastoreItem>
</file>

<file path=customXml/itemProps3.xml><?xml version="1.0" encoding="utf-8"?>
<ds:datastoreItem xmlns:ds="http://schemas.openxmlformats.org/officeDocument/2006/customXml" ds:itemID="{2DDF3E49-FE69-4007-8970-8BECB3747953}">
  <ds:schemaRefs/>
</ds:datastoreItem>
</file>

<file path=customXml/itemProps4.xml><?xml version="1.0" encoding="utf-8"?>
<ds:datastoreItem xmlns:ds="http://schemas.openxmlformats.org/officeDocument/2006/customXml" ds:itemID="{270E61A4-1C78-4CF2-BB4D-A6622FB46CAB}">
  <ds:schemaRefs/>
</ds:datastoreItem>
</file>

<file path=customXml/itemProps5.xml><?xml version="1.0" encoding="utf-8"?>
<ds:datastoreItem xmlns:ds="http://schemas.openxmlformats.org/officeDocument/2006/customXml" ds:itemID="{AA28EE54-AEBF-4601-A734-2B74D1D2AD29}">
  <ds:schemaRefs/>
</ds:datastoreItem>
</file>

<file path=customXml/itemProps6.xml><?xml version="1.0" encoding="utf-8"?>
<ds:datastoreItem xmlns:ds="http://schemas.openxmlformats.org/officeDocument/2006/customXml" ds:itemID="{4DF80AEF-ACDB-4969-B7CB-43B17611A93E}">
  <ds:schemaRefs/>
</ds:datastoreItem>
</file>

<file path=customXml/itemProps7.xml><?xml version="1.0" encoding="utf-8"?>
<ds:datastoreItem xmlns:ds="http://schemas.openxmlformats.org/officeDocument/2006/customXml" ds:itemID="{CC41413E-95A2-4174-AD5F-144A32BCA89B}">
  <ds:schemaRefs/>
</ds:datastoreItem>
</file>

<file path=customXml/itemProps8.xml><?xml version="1.0" encoding="utf-8"?>
<ds:datastoreItem xmlns:ds="http://schemas.openxmlformats.org/officeDocument/2006/customXml" ds:itemID="{84D0A188-F86D-4B75-B343-4D694E2659C0}">
  <ds:schemaRefs/>
</ds:datastoreItem>
</file>

<file path=customXml/itemProps9.xml><?xml version="1.0" encoding="utf-8"?>
<ds:datastoreItem xmlns:ds="http://schemas.openxmlformats.org/officeDocument/2006/customXml" ds:itemID="{27B59A44-73F3-4E57-9E23-EBB0959B4B22}">
  <ds:schemaRefs/>
</ds:datastoreItem>
</file>

<file path=docProps/app.xml><?xml version="1.0" encoding="utf-8"?>
<Properties xmlns="http://schemas.openxmlformats.org/officeDocument/2006/extended-properties" xmlns:vt="http://schemas.openxmlformats.org/officeDocument/2006/docPropsVTypes">
  <Template>Normal</Template>
  <Pages>36</Pages>
  <Words>2117</Words>
  <Characters>12073</Characters>
  <Lines>100</Lines>
  <Paragraphs>28</Paragraphs>
  <TotalTime>13</TotalTime>
  <ScaleCrop>false</ScaleCrop>
  <LinksUpToDate>false</LinksUpToDate>
  <CharactersWithSpaces>14162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2024-02-06T15:33:00Z</dcterms:created>
  <dc:creator>lenovo</dc:creator>
  <cp:lastModifiedBy>不二臣</cp:lastModifiedBy>
  <dcterms:modified xsi:type="dcterms:W3CDTF">2024-04-11T00:56:54Z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81ACA259FB3849C68B97F6C62B8EF954</vt:lpwstr>
  </property>
</Properties>
</file>