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080" w:firstLineChars="300"/>
        <w:jc w:val="both"/>
        <w:textAlignment w:val="auto"/>
        <w:outlineLvl w:val="9"/>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沙河市城乡规划和城市管理综合执法局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2018年度“双随机、一公开”抽查工作部署</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局按照《关于报送2018年度随机抽查工作计划的通知》邢双随机办[2018]2号，沙河市“双随机一公开”领导小组文件要求，合理安排和部署2018年度“双随机、一公开”的工作计划和抽查安排计划表；一、认真对“双随机”的执法人员名录库和抽查对象实施动态管理。二、我局认真安排了2018年度“双随机”抽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下一步我们严格按照“双随机、一公开”各项文件规定，进一步增强执法人员责任意识，确保公平、有效、透明地进行监管，按照我局2018年抽查计划表中的内容，第一季度开展对违反城市容貌和环境卫生、户外广告、城市建筑垃圾、城市生活垃圾等相关法律规定的违法行为的监督管理；第二季度城市绿化监督管理部门（对损害城市绿化地内树木花草或损害城市绿地及绿化设施等违法行为的监督检查）；第三季度月份城市规划监督管理部门（1、建设项目规划许可情况2、建设工程基槽、建设位置、建筑一层、建筑立面、建筑层数、物业管理用房等配套设施落实规划情况）；第四季度月份市政管理方面监督管理部门（对擅自占用、挖掘及超重、超高、超长车辆行驶等损害城市道路等违法行为的监督管理），进行合理安排具体抽查时间，彻底履行“双随机、一公开”的各项文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沙河市城乡规划和城市管理综合执法局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2018年2月5日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sz w:val="32"/>
          <w:szCs w:val="32"/>
          <w:lang w:val="en-US" w:eastAsia="zh-CN"/>
        </w:rPr>
      </w:pPr>
      <w:r>
        <w:rPr>
          <w:rFonts w:hint="eastAsia"/>
          <w:sz w:val="32"/>
          <w:szCs w:val="32"/>
          <w:lang w:val="en-US" w:eastAsia="zh-CN"/>
        </w:rPr>
        <w:t>附件1：</w:t>
      </w:r>
    </w:p>
    <w:p>
      <w:pPr>
        <w:rPr>
          <w:rFonts w:hint="eastAsia"/>
          <w:sz w:val="32"/>
          <w:szCs w:val="32"/>
          <w:lang w:val="en-US" w:eastAsia="zh-CN"/>
        </w:rPr>
      </w:pPr>
    </w:p>
    <w:p>
      <w:pPr>
        <w:jc w:val="center"/>
        <w:rPr>
          <w:rFonts w:hint="eastAsia"/>
          <w:b/>
          <w:bCs/>
          <w:sz w:val="32"/>
          <w:szCs w:val="32"/>
          <w:lang w:val="en-US" w:eastAsia="zh-CN"/>
        </w:rPr>
      </w:pPr>
      <w:r>
        <w:rPr>
          <w:rFonts w:hint="eastAsia"/>
          <w:b/>
          <w:bCs/>
          <w:sz w:val="32"/>
          <w:szCs w:val="32"/>
          <w:lang w:val="en-US" w:eastAsia="zh-CN"/>
        </w:rPr>
        <w:t>沙河市城乡规划和城市管理综合执法局</w:t>
      </w:r>
    </w:p>
    <w:p>
      <w:pPr>
        <w:jc w:val="center"/>
        <w:rPr>
          <w:rFonts w:hint="eastAsia"/>
          <w:sz w:val="32"/>
          <w:szCs w:val="32"/>
          <w:lang w:val="en-US" w:eastAsia="zh-CN"/>
        </w:rPr>
      </w:pPr>
      <w:r>
        <w:rPr>
          <w:rFonts w:hint="eastAsia"/>
          <w:b/>
          <w:bCs/>
          <w:sz w:val="32"/>
          <w:szCs w:val="32"/>
          <w:lang w:val="en-US" w:eastAsia="zh-CN"/>
        </w:rPr>
        <w:t>2018年度抽查计划表</w:t>
      </w:r>
    </w:p>
    <w:p>
      <w:pPr>
        <w:rPr>
          <w:rFonts w:hint="eastAsia"/>
          <w:sz w:val="30"/>
          <w:szCs w:val="30"/>
          <w:lang w:val="en-US" w:eastAsia="zh-CN"/>
        </w:rPr>
      </w:pPr>
      <w:r>
        <w:rPr>
          <w:rFonts w:hint="eastAsia"/>
          <w:sz w:val="30"/>
          <w:szCs w:val="30"/>
          <w:lang w:val="en-US" w:eastAsia="zh-CN"/>
        </w:rPr>
        <w:t>报送时间：2018年2月5日</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0" w:type="dxa"/>
            <w:vAlign w:val="top"/>
          </w:tcPr>
          <w:p>
            <w:pPr>
              <w:jc w:val="center"/>
              <w:rPr>
                <w:rFonts w:hint="eastAsia"/>
                <w:sz w:val="30"/>
                <w:szCs w:val="30"/>
                <w:vertAlign w:val="baseline"/>
                <w:lang w:val="en-US" w:eastAsia="zh-CN"/>
              </w:rPr>
            </w:pPr>
            <w:r>
              <w:rPr>
                <w:rFonts w:hint="eastAsia"/>
                <w:sz w:val="30"/>
                <w:szCs w:val="30"/>
                <w:vertAlign w:val="baseline"/>
                <w:lang w:val="en-US" w:eastAsia="zh-CN"/>
              </w:rPr>
              <w:t>抽查单位</w:t>
            </w:r>
          </w:p>
        </w:tc>
        <w:tc>
          <w:tcPr>
            <w:tcW w:w="2841" w:type="dxa"/>
            <w:vAlign w:val="top"/>
          </w:tcPr>
          <w:p>
            <w:pPr>
              <w:jc w:val="center"/>
              <w:rPr>
                <w:rFonts w:hint="eastAsia"/>
                <w:sz w:val="30"/>
                <w:szCs w:val="30"/>
                <w:vertAlign w:val="baseline"/>
                <w:lang w:val="en-US" w:eastAsia="zh-CN"/>
              </w:rPr>
            </w:pPr>
            <w:r>
              <w:rPr>
                <w:rFonts w:hint="eastAsia"/>
                <w:sz w:val="30"/>
                <w:szCs w:val="30"/>
                <w:vertAlign w:val="baseline"/>
                <w:lang w:val="en-US" w:eastAsia="zh-CN"/>
              </w:rPr>
              <w:t>抽查时间</w:t>
            </w:r>
          </w:p>
        </w:tc>
        <w:tc>
          <w:tcPr>
            <w:tcW w:w="2841" w:type="dxa"/>
            <w:vAlign w:val="top"/>
          </w:tcPr>
          <w:p>
            <w:pPr>
              <w:jc w:val="center"/>
              <w:rPr>
                <w:rFonts w:hint="eastAsia"/>
                <w:sz w:val="30"/>
                <w:szCs w:val="30"/>
                <w:vertAlign w:val="baseline"/>
                <w:lang w:val="en-US" w:eastAsia="zh-CN"/>
              </w:rPr>
            </w:pPr>
            <w:r>
              <w:rPr>
                <w:rFonts w:hint="eastAsia"/>
                <w:sz w:val="30"/>
                <w:szCs w:val="30"/>
                <w:vertAlign w:val="baseline"/>
                <w:lang w:val="en-US" w:eastAsia="zh-CN"/>
              </w:rPr>
              <w:t>抽查内容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0" w:type="dxa"/>
            <w:vAlign w:val="center"/>
          </w:tcPr>
          <w:p>
            <w:pPr>
              <w:jc w:val="left"/>
              <w:rPr>
                <w:rFonts w:hint="eastAsia"/>
                <w:sz w:val="24"/>
                <w:szCs w:val="24"/>
                <w:vertAlign w:val="baseline"/>
                <w:lang w:val="en-US" w:eastAsia="zh-CN"/>
              </w:rPr>
            </w:pPr>
            <w:r>
              <w:rPr>
                <w:rFonts w:hint="eastAsia"/>
                <w:sz w:val="24"/>
                <w:szCs w:val="24"/>
                <w:vertAlign w:val="baseline"/>
                <w:lang w:val="en-US" w:eastAsia="zh-CN"/>
              </w:rPr>
              <w:t>市容和环境卫生监督管理部门</w:t>
            </w:r>
          </w:p>
        </w:tc>
        <w:tc>
          <w:tcPr>
            <w:tcW w:w="2841"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第一季度</w:t>
            </w:r>
          </w:p>
        </w:tc>
        <w:tc>
          <w:tcPr>
            <w:tcW w:w="2841" w:type="dxa"/>
            <w:vAlign w:val="top"/>
          </w:tcPr>
          <w:p>
            <w:pPr>
              <w:rPr>
                <w:rFonts w:hint="eastAsia"/>
                <w:sz w:val="24"/>
                <w:szCs w:val="24"/>
                <w:vertAlign w:val="baseline"/>
                <w:lang w:val="en-US" w:eastAsia="zh-CN"/>
              </w:rPr>
            </w:pPr>
            <w:r>
              <w:rPr>
                <w:rFonts w:hint="eastAsia"/>
                <w:sz w:val="24"/>
                <w:szCs w:val="24"/>
                <w:vertAlign w:val="baseline"/>
                <w:lang w:val="en-US" w:eastAsia="zh-CN"/>
              </w:rPr>
              <w:t>对违反城市容貌和环境卫生、户外广告、城市建筑垃圾、城市生活垃圾等相关法律规定的违法行为的监督管理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0" w:type="dxa"/>
            <w:vAlign w:val="center"/>
          </w:tcPr>
          <w:p>
            <w:pPr>
              <w:jc w:val="left"/>
              <w:rPr>
                <w:rFonts w:hint="eastAsia"/>
                <w:sz w:val="24"/>
                <w:szCs w:val="24"/>
                <w:vertAlign w:val="baseline"/>
                <w:lang w:val="en-US" w:eastAsia="zh-CN"/>
              </w:rPr>
            </w:pPr>
            <w:r>
              <w:rPr>
                <w:rFonts w:hint="eastAsia"/>
                <w:sz w:val="24"/>
                <w:szCs w:val="24"/>
                <w:vertAlign w:val="baseline"/>
                <w:lang w:val="en-US" w:eastAsia="zh-CN"/>
              </w:rPr>
              <w:t>城市绿化监督管理部门</w:t>
            </w:r>
          </w:p>
        </w:tc>
        <w:tc>
          <w:tcPr>
            <w:tcW w:w="2841"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第二季度</w:t>
            </w:r>
          </w:p>
        </w:tc>
        <w:tc>
          <w:tcPr>
            <w:tcW w:w="2841" w:type="dxa"/>
            <w:vAlign w:val="top"/>
          </w:tcPr>
          <w:p>
            <w:pPr>
              <w:rPr>
                <w:rFonts w:hint="eastAsia"/>
                <w:sz w:val="24"/>
                <w:szCs w:val="24"/>
                <w:vertAlign w:val="baseline"/>
                <w:lang w:val="en-US" w:eastAsia="zh-CN"/>
              </w:rPr>
            </w:pPr>
            <w:r>
              <w:rPr>
                <w:rFonts w:hint="eastAsia"/>
                <w:sz w:val="24"/>
                <w:szCs w:val="24"/>
                <w:vertAlign w:val="baseline"/>
                <w:lang w:val="en-US" w:eastAsia="zh-CN"/>
              </w:rPr>
              <w:t>对损坏城市绿地内树木花草或损坏城市绿地及绿化设施等违法行为的监督检查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0" w:type="dxa"/>
            <w:vAlign w:val="center"/>
          </w:tcPr>
          <w:p>
            <w:pPr>
              <w:jc w:val="left"/>
              <w:rPr>
                <w:rFonts w:hint="eastAsia"/>
                <w:sz w:val="24"/>
                <w:szCs w:val="24"/>
                <w:vertAlign w:val="baseline"/>
                <w:lang w:val="en-US" w:eastAsia="zh-CN"/>
              </w:rPr>
            </w:pPr>
            <w:r>
              <w:rPr>
                <w:rFonts w:hint="eastAsia"/>
                <w:sz w:val="24"/>
                <w:szCs w:val="24"/>
                <w:vertAlign w:val="baseline"/>
                <w:lang w:val="en-US" w:eastAsia="zh-CN"/>
              </w:rPr>
              <w:t>城市规划监督管理部门</w:t>
            </w:r>
          </w:p>
        </w:tc>
        <w:tc>
          <w:tcPr>
            <w:tcW w:w="2841"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第三季度</w:t>
            </w:r>
          </w:p>
        </w:tc>
        <w:tc>
          <w:tcPr>
            <w:tcW w:w="2841" w:type="dxa"/>
            <w:vAlign w:val="top"/>
          </w:tcPr>
          <w:p>
            <w:pPr>
              <w:rPr>
                <w:rFonts w:hint="eastAsia"/>
                <w:sz w:val="24"/>
                <w:szCs w:val="24"/>
                <w:vertAlign w:val="baseline"/>
                <w:lang w:val="en-US" w:eastAsia="zh-CN"/>
              </w:rPr>
            </w:pPr>
            <w:r>
              <w:rPr>
                <w:rFonts w:hint="eastAsia"/>
                <w:sz w:val="24"/>
                <w:szCs w:val="24"/>
                <w:vertAlign w:val="baseline"/>
                <w:lang w:val="en-US" w:eastAsia="zh-CN"/>
              </w:rPr>
              <w:t>1.建设项目规划许可情况2.建设工程基槽、建设位置、建筑一层、建筑立面、建筑层数、物业管理用房等配套设施落实规划情况。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jc w:val="center"/>
        </w:trPr>
        <w:tc>
          <w:tcPr>
            <w:tcW w:w="2840" w:type="dxa"/>
            <w:vAlign w:val="center"/>
          </w:tcPr>
          <w:p>
            <w:pPr>
              <w:jc w:val="left"/>
              <w:rPr>
                <w:rFonts w:hint="eastAsia"/>
                <w:sz w:val="24"/>
                <w:szCs w:val="24"/>
                <w:vertAlign w:val="baseline"/>
                <w:lang w:val="en-US" w:eastAsia="zh-CN"/>
              </w:rPr>
            </w:pPr>
            <w:r>
              <w:rPr>
                <w:rFonts w:hint="eastAsia"/>
                <w:sz w:val="24"/>
                <w:szCs w:val="24"/>
                <w:vertAlign w:val="baseline"/>
                <w:lang w:val="en-US" w:eastAsia="zh-CN"/>
              </w:rPr>
              <w:t>市政管理方面监督管理部门</w:t>
            </w:r>
          </w:p>
        </w:tc>
        <w:tc>
          <w:tcPr>
            <w:tcW w:w="2841"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第四季度</w:t>
            </w:r>
          </w:p>
        </w:tc>
        <w:tc>
          <w:tcPr>
            <w:tcW w:w="2841" w:type="dxa"/>
            <w:vAlign w:val="top"/>
          </w:tcPr>
          <w:p>
            <w:pPr>
              <w:rPr>
                <w:rFonts w:hint="eastAsia"/>
                <w:sz w:val="24"/>
                <w:szCs w:val="24"/>
                <w:vertAlign w:val="baseline"/>
                <w:lang w:val="en-US" w:eastAsia="zh-CN"/>
              </w:rPr>
            </w:pPr>
            <w:r>
              <w:rPr>
                <w:rFonts w:hint="eastAsia"/>
                <w:sz w:val="24"/>
                <w:szCs w:val="24"/>
                <w:vertAlign w:val="baseline"/>
                <w:lang w:val="en-US" w:eastAsia="zh-CN"/>
              </w:rPr>
              <w:t>对擅自占用、挖掘及超重、超高、超长车辆行驶等损坏城市道路等违法行为的监督管理</w:t>
            </w:r>
          </w:p>
        </w:tc>
      </w:tr>
    </w:tbl>
    <w:p>
      <w:pPr>
        <w:rPr>
          <w:rFonts w:hint="eastAsia"/>
          <w:sz w:val="30"/>
          <w:szCs w:val="30"/>
          <w:lang w:val="en-US" w:eastAsia="zh-CN"/>
        </w:rPr>
      </w:pPr>
    </w:p>
    <w:p>
      <w:pPr>
        <w:rPr>
          <w:rFonts w:hint="eastAsia"/>
          <w:sz w:val="30"/>
          <w:szCs w:val="30"/>
          <w:lang w:val="en-US" w:eastAsia="zh-CN"/>
        </w:rPr>
      </w:pPr>
      <w:r>
        <w:rPr>
          <w:rFonts w:hint="eastAsia"/>
          <w:sz w:val="30"/>
          <w:szCs w:val="30"/>
          <w:lang w:val="en-US" w:eastAsia="zh-CN"/>
        </w:rPr>
        <w:t>备注：抽查计划每季度至少安排一次。</w:t>
      </w:r>
    </w:p>
    <w:p>
      <w:pPr>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textAlignment w:val="auto"/>
        <w:outlineLvl w:val="9"/>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新宋体-18030">
    <w:altName w:val="宋体"/>
    <w:panose1 w:val="02010609060101010101"/>
    <w:charset w:val="86"/>
    <w:family w:val="modern"/>
    <w:pitch w:val="default"/>
    <w:sig w:usb0="00000000" w:usb1="00000000" w:usb2="000A005E"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32FDA"/>
    <w:rsid w:val="079C5C39"/>
    <w:rsid w:val="081211BE"/>
    <w:rsid w:val="0B807D3B"/>
    <w:rsid w:val="1C632FDA"/>
    <w:rsid w:val="20FD17BE"/>
    <w:rsid w:val="23772E0D"/>
    <w:rsid w:val="239A3DDF"/>
    <w:rsid w:val="34BC391A"/>
    <w:rsid w:val="359772D9"/>
    <w:rsid w:val="383D5F14"/>
    <w:rsid w:val="3BCB42F7"/>
    <w:rsid w:val="3C8C6C56"/>
    <w:rsid w:val="3D7E7632"/>
    <w:rsid w:val="3F3A400B"/>
    <w:rsid w:val="41FF0CCC"/>
    <w:rsid w:val="4F0F5D9E"/>
    <w:rsid w:val="50C8460D"/>
    <w:rsid w:val="538F6521"/>
    <w:rsid w:val="5704350C"/>
    <w:rsid w:val="637B5B26"/>
    <w:rsid w:val="67E370F9"/>
    <w:rsid w:val="6A8E0B4D"/>
    <w:rsid w:val="724F30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665C3"/>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3665C3"/>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ds-unread-count"/>
    <w:basedOn w:val="4"/>
    <w:qFormat/>
    <w:uiPriority w:val="0"/>
    <w:rPr>
      <w:b/>
      <w:color w:val="EE3322"/>
    </w:rPr>
  </w:style>
  <w:style w:type="character" w:customStyle="1" w:styleId="16">
    <w:name w:val="ds-reads-from"/>
    <w:basedOn w:val="4"/>
    <w:qFormat/>
    <w:uiPriority w:val="0"/>
  </w:style>
  <w:style w:type="character" w:customStyle="1" w:styleId="17">
    <w:name w:val="ds-reads-app-special"/>
    <w:basedOn w:val="4"/>
    <w:qFormat/>
    <w:uiPriority w:val="0"/>
    <w:rPr>
      <w:color w:val="FFFFFF"/>
      <w:shd w:val="clear" w:fill="F94A4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2017-06-21T08:24:00Z</dcterms:created>
  <dc:creator>Administrator</dc:creator>
  <cp:lastModifiedBy>炜爵爷1385984745</cp:lastModifiedBy>
  <dcterms:modified xsi:type="dcterms:W3CDTF">2018-02-05T02:31:24Z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