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360" w:lineRule="auto"/>
        <w:jc w:val="center"/>
        <w:rPr>
          <w:rFonts w:hint="eastAsia"/>
          <w:b/>
          <w:bCs w:val="0"/>
          <w:sz w:val="52"/>
          <w:szCs w:val="52"/>
        </w:rPr>
      </w:pPr>
      <w:r>
        <w:rPr>
          <w:rFonts w:hint="eastAsia"/>
          <w:b/>
          <w:bCs w:val="0"/>
          <w:sz w:val="52"/>
          <w:szCs w:val="52"/>
          <w:lang w:val="en-US" w:eastAsia="zh-CN"/>
        </w:rPr>
        <w:t>2021</w:t>
      </w:r>
      <w:r>
        <w:rPr>
          <w:b/>
          <w:bCs w:val="0"/>
          <w:sz w:val="52"/>
          <w:szCs w:val="52"/>
        </w:rPr>
        <w:t>年沙河市妇联部门整体支出绩效自评报告及评分表</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一、项目概况</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2021</w:t>
      </w:r>
      <w:r>
        <w:rPr>
          <w:rFonts w:hint="eastAsia" w:ascii="仿宋_GB2312" w:hAnsi="宋体" w:eastAsia="仿宋_GB2312"/>
          <w:sz w:val="32"/>
          <w:szCs w:val="32"/>
        </w:rPr>
        <w:t>年我单位狠抓重点工作，较好的完成了</w:t>
      </w:r>
      <w:r>
        <w:rPr>
          <w:rFonts w:hint="eastAsia" w:ascii="仿宋_GB2312" w:hAnsi="宋体" w:eastAsia="仿宋_GB2312"/>
          <w:sz w:val="32"/>
          <w:szCs w:val="32"/>
          <w:lang w:eastAsia="zh-CN"/>
        </w:rPr>
        <w:t>妇联工作</w:t>
      </w:r>
      <w:r>
        <w:rPr>
          <w:rFonts w:hint="eastAsia" w:ascii="仿宋_GB2312" w:hAnsi="宋体" w:eastAsia="仿宋_GB2312"/>
          <w:sz w:val="32"/>
          <w:szCs w:val="32"/>
        </w:rPr>
        <w:t>目标任务，取得了较好的社会效益。根据我单位的工作职能和职责、按照</w:t>
      </w:r>
      <w:r>
        <w:rPr>
          <w:rFonts w:hint="eastAsia" w:ascii="仿宋_GB2312" w:hAnsi="宋体" w:eastAsia="仿宋_GB2312"/>
          <w:sz w:val="32"/>
          <w:szCs w:val="32"/>
          <w:lang w:eastAsia="zh-CN"/>
        </w:rPr>
        <w:t>项目</w:t>
      </w:r>
      <w:r>
        <w:rPr>
          <w:rFonts w:hint="eastAsia" w:ascii="仿宋_GB2312" w:hAnsi="宋体" w:eastAsia="仿宋_GB2312"/>
          <w:sz w:val="32"/>
          <w:szCs w:val="32"/>
        </w:rPr>
        <w:t>资金的使用内容和用途，本单位</w:t>
      </w:r>
      <w:r>
        <w:rPr>
          <w:rFonts w:hint="eastAsia" w:ascii="仿宋_GB2312" w:hAnsi="宋体" w:eastAsia="仿宋_GB2312"/>
          <w:sz w:val="32"/>
          <w:szCs w:val="32"/>
          <w:lang w:eastAsia="zh-CN"/>
        </w:rPr>
        <w:t>项目</w:t>
      </w:r>
      <w:r>
        <w:rPr>
          <w:rFonts w:hint="eastAsia" w:ascii="仿宋_GB2312" w:hAnsi="宋体" w:eastAsia="仿宋_GB2312"/>
          <w:sz w:val="32"/>
          <w:szCs w:val="32"/>
        </w:rPr>
        <w:t>资金支出主要</w:t>
      </w:r>
      <w:r>
        <w:rPr>
          <w:rFonts w:hint="eastAsia" w:ascii="仿宋_GB2312" w:hAnsi="宋体" w:eastAsia="仿宋_GB2312"/>
          <w:sz w:val="32"/>
          <w:szCs w:val="32"/>
          <w:lang w:eastAsia="zh-CN"/>
        </w:rPr>
        <w:t>用于人员经费和日常公用经费、</w:t>
      </w:r>
      <w:r>
        <w:rPr>
          <w:rFonts w:hint="eastAsia" w:ascii="仿宋_GB2312" w:hAnsi="仿宋_GB2312" w:eastAsia="仿宋_GB2312" w:cs="仿宋_GB2312"/>
          <w:sz w:val="32"/>
          <w:szCs w:val="32"/>
          <w:lang w:val="en-US" w:eastAsia="zh-CN"/>
        </w:rPr>
        <w:t>项目支出</w:t>
      </w:r>
      <w:r>
        <w:rPr>
          <w:rFonts w:hint="eastAsia" w:ascii="仿宋_GB2312" w:hAnsi="宋体" w:eastAsia="仿宋_GB2312"/>
          <w:sz w:val="32"/>
          <w:szCs w:val="32"/>
          <w:lang w:eastAsia="zh-CN"/>
        </w:rPr>
        <w:t>，</w:t>
      </w:r>
      <w:r>
        <w:rPr>
          <w:rFonts w:hint="eastAsia" w:ascii="仿宋_GB2312" w:hAnsi="仿宋_GB2312" w:eastAsia="仿宋_GB2312" w:cs="仿宋_GB2312"/>
          <w:sz w:val="32"/>
          <w:szCs w:val="32"/>
          <w:lang w:val="en-US" w:eastAsia="zh-CN"/>
        </w:rPr>
        <w:t>全部为本级支出的运转经费</w:t>
      </w:r>
      <w:r>
        <w:rPr>
          <w:rFonts w:hint="eastAsia" w:ascii="仿宋_GB2312" w:hAnsi="宋体" w:eastAsia="仿宋_GB2312"/>
          <w:sz w:val="32"/>
          <w:szCs w:val="32"/>
        </w:rPr>
        <w:t>。</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项目为持续性、常年性项目，资金来源为年初财政预算。</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二、项目绩效目标和绩效指标设定情况</w:t>
      </w:r>
    </w:p>
    <w:p>
      <w:pPr>
        <w:spacing w:line="580" w:lineRule="exact"/>
        <w:ind w:firstLine="643" w:firstLineChars="200"/>
        <w:rPr>
          <w:rFonts w:hint="eastAsia" w:ascii="仿宋_GB2312" w:hAnsi="宋体" w:eastAsia="仿宋_GB2312"/>
          <w:sz w:val="32"/>
          <w:szCs w:val="32"/>
          <w:lang w:val="en-US" w:eastAsia="zh-CN"/>
        </w:rPr>
      </w:pPr>
      <w:r>
        <w:rPr>
          <w:rFonts w:hint="eastAsia" w:ascii="仿宋_GB2312" w:hAnsi="宋体" w:eastAsia="仿宋_GB2312"/>
          <w:b/>
          <w:bCs/>
          <w:sz w:val="32"/>
          <w:szCs w:val="32"/>
        </w:rPr>
        <w:t>目标：</w:t>
      </w:r>
      <w:r>
        <w:rPr>
          <w:rFonts w:hint="eastAsia" w:ascii="仿宋_GB2312" w:hAnsi="宋体" w:eastAsia="仿宋_GB2312"/>
          <w:b w:val="0"/>
          <w:bCs w:val="0"/>
          <w:sz w:val="32"/>
          <w:szCs w:val="32"/>
          <w:lang w:eastAsia="zh-CN"/>
        </w:rPr>
        <w:t>市妇联工作主要有组织宣传、妇女维权、妇女发展、家庭儿童、美丽庭院创建、妇儿工委等。通过开展最美家庭、绿色家庭、最美儿媳、美丽庭院示范户等评选活动，联合妇幼保健院深入乡村为农村妇女开展免费检测两癌等</w:t>
      </w:r>
      <w:r>
        <w:rPr>
          <w:rFonts w:hint="eastAsia" w:ascii="仿宋" w:hAnsi="仿宋" w:eastAsia="仿宋" w:cs="仿宋"/>
          <w:sz w:val="32"/>
          <w:szCs w:val="32"/>
          <w:lang w:val="en-US" w:eastAsia="zh-CN"/>
        </w:rPr>
        <w:t>活动，使农村妇女和家庭生活发生了改变，乡村文明更加和谐。</w:t>
      </w:r>
      <w:r>
        <w:rPr>
          <w:rFonts w:hint="eastAsia" w:ascii="仿宋_GB2312" w:hAnsi="宋体" w:eastAsia="仿宋_GB2312"/>
          <w:sz w:val="32"/>
          <w:szCs w:val="32"/>
          <w:lang w:val="en-US" w:eastAsia="zh-CN"/>
        </w:rPr>
        <w:t>年度工作计划完成及时率、办公正常运转完成率、群众满意度</w:t>
      </w:r>
      <w:r>
        <w:rPr>
          <w:rFonts w:hint="eastAsia" w:ascii="仿宋_GB2312" w:hAnsi="宋体" w:eastAsia="仿宋_GB2312"/>
          <w:sz w:val="32"/>
          <w:szCs w:val="32"/>
          <w:lang w:eastAsia="zh-CN"/>
        </w:rPr>
        <w:t>均</w:t>
      </w:r>
      <w:r>
        <w:rPr>
          <w:rFonts w:hint="eastAsia" w:ascii="仿宋_GB2312" w:hAnsi="宋体" w:eastAsia="仿宋_GB2312"/>
          <w:sz w:val="32"/>
          <w:szCs w:val="32"/>
        </w:rPr>
        <w:t>≥95%</w:t>
      </w:r>
      <w:r>
        <w:rPr>
          <w:rFonts w:hint="eastAsia" w:ascii="仿宋_GB2312" w:hAnsi="宋体" w:eastAsia="仿宋_GB2312"/>
          <w:sz w:val="32"/>
          <w:szCs w:val="32"/>
          <w:lang w:eastAsia="zh-CN"/>
        </w:rPr>
        <w:t>、单位年终考核成绩≥良。</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楷体_GB2312" w:hAnsi="楷体_GB2312" w:eastAsia="楷体_GB2312" w:cs="楷体_GB2312"/>
          <w:sz w:val="32"/>
          <w:szCs w:val="32"/>
        </w:rPr>
      </w:pPr>
      <w:r>
        <w:rPr>
          <w:rFonts w:hint="eastAsia" w:ascii="仿宋_GB2312" w:hAnsi="宋体" w:eastAsia="仿宋_GB2312"/>
          <w:sz w:val="32"/>
          <w:szCs w:val="32"/>
        </w:rPr>
        <w:t xml:space="preserve"> </w:t>
      </w:r>
      <w:r>
        <w:rPr>
          <w:rFonts w:hint="eastAsia" w:ascii="黑体" w:hAnsi="宋体" w:eastAsia="黑体"/>
          <w:sz w:val="32"/>
          <w:szCs w:val="32"/>
        </w:rPr>
        <w:t>三、绩效自评分析</w:t>
      </w:r>
    </w:p>
    <w:p>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（一）项目管理情况分析。</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我单位</w:t>
      </w:r>
      <w:r>
        <w:rPr>
          <w:rFonts w:hint="eastAsia" w:ascii="仿宋_GB2312" w:hAnsi="宋体" w:eastAsia="仿宋_GB2312"/>
          <w:sz w:val="32"/>
          <w:szCs w:val="32"/>
          <w:lang w:eastAsia="zh-CN"/>
        </w:rPr>
        <w:t>预算项目</w:t>
      </w:r>
      <w:r>
        <w:rPr>
          <w:rFonts w:hint="eastAsia" w:ascii="仿宋_GB2312" w:hAnsi="宋体" w:eastAsia="仿宋_GB2312"/>
          <w:sz w:val="32"/>
          <w:szCs w:val="32"/>
        </w:rPr>
        <w:t>工作均已于</w:t>
      </w:r>
      <w:r>
        <w:rPr>
          <w:rFonts w:hint="eastAsia" w:ascii="仿宋_GB2312" w:hAnsi="宋体" w:eastAsia="仿宋_GB2312"/>
          <w:sz w:val="32"/>
          <w:szCs w:val="32"/>
          <w:lang w:val="en-US" w:eastAsia="zh-CN"/>
        </w:rPr>
        <w:t>2021</w:t>
      </w:r>
      <w:r>
        <w:rPr>
          <w:rFonts w:hint="eastAsia" w:ascii="仿宋_GB2312" w:hAnsi="宋体" w:eastAsia="仿宋_GB2312"/>
          <w:sz w:val="32"/>
          <w:szCs w:val="32"/>
        </w:rPr>
        <w:t>年完成，完成了年度绩效目标。所有项目的日常管理工作均按照我单位相关管理制度执行，建立了工作有计划、实施有方案、日常有监督的管理机制，工作取得了较好的成效，效能得到了提高、获得了公众的好评。</w:t>
      </w:r>
    </w:p>
    <w:p>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（二）资金管理情况分析。</w:t>
      </w:r>
    </w:p>
    <w:p>
      <w:pPr>
        <w:widowControl/>
        <w:spacing w:line="560" w:lineRule="atLeast"/>
        <w:ind w:firstLine="56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项目所有开支均按照我单位财务管理制度执行，资金的使用严格把关，整个项目的运行完全按照我单位内部管理制度、</w:t>
      </w:r>
      <w:r>
        <w:rPr>
          <w:rFonts w:hint="eastAsia" w:ascii="仿宋_GB2312" w:hAnsi="仿宋_GB2312" w:eastAsia="仿宋_GB2312" w:cs="仿宋_GB2312"/>
          <w:kern w:val="0"/>
          <w:sz w:val="32"/>
          <w:szCs w:val="32"/>
          <w:lang w:eastAsia="zh-CN"/>
        </w:rPr>
        <w:t>市委市政府</w:t>
      </w:r>
      <w:r>
        <w:rPr>
          <w:rFonts w:hint="eastAsia" w:ascii="仿宋_GB2312" w:hAnsi="仿宋_GB2312" w:eastAsia="仿宋_GB2312" w:cs="仿宋_GB2312"/>
          <w:kern w:val="0"/>
          <w:sz w:val="32"/>
          <w:szCs w:val="32"/>
        </w:rPr>
        <w:t>及财政的有关规定执行。单位内部不定期进行抽查，严格人员作风，不存在违规违法的问题。各个项目资金使用与具体项目实施内容相符，绩效总目标和阶段性目标都已按照计划完成，未逾期。</w:t>
      </w:r>
    </w:p>
    <w:p>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（三）产出指标情况分析。</w:t>
      </w:r>
    </w:p>
    <w:p>
      <w:pPr>
        <w:spacing w:line="52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数量指标。</w:t>
      </w:r>
      <w:r>
        <w:rPr>
          <w:rFonts w:hint="eastAsia" w:ascii="仿宋_GB2312" w:hAnsi="仿宋_GB2312" w:eastAsia="仿宋_GB2312" w:cs="仿宋_GB2312"/>
          <w:sz w:val="32"/>
          <w:szCs w:val="32"/>
          <w:lang w:eastAsia="zh-CN"/>
        </w:rPr>
        <w:t>目标</w:t>
      </w:r>
      <w:r>
        <w:rPr>
          <w:rFonts w:hint="eastAsia" w:ascii="仿宋_GB2312" w:hAnsi="仿宋_GB2312" w:eastAsia="仿宋_GB2312" w:cs="仿宋_GB2312"/>
          <w:sz w:val="32"/>
          <w:szCs w:val="32"/>
          <w:lang w:val="en-US" w:eastAsia="zh-CN"/>
        </w:rPr>
        <w:t>完成平均率为95%，其他目标完成率为100%。</w:t>
      </w:r>
    </w:p>
    <w:p>
      <w:pPr>
        <w:spacing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2、质量指标。</w:t>
      </w:r>
      <w:r>
        <w:rPr>
          <w:rFonts w:hint="eastAsia" w:ascii="仿宋_GB2312" w:hAnsi="仿宋_GB2312" w:eastAsia="仿宋_GB2312" w:cs="仿宋_GB2312"/>
          <w:kern w:val="0"/>
          <w:sz w:val="32"/>
          <w:szCs w:val="32"/>
          <w:lang w:eastAsia="zh-CN"/>
        </w:rPr>
        <w:t>所有目标完成率</w:t>
      </w:r>
      <w:r>
        <w:rPr>
          <w:rFonts w:hint="eastAsia" w:ascii="仿宋_GB2312" w:hAnsi="仿宋_GB2312" w:eastAsia="仿宋_GB2312" w:cs="仿宋_GB2312"/>
          <w:kern w:val="0"/>
          <w:sz w:val="32"/>
          <w:szCs w:val="32"/>
          <w:lang w:val="en-US" w:eastAsia="zh-CN"/>
        </w:rPr>
        <w:t>100%。</w:t>
      </w:r>
    </w:p>
    <w:p>
      <w:pPr>
        <w:spacing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3、时效指标。</w:t>
      </w:r>
      <w:r>
        <w:rPr>
          <w:rFonts w:hint="eastAsia" w:ascii="仿宋_GB2312" w:hAnsi="仿宋_GB2312" w:eastAsia="仿宋_GB2312" w:cs="仿宋_GB2312"/>
          <w:kern w:val="0"/>
          <w:sz w:val="32"/>
          <w:szCs w:val="32"/>
          <w:lang w:eastAsia="zh-CN"/>
        </w:rPr>
        <w:t>所有目标完成率</w:t>
      </w:r>
      <w:r>
        <w:rPr>
          <w:rFonts w:hint="eastAsia" w:ascii="仿宋_GB2312" w:hAnsi="仿宋_GB2312" w:eastAsia="仿宋_GB2312" w:cs="仿宋_GB2312"/>
          <w:kern w:val="0"/>
          <w:sz w:val="32"/>
          <w:szCs w:val="32"/>
          <w:lang w:val="en-US" w:eastAsia="zh-CN"/>
        </w:rPr>
        <w:t>100%。</w:t>
      </w:r>
    </w:p>
    <w:p>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（四）效益指标情况分析。</w:t>
      </w:r>
    </w:p>
    <w:p>
      <w:pPr>
        <w:spacing w:line="52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可持续影响指标。</w:t>
      </w:r>
      <w:r>
        <w:rPr>
          <w:rFonts w:hint="eastAsia" w:ascii="仿宋_GB2312" w:hAnsi="仿宋_GB2312" w:eastAsia="仿宋_GB2312" w:cs="仿宋_GB2312"/>
          <w:sz w:val="32"/>
          <w:szCs w:val="32"/>
          <w:lang w:eastAsia="zh-CN"/>
        </w:rPr>
        <w:t>目标</w:t>
      </w:r>
      <w:r>
        <w:rPr>
          <w:rFonts w:hint="eastAsia" w:ascii="仿宋_GB2312" w:hAnsi="仿宋_GB2312" w:eastAsia="仿宋_GB2312" w:cs="仿宋_GB2312"/>
          <w:sz w:val="32"/>
          <w:szCs w:val="32"/>
          <w:lang w:val="en-US" w:eastAsia="zh-CN"/>
        </w:rPr>
        <w:t>完成平均率为98%，其他目标完成率为100%。</w:t>
      </w:r>
    </w:p>
    <w:p>
      <w:pPr>
        <w:spacing w:line="5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（五）满意度指标情况分析。</w:t>
      </w:r>
    </w:p>
    <w:p>
      <w:pPr>
        <w:spacing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所有目标完成率为</w:t>
      </w:r>
      <w:r>
        <w:rPr>
          <w:rFonts w:hint="eastAsia" w:ascii="仿宋_GB2312" w:hAnsi="仿宋_GB2312" w:eastAsia="仿宋_GB2312" w:cs="仿宋_GB2312"/>
          <w:kern w:val="0"/>
          <w:sz w:val="32"/>
          <w:szCs w:val="32"/>
          <w:lang w:val="en-US" w:eastAsia="zh-CN"/>
        </w:rPr>
        <w:t>100%。</w:t>
      </w:r>
    </w:p>
    <w:p>
      <w:pPr>
        <w:spacing w:line="520" w:lineRule="exact"/>
        <w:ind w:firstLine="640" w:firstLineChars="200"/>
        <w:rPr>
          <w:rFonts w:ascii="黑体" w:hAnsi="宋体" w:eastAsia="黑体"/>
          <w:sz w:val="32"/>
          <w:szCs w:val="32"/>
        </w:rPr>
      </w:pPr>
      <w:r>
        <w:rPr>
          <w:rFonts w:hint="eastAsia" w:eastAsia="方正仿宋_GBK"/>
          <w:kern w:val="0"/>
          <w:sz w:val="32"/>
          <w:szCs w:val="32"/>
        </w:rPr>
        <w:t xml:space="preserve">  </w:t>
      </w:r>
      <w:r>
        <w:rPr>
          <w:rFonts w:hint="eastAsia" w:ascii="黑体" w:hAnsi="宋体" w:eastAsia="黑体"/>
          <w:sz w:val="32"/>
          <w:szCs w:val="32"/>
        </w:rPr>
        <w:t>四、项目绩效自评及评价结果</w:t>
      </w:r>
    </w:p>
    <w:p>
      <w:pPr>
        <w:widowControl/>
        <w:spacing w:line="560" w:lineRule="atLeast"/>
        <w:ind w:firstLine="56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我单位</w:t>
      </w:r>
      <w:r>
        <w:rPr>
          <w:rFonts w:hint="eastAsia" w:ascii="仿宋_GB2312" w:hAnsi="仿宋_GB2312" w:eastAsia="仿宋_GB2312" w:cs="仿宋_GB2312"/>
          <w:kern w:val="0"/>
          <w:sz w:val="32"/>
          <w:szCs w:val="32"/>
          <w:lang w:val="en-US" w:eastAsia="zh-CN"/>
        </w:rPr>
        <w:t>2021</w:t>
      </w:r>
      <w:r>
        <w:rPr>
          <w:rFonts w:hint="eastAsia" w:ascii="仿宋_GB2312" w:hAnsi="仿宋_GB2312" w:eastAsia="仿宋_GB2312" w:cs="仿宋_GB2312"/>
          <w:kern w:val="0"/>
          <w:sz w:val="32"/>
          <w:szCs w:val="32"/>
        </w:rPr>
        <w:t>年从项目</w:t>
      </w:r>
      <w:r>
        <w:rPr>
          <w:rFonts w:hint="eastAsia" w:ascii="仿宋_GB2312" w:hAnsi="仿宋_GB2312" w:eastAsia="仿宋_GB2312" w:cs="仿宋_GB2312"/>
          <w:kern w:val="0"/>
          <w:sz w:val="32"/>
          <w:szCs w:val="32"/>
          <w:lang w:eastAsia="zh-CN"/>
        </w:rPr>
        <w:t>设立</w:t>
      </w:r>
      <w:r>
        <w:rPr>
          <w:rFonts w:hint="eastAsia" w:ascii="仿宋_GB2312" w:hAnsi="仿宋_GB2312" w:eastAsia="仿宋_GB2312" w:cs="仿宋_GB2312"/>
          <w:kern w:val="0"/>
          <w:sz w:val="32"/>
          <w:szCs w:val="32"/>
        </w:rPr>
        <w:t>、资金落实、业务管理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财务管理、项目产出、项目效益</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指标</w:t>
      </w:r>
      <w:r>
        <w:rPr>
          <w:rFonts w:hint="eastAsia" w:ascii="仿宋_GB2312" w:hAnsi="仿宋_GB2312" w:eastAsia="仿宋_GB2312" w:cs="仿宋_GB2312"/>
          <w:kern w:val="0"/>
          <w:sz w:val="32"/>
          <w:szCs w:val="32"/>
          <w:lang w:eastAsia="zh-CN"/>
        </w:rPr>
        <w:t>进行自评</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自评平均</w:t>
      </w:r>
      <w:r>
        <w:rPr>
          <w:rFonts w:hint="eastAsia" w:ascii="仿宋_GB2312" w:hAnsi="仿宋_GB2312" w:eastAsia="仿宋_GB2312" w:cs="仿宋_GB2312"/>
          <w:kern w:val="0"/>
          <w:sz w:val="32"/>
          <w:szCs w:val="32"/>
        </w:rPr>
        <w:t>总分达到9</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分</w:t>
      </w:r>
      <w:r>
        <w:rPr>
          <w:rFonts w:hint="eastAsia" w:ascii="仿宋_GB2312" w:hAnsi="仿宋_GB2312" w:eastAsia="仿宋_GB2312" w:cs="仿宋_GB2312"/>
          <w:kern w:val="0"/>
          <w:sz w:val="32"/>
          <w:szCs w:val="32"/>
          <w:lang w:eastAsia="zh-CN"/>
        </w:rPr>
        <w:t>，等级为优。</w:t>
      </w:r>
    </w:p>
    <w:p>
      <w:pPr>
        <w:widowControl/>
        <w:spacing w:line="560" w:lineRule="atLeast"/>
        <w:ind w:firstLine="560"/>
        <w:rPr>
          <w:rFonts w:hint="eastAsia" w:ascii="仿宋_GB2312" w:hAnsi="仿宋_GB2312" w:eastAsia="仿宋_GB2312" w:cs="仿宋_GB2312"/>
          <w:kern w:val="0"/>
          <w:sz w:val="32"/>
          <w:szCs w:val="32"/>
        </w:rPr>
      </w:pPr>
    </w:p>
    <w:p>
      <w:pPr>
        <w:widowControl/>
        <w:spacing w:line="560" w:lineRule="atLeast"/>
        <w:ind w:firstLine="56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1、项目立项（</w:t>
      </w:r>
      <w:r>
        <w:rPr>
          <w:rFonts w:hint="eastAsia" w:ascii="仿宋_GB2312" w:hAnsi="仿宋_GB2312" w:eastAsia="仿宋_GB2312" w:cs="仿宋_GB2312"/>
          <w:kern w:val="0"/>
          <w:sz w:val="32"/>
          <w:szCs w:val="32"/>
          <w:lang w:val="en-US" w:eastAsia="zh-CN"/>
        </w:rPr>
        <w:t>98</w:t>
      </w:r>
      <w:r>
        <w:rPr>
          <w:rFonts w:hint="eastAsia" w:ascii="仿宋_GB2312" w:hAnsi="仿宋_GB2312" w:eastAsia="仿宋_GB2312" w:cs="仿宋_GB2312"/>
          <w:kern w:val="0"/>
          <w:sz w:val="32"/>
          <w:szCs w:val="32"/>
        </w:rPr>
        <w:t>分）：项目的申请、设立过程符合相关要求，设定的绩效目标合理，绩效指标细化、明确、清晰、可衡量。</w:t>
      </w:r>
    </w:p>
    <w:p>
      <w:pPr>
        <w:widowControl/>
        <w:spacing w:line="560" w:lineRule="atLeast"/>
        <w:ind w:firstLine="56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2、资金落实（</w:t>
      </w:r>
      <w:r>
        <w:rPr>
          <w:rFonts w:hint="eastAsia" w:ascii="仿宋_GB2312" w:hAnsi="仿宋_GB2312" w:eastAsia="仿宋_GB2312" w:cs="仿宋_GB2312"/>
          <w:kern w:val="0"/>
          <w:sz w:val="32"/>
          <w:szCs w:val="32"/>
          <w:lang w:val="en-US" w:eastAsia="zh-CN"/>
        </w:rPr>
        <w:t>98</w:t>
      </w:r>
      <w:r>
        <w:rPr>
          <w:rFonts w:hint="eastAsia" w:ascii="仿宋_GB2312" w:hAnsi="仿宋_GB2312" w:eastAsia="仿宋_GB2312" w:cs="仿宋_GB2312"/>
          <w:kern w:val="0"/>
          <w:sz w:val="32"/>
          <w:szCs w:val="32"/>
        </w:rPr>
        <w:t>分）：资金落实到位情况良好</w:t>
      </w:r>
    </w:p>
    <w:p>
      <w:pPr>
        <w:widowControl/>
        <w:spacing w:line="560" w:lineRule="atLeast"/>
        <w:ind w:firstLine="56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3、业务管理（</w:t>
      </w:r>
      <w:r>
        <w:rPr>
          <w:rFonts w:hint="eastAsia" w:ascii="仿宋_GB2312" w:hAnsi="仿宋_GB2312" w:eastAsia="仿宋_GB2312" w:cs="仿宋_GB2312"/>
          <w:kern w:val="0"/>
          <w:sz w:val="32"/>
          <w:szCs w:val="32"/>
          <w:lang w:val="en-US" w:eastAsia="zh-CN"/>
        </w:rPr>
        <w:t>97</w:t>
      </w:r>
      <w:r>
        <w:rPr>
          <w:rFonts w:hint="eastAsia" w:ascii="仿宋_GB2312" w:hAnsi="仿宋_GB2312" w:eastAsia="仿宋_GB2312" w:cs="仿宋_GB2312"/>
          <w:kern w:val="0"/>
          <w:sz w:val="32"/>
          <w:szCs w:val="32"/>
        </w:rPr>
        <w:t>分）：管理制度健全、制度执行有效、项目质量可控。</w:t>
      </w:r>
    </w:p>
    <w:p>
      <w:pPr>
        <w:widowControl/>
        <w:spacing w:line="560" w:lineRule="atLeast"/>
        <w:ind w:firstLine="56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4、财务管理（</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分）：管理制度健全、资金使用合规、财务监控有效。</w:t>
      </w:r>
    </w:p>
    <w:p>
      <w:pPr>
        <w:widowControl/>
        <w:spacing w:line="560" w:lineRule="atLeast"/>
        <w:ind w:firstLine="56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5、项目产出（</w:t>
      </w:r>
      <w:r>
        <w:rPr>
          <w:rFonts w:hint="eastAsia" w:ascii="仿宋_GB2312" w:hAnsi="仿宋_GB2312" w:eastAsia="仿宋_GB2312" w:cs="仿宋_GB2312"/>
          <w:kern w:val="0"/>
          <w:sz w:val="32"/>
          <w:szCs w:val="32"/>
          <w:lang w:val="en-US" w:eastAsia="zh-CN"/>
        </w:rPr>
        <w:t>98</w:t>
      </w:r>
      <w:r>
        <w:rPr>
          <w:rFonts w:hint="eastAsia" w:ascii="仿宋_GB2312" w:hAnsi="仿宋_GB2312" w:eastAsia="仿宋_GB2312" w:cs="仿宋_GB2312"/>
          <w:kern w:val="0"/>
          <w:sz w:val="32"/>
          <w:szCs w:val="32"/>
        </w:rPr>
        <w:t>分）：项目完成率</w:t>
      </w:r>
      <w:r>
        <w:rPr>
          <w:rFonts w:hint="eastAsia" w:ascii="仿宋_GB2312" w:hAnsi="仿宋_GB2312" w:eastAsia="仿宋_GB2312" w:cs="仿宋_GB2312"/>
          <w:kern w:val="0"/>
          <w:sz w:val="32"/>
          <w:szCs w:val="32"/>
          <w:lang w:val="en-US" w:eastAsia="zh-CN"/>
        </w:rPr>
        <w:t>99</w:t>
      </w:r>
      <w:r>
        <w:rPr>
          <w:rFonts w:hint="eastAsia" w:ascii="仿宋_GB2312" w:hAnsi="仿宋_GB2312" w:eastAsia="仿宋_GB2312" w:cs="仿宋_GB2312"/>
          <w:kern w:val="0"/>
          <w:sz w:val="32"/>
          <w:szCs w:val="32"/>
        </w:rPr>
        <w:t>%、完成及时率100%、质量达标率98%、成本节约率98%。</w:t>
      </w:r>
    </w:p>
    <w:p>
      <w:pPr>
        <w:widowControl/>
        <w:spacing w:line="560" w:lineRule="atLeast"/>
        <w:ind w:firstLine="560"/>
        <w:rPr>
          <w:rFonts w:hint="eastAsia" w:ascii="仿宋_GB2312" w:hAnsi="宋体" w:eastAsia="仿宋_GB2312"/>
          <w:sz w:val="32"/>
          <w:szCs w:val="32"/>
        </w:rPr>
      </w:pPr>
      <w:r>
        <w:rPr>
          <w:rFonts w:hint="eastAsia" w:ascii="仿宋_GB2312" w:hAnsi="仿宋_GB2312" w:eastAsia="仿宋_GB2312" w:cs="仿宋_GB2312"/>
          <w:kern w:val="0"/>
          <w:sz w:val="32"/>
          <w:szCs w:val="32"/>
        </w:rPr>
        <w:t>6、项目效益（</w:t>
      </w:r>
      <w:r>
        <w:rPr>
          <w:rFonts w:hint="eastAsia" w:ascii="仿宋_GB2312" w:hAnsi="仿宋_GB2312" w:eastAsia="仿宋_GB2312" w:cs="仿宋_GB2312"/>
          <w:kern w:val="0"/>
          <w:sz w:val="32"/>
          <w:szCs w:val="32"/>
          <w:lang w:val="en-US" w:eastAsia="zh-CN"/>
        </w:rPr>
        <w:t>98</w:t>
      </w:r>
      <w:r>
        <w:rPr>
          <w:rFonts w:hint="eastAsia" w:ascii="仿宋_GB2312" w:hAnsi="仿宋_GB2312" w:eastAsia="仿宋_GB2312" w:cs="仿宋_GB2312"/>
          <w:kern w:val="0"/>
          <w:sz w:val="32"/>
          <w:szCs w:val="32"/>
        </w:rPr>
        <w:t>分）：项目实施社会公众的满意度及可持续影响力也较好。</w:t>
      </w:r>
    </w:p>
    <w:p>
      <w:pPr>
        <w:spacing w:line="580" w:lineRule="exact"/>
        <w:ind w:firstLine="640" w:firstLineChars="200"/>
        <w:rPr>
          <w:rFonts w:ascii="黑体" w:hAnsi="宋体" w:eastAsia="黑体"/>
          <w:sz w:val="32"/>
          <w:szCs w:val="32"/>
        </w:rPr>
      </w:pPr>
      <w:r>
        <w:rPr>
          <w:rFonts w:hint="eastAsia" w:ascii="黑体" w:hAnsi="宋体" w:eastAsia="黑体"/>
          <w:sz w:val="32"/>
          <w:szCs w:val="32"/>
        </w:rPr>
        <w:t>五、项目存在的问题和建议</w:t>
      </w:r>
    </w:p>
    <w:p>
      <w:pPr>
        <w:widowControl/>
        <w:spacing w:line="560" w:lineRule="atLeast"/>
        <w:ind w:firstLine="585"/>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存在的主要问题是对预算绩效工作重视不够，认识不到位，导致绩效目标的设定和完成有所差异。</w:t>
      </w:r>
    </w:p>
    <w:p>
      <w:pPr>
        <w:widowControl/>
        <w:spacing w:line="560" w:lineRule="atLeast"/>
        <w:ind w:firstLine="585"/>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措施及建议：</w:t>
      </w:r>
    </w:p>
    <w:p>
      <w:pPr>
        <w:widowControl/>
        <w:spacing w:line="560" w:lineRule="atLeast"/>
        <w:ind w:firstLine="58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1、进一步健全和完善财务管理制度及内部控制制度，创新管理手段，用新思路、新方法，改进完善财务管理方法。</w:t>
      </w:r>
    </w:p>
    <w:p>
      <w:pPr>
        <w:widowControl/>
        <w:spacing w:line="560" w:lineRule="atLeast"/>
        <w:ind w:firstLine="58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2、按照财政支出绩效管理的要求，建立科学的财政资金效益考评制度体系，不断提高财政资金使用管理的水平和效率。</w:t>
      </w:r>
    </w:p>
    <w:p>
      <w:pPr>
        <w:spacing w:line="520" w:lineRule="exact"/>
        <w:ind w:firstLine="640" w:firstLineChars="200"/>
        <w:rPr>
          <w:rFonts w:hint="eastAsia" w:ascii="仿宋_GB2312" w:hAnsi="仿宋_GB2312" w:eastAsia="仿宋_GB2312" w:cs="仿宋_GB2312"/>
          <w:sz w:val="32"/>
          <w:szCs w:val="32"/>
          <w:lang w:eastAsia="zh-CN"/>
        </w:rPr>
      </w:pPr>
    </w:p>
    <w:p>
      <w:pPr>
        <w:spacing w:before="0" w:after="0" w:line="480" w:lineRule="auto"/>
        <w:ind w:left="0" w:right="0" w:firstLine="0"/>
        <w:jc w:val="center"/>
        <w:rPr>
          <w:rFonts w:ascii="宋体" w:hAnsi="宋体" w:eastAsia="宋体" w:cs="宋体"/>
          <w:b/>
          <w:color w:val="auto"/>
          <w:spacing w:val="0"/>
          <w:position w:val="0"/>
          <w:sz w:val="44"/>
          <w:shd w:val="clear" w:fill="auto"/>
        </w:rPr>
      </w:pPr>
    </w:p>
    <w:p>
      <w:pPr>
        <w:spacing w:before="0" w:after="0" w:line="480" w:lineRule="auto"/>
        <w:ind w:left="0" w:right="0" w:firstLine="0"/>
        <w:jc w:val="center"/>
        <w:rPr>
          <w:rFonts w:ascii="仿宋" w:hAnsi="仿宋" w:eastAsia="仿宋" w:cs="仿宋"/>
          <w:color w:val="auto"/>
          <w:spacing w:val="0"/>
          <w:position w:val="0"/>
          <w:sz w:val="32"/>
          <w:shd w:val="clear" w:fill="auto"/>
        </w:rPr>
      </w:pPr>
      <w:r>
        <w:rPr>
          <w:rFonts w:ascii="宋体" w:hAnsi="宋体" w:eastAsia="宋体" w:cs="宋体"/>
          <w:b/>
          <w:color w:val="auto"/>
          <w:spacing w:val="0"/>
          <w:position w:val="0"/>
          <w:sz w:val="44"/>
          <w:shd w:val="clear" w:fill="auto"/>
        </w:rPr>
        <w:t>部门整体支出绩效评价</w:t>
      </w:r>
      <w:r>
        <w:rPr>
          <w:rFonts w:ascii="宋体" w:hAnsi="宋体" w:eastAsia="宋体" w:cs="宋体"/>
          <w:b/>
          <w:color w:val="000000"/>
          <w:spacing w:val="0"/>
          <w:position w:val="0"/>
          <w:sz w:val="44"/>
          <w:shd w:val="clear" w:fill="FFFFFF"/>
        </w:rPr>
        <w:t>指标体系评分表</w:t>
      </w:r>
    </w:p>
    <w:tbl>
      <w:tblPr>
        <w:tblStyle w:val="6"/>
        <w:tblW w:w="9370" w:type="dxa"/>
        <w:tblInd w:w="0" w:type="dxa"/>
        <w:tblLayout w:type="fixed"/>
        <w:tblCellMar>
          <w:top w:w="0" w:type="dxa"/>
          <w:left w:w="108" w:type="dxa"/>
          <w:bottom w:w="0" w:type="dxa"/>
          <w:right w:w="108" w:type="dxa"/>
        </w:tblCellMar>
      </w:tblPr>
      <w:tblGrid>
        <w:gridCol w:w="779"/>
        <w:gridCol w:w="743"/>
        <w:gridCol w:w="1275"/>
        <w:gridCol w:w="3436"/>
        <w:gridCol w:w="2373"/>
        <w:gridCol w:w="764"/>
      </w:tblGrid>
      <w:tr>
        <w:tblPrEx>
          <w:tblCellMar>
            <w:top w:w="0" w:type="dxa"/>
            <w:left w:w="108" w:type="dxa"/>
            <w:bottom w:w="0" w:type="dxa"/>
            <w:right w:w="108"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二级指标</w:t>
            </w:r>
          </w:p>
        </w:tc>
        <w:tc>
          <w:tcPr>
            <w:tcW w:w="471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三级指标</w:t>
            </w:r>
          </w:p>
        </w:tc>
        <w:tc>
          <w:tcPr>
            <w:tcW w:w="237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评分标准</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得分</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指标名称</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指标解释说明</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8" w:type="dxa"/>
            <w:bottom w:w="0" w:type="dxa"/>
            <w:right w:w="108"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投入（</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绩效目标设定情况</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职责明确</w:t>
            </w:r>
            <w:r>
              <w:rPr>
                <w:rFonts w:ascii="仿宋_GB2312" w:hAnsi="仿宋_GB2312" w:eastAsia="仿宋_GB2312" w:cs="仿宋_GB2312"/>
                <w:color w:val="auto"/>
                <w:spacing w:val="0"/>
                <w:position w:val="0"/>
                <w:sz w:val="21"/>
                <w:shd w:val="clear" w:fill="auto"/>
              </w:rPr>
              <w:t xml:space="preserve"> </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部门的职责设定是否符合“三定”方案中所赋予的职责，用以反映和评价部门工作的目的性与计划性。</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活动合规性（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部门的活动是否在职责范围之内并符合部门中长期规划，用以反映和评价部门活动目标与部门履职、年度工作任务的相符性情况。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部门活动的设定在部门所确定的职责范围之内；</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部门活动符合市委、市政府的发展规划及本部门的年度工作安排与发展规划。</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235" w:firstLineChars="0"/>
              <w:jc w:val="left"/>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活动合理性（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部门所设立的活动是否明确合理、活动的关键性指标设置是否可衡量，用以反映和评价部门活动目标设定的合理性。</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活动目标的设定是可量化的，可通过清晰、可衡量的关键指标值予以体现；</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在活动目标设定时，将关键指标明细分解为具体的达成目标与工作任务。</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其中一项不符合（</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预算配置情况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部门本年度实际在职人员数与编制数的比率，用以反映和评价部门对人员成本的控制程度。</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（在职人员数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编制数）×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在职人员数：部门实际在职人数，以财政部确定的部门决算编制口径为准，由编制部门和人劳部门批复同意的临聘人员除外。</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编制数：机构编制部门核定批复的部门人员编制数。</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在职人员控制率小于或等于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在职人员控制率大于或等于</w:t>
            </w:r>
            <w:r>
              <w:rPr>
                <w:rFonts w:ascii="仿宋_GB2312" w:hAnsi="仿宋_GB2312" w:eastAsia="仿宋_GB2312" w:cs="仿宋_GB2312"/>
                <w:color w:val="auto"/>
                <w:spacing w:val="0"/>
                <w:position w:val="0"/>
                <w:sz w:val="21"/>
                <w:shd w:val="clear" w:fill="auto"/>
              </w:rPr>
              <w:t>115%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在职人员控制率在</w:t>
            </w:r>
            <w:r>
              <w:rPr>
                <w:rFonts w:ascii="仿宋_GB2312" w:hAnsi="仿宋_GB2312" w:eastAsia="仿宋_GB2312" w:cs="仿宋_GB2312"/>
                <w:color w:val="auto"/>
                <w:spacing w:val="0"/>
                <w:position w:val="0"/>
                <w:sz w:val="21"/>
                <w:shd w:val="clear" w:fill="auto"/>
              </w:rPr>
              <w:t>100%-115%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（在职人员控制率）－某部门在职人员控制率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（在职人员控制率）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p>
        </w:tc>
      </w:tr>
      <w:tr>
        <w:tblPrEx>
          <w:tblCellMar>
            <w:top w:w="0" w:type="dxa"/>
            <w:left w:w="108" w:type="dxa"/>
            <w:bottom w:w="0" w:type="dxa"/>
            <w:right w:w="108"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“三公经费”变动率（2分）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部门本年度“三公经费”预算数与上年度“三公经费”预算数的变动比率，用以反映和考核部门对控制重点行政成本的努力程度。“三公经费”变动率=[（本年度“三公经费”总额-上年度“三公经费”总额）/上年度“三公经费”总额]×100%。</w:t>
            </w:r>
          </w:p>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“三公经费”：年度预算安排的因公出国（境）费、公务车辆购置及运行费和公务招待费。</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小于或等于</w:t>
            </w:r>
            <w:r>
              <w:rPr>
                <w:rFonts w:ascii="仿宋_GB2312" w:hAnsi="仿宋_GB2312" w:eastAsia="仿宋_GB2312" w:cs="仿宋_GB2312"/>
                <w:color w:val="auto"/>
                <w:spacing w:val="0"/>
                <w:position w:val="0"/>
                <w:sz w:val="21"/>
                <w:shd w:val="clear" w:fill="auto"/>
              </w:rPr>
              <w:t>-5%</w:t>
            </w:r>
            <w:r>
              <w:rPr>
                <w:rFonts w:ascii="仿宋" w:hAnsi="仿宋" w:eastAsia="仿宋" w:cs="仿宋"/>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大于或等于</w:t>
            </w:r>
            <w:r>
              <w:rPr>
                <w:rFonts w:ascii="仿宋_GB2312" w:hAnsi="仿宋_GB2312" w:eastAsia="仿宋_GB2312" w:cs="仿宋_GB2312"/>
                <w:color w:val="auto"/>
                <w:spacing w:val="0"/>
                <w:position w:val="0"/>
                <w:sz w:val="21"/>
                <w:shd w:val="clear" w:fill="auto"/>
              </w:rPr>
              <w:t>10%</w:t>
            </w:r>
            <w:r>
              <w:rPr>
                <w:rFonts w:ascii="仿宋" w:hAnsi="仿宋" w:eastAsia="仿宋" w:cs="仿宋"/>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在职人员控制率在</w:t>
            </w:r>
            <w:r>
              <w:rPr>
                <w:rFonts w:ascii="仿宋_GB2312" w:hAnsi="仿宋_GB2312" w:eastAsia="仿宋_GB2312" w:cs="仿宋_GB2312"/>
                <w:color w:val="auto"/>
                <w:spacing w:val="0"/>
                <w:position w:val="0"/>
                <w:sz w:val="21"/>
                <w:shd w:val="clear" w:fill="auto"/>
              </w:rPr>
              <w:t>-5%-10%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r>
              <w:rPr>
                <w:rFonts w:hint="eastAsia" w:ascii="宋体" w:hAnsi="宋体" w:eastAsia="宋体" w:cs="宋体"/>
                <w:color w:val="auto"/>
                <w:spacing w:val="0"/>
                <w:position w:val="0"/>
                <w:sz w:val="21"/>
                <w:shd w:val="clear" w:fill="auto"/>
                <w:lang w:val="en-US" w:eastAsia="zh-CN"/>
              </w:rPr>
              <w:t>2</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“三公经费”变动率</w:t>
            </w:r>
            <w:r>
              <w:rPr>
                <w:rFonts w:ascii="仿宋_GB2312" w:hAnsi="仿宋_GB2312" w:eastAsia="仿宋_GB2312" w:cs="仿宋_GB2312"/>
                <w:color w:val="auto"/>
                <w:spacing w:val="0"/>
                <w:position w:val="0"/>
                <w:sz w:val="21"/>
                <w:shd w:val="clear" w:fill="auto"/>
              </w:rPr>
              <w:t>]/[max</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“三公经费”变动率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w:t>
            </w:r>
            <w:r>
              <w:rPr>
                <w:rFonts w:ascii="仿宋" w:hAnsi="仿宋" w:eastAsia="仿宋" w:cs="仿宋"/>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2</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重点支出安排率（2分）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部门本年度预算安排的重点项目支出与部门项目总支出的比率，用以反映和考核部门对履行主要职责或完成重点任务的保障程度。重点支出安排率=（重点项目支出/项目总支出）×100%。</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重点项目支出：部门（单位）年度预算安排的，与本部门履职和发展密切相关、具有明显社会和经济影响、党委政府关心或社会比较关注的项目支出总额。</w:t>
            </w:r>
          </w:p>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项目总支出：部门（单位）年度预算安排的项目支出总额。</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大于或等于</w:t>
            </w:r>
            <w:r>
              <w:rPr>
                <w:rFonts w:ascii="仿宋_GB2312" w:hAnsi="仿宋_GB2312" w:eastAsia="仿宋_GB2312" w:cs="仿宋_GB2312"/>
                <w:color w:val="auto"/>
                <w:spacing w:val="0"/>
                <w:position w:val="0"/>
                <w:sz w:val="21"/>
                <w:shd w:val="clear" w:fill="auto"/>
              </w:rPr>
              <w:t>95%</w:t>
            </w:r>
            <w:r>
              <w:rPr>
                <w:rFonts w:ascii="仿宋" w:hAnsi="仿宋" w:eastAsia="仿宋" w:cs="仿宋"/>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小于或等于</w:t>
            </w:r>
            <w:r>
              <w:rPr>
                <w:rFonts w:ascii="仿宋_GB2312" w:hAnsi="仿宋_GB2312" w:eastAsia="仿宋_GB2312" w:cs="仿宋_GB2312"/>
                <w:color w:val="auto"/>
                <w:spacing w:val="0"/>
                <w:position w:val="0"/>
                <w:sz w:val="21"/>
                <w:shd w:val="clear" w:fill="auto"/>
              </w:rPr>
              <w:t>85%</w:t>
            </w:r>
            <w:r>
              <w:rPr>
                <w:rFonts w:ascii="仿宋" w:hAnsi="仿宋" w:eastAsia="仿宋" w:cs="仿宋"/>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在</w:t>
            </w:r>
            <w:r>
              <w:rPr>
                <w:rFonts w:ascii="仿宋_GB2312" w:hAnsi="仿宋_GB2312" w:eastAsia="仿宋_GB2312" w:cs="仿宋_GB2312"/>
                <w:color w:val="auto"/>
                <w:spacing w:val="0"/>
                <w:position w:val="0"/>
                <w:sz w:val="21"/>
                <w:shd w:val="clear" w:fill="auto"/>
              </w:rPr>
              <w:t>85%-95%</w:t>
            </w:r>
            <w:r>
              <w:rPr>
                <w:rFonts w:ascii="仿宋" w:hAnsi="仿宋" w:eastAsia="仿宋" w:cs="仿宋"/>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仿宋" w:hAnsi="仿宋" w:eastAsia="仿宋" w:cs="仿宋"/>
                <w:color w:val="auto"/>
                <w:spacing w:val="0"/>
                <w:position w:val="0"/>
                <w:sz w:val="21"/>
                <w:shd w:val="clear" w:fill="auto"/>
              </w:rPr>
              <w:t>分和满分之间计算确定：</w:t>
            </w:r>
          </w:p>
          <w:p>
            <w:pPr>
              <w:widowControl w:val="0"/>
              <w:spacing w:before="0" w:after="0" w:line="240" w:lineRule="auto"/>
              <w:ind w:left="0" w:right="0" w:firstLine="0"/>
              <w:jc w:val="left"/>
              <w:rPr>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w:t>
            </w:r>
            <w:r>
              <w:rPr>
                <w:rFonts w:ascii="仿宋" w:hAnsi="仿宋" w:eastAsia="仿宋" w:cs="仿宋"/>
                <w:color w:val="000000"/>
                <w:spacing w:val="0"/>
                <w:position w:val="0"/>
                <w:sz w:val="21"/>
                <w:shd w:val="clear" w:fill="auto"/>
              </w:rPr>
              <w:t>重点支出安排率</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min</w:t>
            </w:r>
            <w:r>
              <w:rPr>
                <w:rFonts w:ascii="仿宋" w:hAnsi="仿宋" w:eastAsia="仿宋" w:cs="仿宋"/>
                <w:color w:val="auto"/>
                <w:spacing w:val="0"/>
                <w:position w:val="0"/>
                <w:sz w:val="21"/>
                <w:shd w:val="clear" w:fill="auto"/>
              </w:rPr>
              <w:t>（</w:t>
            </w:r>
            <w:r>
              <w:rPr>
                <w:rFonts w:ascii="仿宋" w:hAnsi="仿宋" w:eastAsia="仿宋" w:cs="仿宋"/>
                <w:color w:val="000000"/>
                <w:spacing w:val="0"/>
                <w:position w:val="0"/>
                <w:sz w:val="21"/>
                <w:shd w:val="clear" w:fill="auto"/>
              </w:rPr>
              <w:t>重点支出安排率</w:t>
            </w:r>
            <w:r>
              <w:rPr>
                <w:rFonts w:ascii="仿宋" w:hAnsi="仿宋" w:eastAsia="仿宋" w:cs="仿宋"/>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w:t>
            </w:r>
            <w:r>
              <w:rPr>
                <w:rFonts w:ascii="仿宋" w:hAnsi="仿宋" w:eastAsia="仿宋" w:cs="仿宋"/>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2</w:t>
            </w:r>
          </w:p>
        </w:tc>
      </w:tr>
      <w:tr>
        <w:tblPrEx>
          <w:tblCellMar>
            <w:top w:w="0" w:type="dxa"/>
            <w:left w:w="108" w:type="dxa"/>
            <w:bottom w:w="0" w:type="dxa"/>
            <w:right w:w="108"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过程</w:t>
            </w:r>
            <w:r>
              <w:rPr>
                <w:rFonts w:ascii="仿宋_GB2312" w:hAnsi="仿宋_GB2312" w:eastAsia="仿宋_GB2312" w:cs="仿宋_GB2312"/>
                <w:color w:val="auto"/>
                <w:spacing w:val="0"/>
                <w:position w:val="0"/>
                <w:sz w:val="21"/>
                <w:shd w:val="clear" w:fill="auto"/>
              </w:rPr>
              <w:t>(45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预算执行情况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通过对部门本年度预算完成数与预算数的比较，反映和评价部门预算的完成程度。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（预算完成数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预算完成率大于或等于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预算完成率小于或等于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预算完成率在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（预算完成率）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部门本年度预算调整数与预算数的比率，用以反映和评价部门预算的调整程度。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（预算调整数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预算调整率等于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r>
              <w:rPr>
                <w:rFonts w:ascii="仿宋_GB2312" w:hAnsi="仿宋_GB2312" w:eastAsia="仿宋_GB2312" w:cs="仿宋_GB2312"/>
                <w:color w:val="auto"/>
                <w:spacing w:val="0"/>
                <w:position w:val="0"/>
                <w:sz w:val="21"/>
                <w:shd w:val="clear" w:fill="auto"/>
              </w:rPr>
              <w:t xml:space="preserve"> </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预算调整率大于或等于</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预算调整率在</w:t>
            </w:r>
            <w:r>
              <w:rPr>
                <w:rFonts w:ascii="仿宋_GB2312" w:hAnsi="仿宋_GB2312" w:eastAsia="仿宋_GB2312" w:cs="仿宋_GB2312"/>
                <w:color w:val="auto"/>
                <w:spacing w:val="0"/>
                <w:position w:val="0"/>
                <w:sz w:val="21"/>
                <w:shd w:val="clear" w:fill="auto"/>
              </w:rPr>
              <w:t>0-10%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分和满分之间确定：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某部门预算调整率］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（预算调整率）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（预算调整率）］×该指标分值。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3</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支付进度率</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部门年度支付数与年度任务数的比率，用以反映和评价部门预算执行的及时和均衡程度。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支付进度率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按年度的执行情况进行打分。得分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年度支付数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年度任务数×该指标分值。</w:t>
            </w:r>
          </w:p>
          <w:p>
            <w:pPr>
              <w:widowControl w:val="0"/>
              <w:spacing w:before="0" w:after="0" w:line="240" w:lineRule="auto"/>
              <w:ind w:left="0" w:right="0" w:firstLine="0"/>
              <w:jc w:val="left"/>
              <w:rPr>
                <w:color w:val="auto"/>
                <w:spacing w:val="0"/>
                <w:position w:val="0"/>
                <w:shd w:val="clear" w:fill="auto"/>
              </w:rPr>
            </w:pP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通过对部门本年度结转结余总额与支出预算数的比较，反映和评价部门对本年度结转结余资金的实际控制程度。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（结转结余总额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支出预算数）×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结转结余率等于</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结转结余率大于或等于</w:t>
            </w:r>
            <w:r>
              <w:rPr>
                <w:rFonts w:ascii="仿宋_GB2312" w:hAnsi="仿宋_GB2312" w:eastAsia="仿宋_GB2312" w:cs="仿宋_GB2312"/>
                <w:color w:val="auto"/>
                <w:spacing w:val="0"/>
                <w:position w:val="0"/>
                <w:sz w:val="21"/>
                <w:shd w:val="clear" w:fill="auto"/>
              </w:rPr>
              <w:t>50%</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结转结余率在</w:t>
            </w:r>
            <w:r>
              <w:rPr>
                <w:rFonts w:ascii="仿宋_GB2312" w:hAnsi="仿宋_GB2312" w:eastAsia="仿宋_GB2312" w:cs="仿宋_GB2312"/>
                <w:color w:val="auto"/>
                <w:spacing w:val="0"/>
                <w:position w:val="0"/>
                <w:sz w:val="21"/>
                <w:shd w:val="clear" w:fill="auto"/>
              </w:rPr>
              <w:t>0-50%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（结转结余率）－某部门结转结余率</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（结转结余率）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通过对部门本年度实际支出的公用经费总额与预算安排的公用经费总额的比率，反映和评价部门对机构运转成本的实际控制程度。</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（实际支出公用经费总额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预算安排公用经费总额）×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公用经费控制率小于或等于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公用经费控制率大于或等于</w:t>
            </w:r>
            <w:r>
              <w:rPr>
                <w:rFonts w:ascii="仿宋_GB2312" w:hAnsi="仿宋_GB2312" w:eastAsia="仿宋_GB2312" w:cs="仿宋_GB2312"/>
                <w:color w:val="auto"/>
                <w:spacing w:val="0"/>
                <w:position w:val="0"/>
                <w:sz w:val="21"/>
                <w:shd w:val="clear" w:fill="auto"/>
              </w:rPr>
              <w:t>105%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公用经费控制率在</w:t>
            </w:r>
            <w:r>
              <w:rPr>
                <w:rFonts w:ascii="仿宋_GB2312" w:hAnsi="仿宋_GB2312" w:eastAsia="仿宋_GB2312" w:cs="仿宋_GB2312"/>
                <w:color w:val="auto"/>
                <w:spacing w:val="0"/>
                <w:position w:val="0"/>
                <w:sz w:val="21"/>
                <w:shd w:val="clear" w:fill="auto"/>
              </w:rPr>
              <w:t>100%-105%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某部门公用经费控制率］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（公用经费控制率）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（公用经费控制率）］×该指标分值。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通过对部门本年度实际政府采购预算项目个数与政府采购预算项目个数的比较，反映和评价部门政府采购预算执行情况。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（实际政府采购预算项目个数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政府采购预算项目个数）×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政府采购项目中非预算内安排的项目除外。</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政府采购执行率等于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政府采购执行率小于或等于</w:t>
            </w:r>
            <w:r>
              <w:rPr>
                <w:rFonts w:ascii="仿宋_GB2312" w:hAnsi="仿宋_GB2312" w:eastAsia="仿宋_GB2312" w:cs="仿宋_GB2312"/>
                <w:color w:val="auto"/>
                <w:spacing w:val="0"/>
                <w:position w:val="0"/>
                <w:sz w:val="21"/>
                <w:shd w:val="clear" w:fill="auto"/>
              </w:rPr>
              <w:t>90%</w:t>
            </w:r>
            <w:r>
              <w:rPr>
                <w:rFonts w:ascii="宋体" w:hAnsi="宋体" w:eastAsia="宋体" w:cs="宋体"/>
                <w:color w:val="auto"/>
                <w:spacing w:val="0"/>
                <w:position w:val="0"/>
                <w:sz w:val="21"/>
                <w:shd w:val="clear" w:fill="auto"/>
              </w:rPr>
              <w:t>的，</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政府采购执行率在</w:t>
            </w:r>
            <w:r>
              <w:rPr>
                <w:rFonts w:ascii="仿宋_GB2312" w:hAnsi="仿宋_GB2312" w:eastAsia="仿宋_GB2312" w:cs="仿宋_GB2312"/>
                <w:color w:val="auto"/>
                <w:spacing w:val="0"/>
                <w:position w:val="0"/>
                <w:sz w:val="21"/>
                <w:shd w:val="clear" w:fill="auto"/>
              </w:rPr>
              <w:t>90%-100%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（政府采购执行率）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（政府采购执行率）］×该指标分值。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预算管理情况</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资金使用合规性（</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部门使用预算资金是否符合相关的预算财务管理制度的规定，反映和评价部门预算资金的规范运行情况。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符合国家财经法规和财务管理制度规定以及有关部门资金管理办法的规定；</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资金的拨付有完整的审批过程和手续；</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项目的重大开支经过评估论证；</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符合部门预算批复的用途；</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不存在截留情况；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不存在挤占情况；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7.</w:t>
            </w:r>
            <w:r>
              <w:rPr>
                <w:rFonts w:ascii="宋体" w:hAnsi="宋体" w:eastAsia="宋体" w:cs="宋体"/>
                <w:color w:val="auto"/>
                <w:spacing w:val="0"/>
                <w:position w:val="0"/>
                <w:sz w:val="21"/>
                <w:shd w:val="clear" w:fill="auto"/>
              </w:rPr>
              <w:t>不存在挪用情况；</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不存在虚列支出情况。</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8</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符合其中七项（</w:t>
            </w:r>
            <w:r>
              <w:rPr>
                <w:rFonts w:ascii="仿宋_GB2312" w:hAnsi="仿宋_GB2312" w:eastAsia="仿宋_GB2312" w:cs="仿宋_GB2312"/>
                <w:color w:val="auto"/>
                <w:spacing w:val="0"/>
                <w:position w:val="0"/>
                <w:sz w:val="21"/>
                <w:shd w:val="clear" w:fill="auto"/>
              </w:rPr>
              <w:t>6</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符合其中六项（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符合其中五项（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符合其中四项及以下（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8</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预决算信息公开性（</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部门是否按照政府信息公开有关规定公开相关预决算信息，用以反映和评价部门预决算管理的公开透明情况。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预决算信息是指与部门预算、执行、决算、监督、绩效等管理相关的信息。</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公开预决算信息；</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按规定内容公开预决算信息；</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按规定时限公开预决算信息。</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全部符合（</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p>
            <w:pPr>
              <w:ind w:firstLine="205" w:firstLineChars="0"/>
              <w:jc w:val="left"/>
              <w:rPr>
                <w:rFonts w:hint="eastAsia" w:ascii="宋体" w:hAnsi="宋体" w:eastAsia="宋体" w:cs="宋体"/>
                <w:color w:val="auto"/>
                <w:spacing w:val="0"/>
                <w:position w:val="0"/>
                <w:sz w:val="22"/>
                <w:szCs w:val="22"/>
                <w:shd w:val="clear" w:fill="auto"/>
                <w:lang w:val="en-US" w:eastAsia="zh-CN"/>
              </w:rPr>
            </w:pPr>
            <w:r>
              <w:rPr>
                <w:rFonts w:hint="eastAsia" w:ascii="宋体" w:hAnsi="宋体" w:eastAsia="宋体" w:cs="宋体"/>
                <w:color w:val="auto"/>
                <w:spacing w:val="0"/>
                <w:position w:val="0"/>
                <w:sz w:val="22"/>
                <w:szCs w:val="22"/>
                <w:shd w:val="clear" w:fill="auto"/>
                <w:lang w:val="en-US" w:eastAsia="zh-CN"/>
              </w:rPr>
              <w:t>3</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基础信息完善性</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部门基础信息是否完善，用以反映和评价基础信息对预算管理工作的支撑情况。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基本财务管理制度健全；</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基础数据信息和会计信息资料真实；</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基础数据信息和会计信息资料完整；</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基础数据信息和会计信息资料准确。</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符合全部四项（</w:t>
            </w:r>
            <w:r>
              <w:rPr>
                <w:rFonts w:ascii="仿宋_GB2312" w:hAnsi="仿宋_GB2312" w:eastAsia="仿宋_GB2312" w:cs="仿宋_GB2312"/>
                <w:color w:val="auto"/>
                <w:spacing w:val="0"/>
                <w:position w:val="0"/>
                <w:sz w:val="21"/>
                <w:shd w:val="clear" w:fill="auto"/>
              </w:rPr>
              <w:t>4</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符合其中三项（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符合其中一项及以下（</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4</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资产管理情况（</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资产管理完整性（</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部门的资产是否保存完整、使用合规、收入及时足额上缴，用以反映和评价部门资产运行情况。</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评价要点：</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资产保存完整；</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资产账务管理是否合规，</w:t>
            </w:r>
            <w:r>
              <w:rPr>
                <w:rFonts w:hint="eastAsia" w:ascii="宋体" w:hAnsi="宋体" w:cs="宋体"/>
                <w:color w:val="auto"/>
                <w:spacing w:val="0"/>
                <w:position w:val="0"/>
                <w:sz w:val="21"/>
                <w:shd w:val="clear" w:fill="auto"/>
                <w:lang w:val="en-US" w:eastAsia="zh-CN"/>
              </w:rPr>
              <w:t>账</w:t>
            </w:r>
            <w:r>
              <w:rPr>
                <w:rFonts w:ascii="宋体" w:hAnsi="宋体" w:eastAsia="宋体" w:cs="宋体"/>
                <w:color w:val="auto"/>
                <w:spacing w:val="0"/>
                <w:position w:val="0"/>
                <w:sz w:val="21"/>
                <w:shd w:val="clear" w:fill="auto"/>
              </w:rPr>
              <w:t>实相符；</w:t>
            </w:r>
          </w:p>
          <w:p>
            <w:pPr>
              <w:widowControl w:val="0"/>
              <w:spacing w:before="0" w:after="0" w:line="24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资产有偿使用及处置收入及时足额上缴。</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符合全部三项（</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符合其中两项（</w:t>
            </w: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符合其中一项（</w:t>
            </w: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符合零项（</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2</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部门实际在用固定资产总额与所有固定资产总额的比率，用以反映和评价部门固定资产使用效率。</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（实际在用固定资产总额</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所有固定资产总额）×</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固定资产利用率大于或等于</w:t>
            </w:r>
            <w:r>
              <w:rPr>
                <w:rFonts w:ascii="仿宋_GB2312" w:hAnsi="仿宋_GB2312" w:eastAsia="仿宋_GB2312" w:cs="仿宋_GB2312"/>
                <w:color w:val="auto"/>
                <w:spacing w:val="0"/>
                <w:position w:val="0"/>
                <w:sz w:val="21"/>
                <w:shd w:val="clear" w:fill="auto"/>
              </w:rPr>
              <w:t>95%</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固定资产利用率小于或等于</w:t>
            </w:r>
            <w:r>
              <w:rPr>
                <w:rFonts w:ascii="仿宋_GB2312" w:hAnsi="仿宋_GB2312" w:eastAsia="仿宋_GB2312" w:cs="仿宋_GB2312"/>
                <w:color w:val="auto"/>
                <w:spacing w:val="0"/>
                <w:position w:val="0"/>
                <w:sz w:val="21"/>
                <w:shd w:val="clear" w:fill="auto"/>
              </w:rPr>
              <w:t>85%</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固定资产利用率在</w:t>
            </w:r>
            <w:r>
              <w:rPr>
                <w:rFonts w:ascii="仿宋_GB2312" w:hAnsi="仿宋_GB2312" w:eastAsia="仿宋_GB2312" w:cs="仿宋_GB2312"/>
                <w:color w:val="auto"/>
                <w:spacing w:val="0"/>
                <w:position w:val="0"/>
                <w:sz w:val="21"/>
                <w:shd w:val="clear" w:fill="auto"/>
              </w:rPr>
              <w:t>85%-95%</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（固定资产利用率）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（固定资产利用率）］×该指标分值。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3</w:t>
            </w:r>
          </w:p>
        </w:tc>
      </w:tr>
      <w:tr>
        <w:tblPrEx>
          <w:tblCellMar>
            <w:top w:w="0" w:type="dxa"/>
            <w:left w:w="108" w:type="dxa"/>
            <w:bottom w:w="0" w:type="dxa"/>
            <w:right w:w="108"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产出</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分</w:t>
            </w:r>
            <w:r>
              <w:rPr>
                <w:rFonts w:ascii="仿宋_GB2312" w:hAnsi="仿宋_GB2312" w:eastAsia="仿宋_GB2312" w:cs="仿宋_GB2312"/>
                <w:color w:val="auto"/>
                <w:spacing w:val="0"/>
                <w:position w:val="0"/>
                <w:sz w:val="21"/>
                <w:shd w:val="clear" w:fill="auto"/>
              </w:rPr>
              <w:t>)</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职责履行情况（</w:t>
            </w:r>
            <w:r>
              <w:rPr>
                <w:rFonts w:ascii="仿宋_GB2312" w:hAnsi="仿宋_GB2312" w:eastAsia="仿宋_GB2312" w:cs="仿宋_GB2312"/>
                <w:color w:val="auto"/>
                <w:spacing w:val="0"/>
                <w:position w:val="0"/>
                <w:sz w:val="21"/>
                <w:shd w:val="clear" w:fill="auto"/>
              </w:rPr>
              <w:t>25</w:t>
            </w:r>
            <w:r>
              <w:rPr>
                <w:rFonts w:ascii="宋体" w:hAnsi="宋体" w:eastAsia="宋体" w:cs="宋体"/>
                <w:color w:val="auto"/>
                <w:spacing w:val="0"/>
                <w:position w:val="0"/>
                <w:sz w:val="21"/>
                <w:shd w:val="clear" w:fill="auto"/>
              </w:rPr>
              <w:t>）</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履职完成情况（</w:t>
            </w:r>
            <w:r>
              <w:rPr>
                <w:rFonts w:ascii="仿宋_GB2312" w:hAnsi="仿宋_GB2312" w:eastAsia="仿宋_GB2312" w:cs="仿宋_GB2312"/>
                <w:color w:val="auto"/>
                <w:spacing w:val="0"/>
                <w:position w:val="0"/>
                <w:sz w:val="21"/>
                <w:shd w:val="clear" w:fill="auto"/>
              </w:rPr>
              <w:t>10</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根据年度主要任务分解表</w:t>
            </w:r>
            <w:bookmarkStart w:id="0" w:name="_GoBack"/>
            <w:bookmarkEnd w:id="0"/>
            <w:r>
              <w:rPr>
                <w:rFonts w:ascii="仿宋" w:hAnsi="仿宋" w:eastAsia="仿宋" w:cs="仿宋"/>
                <w:color w:val="000000"/>
                <w:spacing w:val="0"/>
                <w:position w:val="0"/>
                <w:sz w:val="21"/>
                <w:shd w:val="clear" w:fill="auto"/>
              </w:rPr>
              <w:t>的具体任务，逐项评价任务量化指标完成情况、实施效果和责任制建立情况。用以反映和考核部门（单位）履职工作任务目标的完成情况。评价要点：</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 xml:space="preserve">1.每项任务是否已制定了明确、具体、可量化、可衡量的绩效指标；           </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2.每项任务绩效指标的完成情况，是全部完成、基本完成、未完成，还是未实施；</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3.每项任务实施效果情况，是优秀、良好、一般，还是无效果；</w:t>
            </w:r>
          </w:p>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4.每项任务是否建立了目标责任制，是否落实到具体部门和人员负责。</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根据不同部门履职的内容和特点，具体测算部门履职工作任务目标的完成情况。</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9</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项目完成质量达标率（</w:t>
            </w:r>
            <w:r>
              <w:rPr>
                <w:rFonts w:ascii="仿宋_GB2312" w:hAnsi="仿宋_GB2312" w:eastAsia="仿宋_GB2312" w:cs="仿宋_GB2312"/>
                <w:color w:val="auto"/>
                <w:spacing w:val="0"/>
                <w:position w:val="0"/>
                <w:sz w:val="21"/>
                <w:shd w:val="clear" w:fill="auto"/>
              </w:rPr>
              <w:t>15</w:t>
            </w:r>
            <w:r>
              <w:rPr>
                <w:rFonts w:ascii="宋体" w:hAnsi="宋体" w:eastAsia="宋体" w:cs="宋体"/>
                <w:color w:val="auto"/>
                <w:spacing w:val="0"/>
                <w:position w:val="0"/>
                <w:sz w:val="21"/>
                <w:shd w:val="clear" w:fill="auto"/>
              </w:rPr>
              <w:t>）</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部门已完成项目中质量达标项目个数占已完成项目个数的比率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用以反映和评价部门履职质量目标的实现程度。</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（已完成项目中质量达标项目个数</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已完成项目个数）×</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项目质量达标是指项目决算验收合格。</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1.</w:t>
            </w:r>
            <w:r>
              <w:rPr>
                <w:rFonts w:ascii="宋体" w:hAnsi="宋体" w:eastAsia="宋体" w:cs="宋体"/>
                <w:color w:val="auto"/>
                <w:spacing w:val="0"/>
                <w:position w:val="0"/>
                <w:sz w:val="21"/>
                <w:shd w:val="clear" w:fill="auto"/>
              </w:rPr>
              <w:t>项目质量达标率等于</w:t>
            </w:r>
            <w:r>
              <w:rPr>
                <w:rFonts w:ascii="仿宋_GB2312" w:hAnsi="仿宋_GB2312" w:eastAsia="仿宋_GB2312" w:cs="仿宋_GB2312"/>
                <w:color w:val="auto"/>
                <w:spacing w:val="0"/>
                <w:position w:val="0"/>
                <w:sz w:val="21"/>
                <w:shd w:val="clear" w:fill="auto"/>
              </w:rPr>
              <w:t>100%</w:t>
            </w:r>
            <w:r>
              <w:rPr>
                <w:rFonts w:ascii="宋体" w:hAnsi="宋体" w:eastAsia="宋体" w:cs="宋体"/>
                <w:color w:val="auto"/>
                <w:spacing w:val="0"/>
                <w:position w:val="0"/>
                <w:sz w:val="21"/>
                <w:shd w:val="clear" w:fill="auto"/>
              </w:rPr>
              <w:t>的，得满分；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2.</w:t>
            </w:r>
            <w:r>
              <w:rPr>
                <w:rFonts w:ascii="宋体" w:hAnsi="宋体" w:eastAsia="宋体" w:cs="宋体"/>
                <w:color w:val="auto"/>
                <w:spacing w:val="0"/>
                <w:position w:val="0"/>
                <w:sz w:val="21"/>
                <w:shd w:val="clear" w:fill="auto"/>
              </w:rPr>
              <w:t>项目质量达标率小于或等于</w:t>
            </w:r>
            <w:r>
              <w:rPr>
                <w:rFonts w:ascii="仿宋_GB2312" w:hAnsi="仿宋_GB2312" w:eastAsia="仿宋_GB2312" w:cs="仿宋_GB2312"/>
                <w:color w:val="auto"/>
                <w:spacing w:val="0"/>
                <w:position w:val="0"/>
                <w:sz w:val="21"/>
                <w:shd w:val="clear" w:fill="auto"/>
              </w:rPr>
              <w:t>99%</w:t>
            </w:r>
            <w:r>
              <w:rPr>
                <w:rFonts w:ascii="宋体" w:hAnsi="宋体" w:eastAsia="宋体" w:cs="宋体"/>
                <w:color w:val="auto"/>
                <w:spacing w:val="0"/>
                <w:position w:val="0"/>
                <w:sz w:val="21"/>
                <w:shd w:val="clear" w:fill="auto"/>
              </w:rPr>
              <w:t>的，得</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分；</w:t>
            </w:r>
          </w:p>
          <w:p>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_GB2312" w:hAnsi="仿宋_GB2312" w:eastAsia="仿宋_GB2312" w:cs="仿宋_GB2312"/>
                <w:color w:val="auto"/>
                <w:spacing w:val="0"/>
                <w:position w:val="0"/>
                <w:sz w:val="21"/>
                <w:shd w:val="clear" w:fill="auto"/>
              </w:rPr>
              <w:t>3.</w:t>
            </w:r>
            <w:r>
              <w:rPr>
                <w:rFonts w:ascii="宋体" w:hAnsi="宋体" w:eastAsia="宋体" w:cs="宋体"/>
                <w:color w:val="auto"/>
                <w:spacing w:val="0"/>
                <w:position w:val="0"/>
                <w:sz w:val="21"/>
                <w:shd w:val="clear" w:fill="auto"/>
              </w:rPr>
              <w:t>项目质量达标率在</w:t>
            </w:r>
            <w:r>
              <w:rPr>
                <w:rFonts w:ascii="仿宋_GB2312" w:hAnsi="仿宋_GB2312" w:eastAsia="仿宋_GB2312" w:cs="仿宋_GB2312"/>
                <w:color w:val="auto"/>
                <w:spacing w:val="0"/>
                <w:position w:val="0"/>
                <w:sz w:val="21"/>
                <w:shd w:val="clear" w:fill="auto"/>
              </w:rPr>
              <w:t>99%-100%</w:t>
            </w:r>
            <w:r>
              <w:rPr>
                <w:rFonts w:ascii="宋体" w:hAnsi="宋体" w:eastAsia="宋体" w:cs="宋体"/>
                <w:color w:val="auto"/>
                <w:spacing w:val="0"/>
                <w:position w:val="0"/>
                <w:sz w:val="21"/>
                <w:shd w:val="clear" w:fill="auto"/>
              </w:rPr>
              <w:t>之间的，在</w:t>
            </w:r>
            <w:r>
              <w:rPr>
                <w:rFonts w:ascii="仿宋_GB2312" w:hAnsi="仿宋_GB2312" w:eastAsia="仿宋_GB2312" w:cs="仿宋_GB2312"/>
                <w:color w:val="auto"/>
                <w:spacing w:val="0"/>
                <w:position w:val="0"/>
                <w:sz w:val="21"/>
                <w:shd w:val="clear" w:fill="auto"/>
              </w:rPr>
              <w:t>0</w:t>
            </w:r>
            <w:r>
              <w:rPr>
                <w:rFonts w:ascii="宋体" w:hAnsi="宋体" w:eastAsia="宋体" w:cs="宋体"/>
                <w:color w:val="auto"/>
                <w:spacing w:val="0"/>
                <w:position w:val="0"/>
                <w:sz w:val="21"/>
                <w:shd w:val="clear" w:fill="auto"/>
              </w:rPr>
              <w:t>和满分之间计算确定：</w:t>
            </w:r>
            <w:r>
              <w:rPr>
                <w:rFonts w:ascii="仿宋_GB2312" w:hAnsi="仿宋_GB2312" w:eastAsia="仿宋_GB2312" w:cs="仿宋_GB2312"/>
                <w:color w:val="auto"/>
                <w:spacing w:val="0"/>
                <w:position w:val="0"/>
                <w:sz w:val="21"/>
                <w:shd w:val="clear" w:fill="auto"/>
              </w:rPr>
              <w:t xml:space="preserve"> </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得分</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［某部门项目质量达标率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max</w:t>
            </w:r>
            <w:r>
              <w:rPr>
                <w:rFonts w:ascii="宋体" w:hAnsi="宋体" w:eastAsia="宋体" w:cs="宋体"/>
                <w:color w:val="auto"/>
                <w:spacing w:val="0"/>
                <w:position w:val="0"/>
                <w:sz w:val="21"/>
                <w:shd w:val="clear" w:fill="auto"/>
              </w:rPr>
              <w:t>（项目质量达标率）</w:t>
            </w:r>
            <w:r>
              <w:rPr>
                <w:rFonts w:ascii="仿宋_GB2312" w:hAnsi="仿宋_GB2312" w:eastAsia="仿宋_GB2312" w:cs="仿宋_GB2312"/>
                <w:color w:val="auto"/>
                <w:spacing w:val="0"/>
                <w:position w:val="0"/>
                <w:sz w:val="21"/>
                <w:shd w:val="clear" w:fill="auto"/>
              </w:rPr>
              <w:t>-min</w:t>
            </w:r>
            <w:r>
              <w:rPr>
                <w:rFonts w:ascii="宋体" w:hAnsi="宋体" w:eastAsia="宋体" w:cs="宋体"/>
                <w:color w:val="auto"/>
                <w:spacing w:val="0"/>
                <w:position w:val="0"/>
                <w:sz w:val="21"/>
                <w:shd w:val="clear" w:fill="auto"/>
              </w:rPr>
              <w:t>（项目质量达标率）］×该指标分值。</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1</w:t>
            </w:r>
            <w:r>
              <w:rPr>
                <w:rFonts w:hint="eastAsia" w:ascii="宋体" w:hAnsi="宋体" w:cs="宋体"/>
                <w:color w:val="auto"/>
                <w:spacing w:val="0"/>
                <w:position w:val="0"/>
                <w:sz w:val="22"/>
                <w:shd w:val="clear" w:fill="auto"/>
                <w:lang w:val="en-US" w:eastAsia="zh-CN"/>
              </w:rPr>
              <w:t>4</w:t>
            </w:r>
          </w:p>
        </w:tc>
      </w:tr>
      <w:tr>
        <w:tblPrEx>
          <w:tblCellMar>
            <w:top w:w="0" w:type="dxa"/>
            <w:left w:w="108" w:type="dxa"/>
            <w:bottom w:w="0" w:type="dxa"/>
            <w:right w:w="108" w:type="dxa"/>
          </w:tblCellMar>
        </w:tblPrEx>
        <w:trPr>
          <w:trHeight w:val="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效果（</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p>
          <w:p>
            <w:pPr>
              <w:widowControl w:val="0"/>
              <w:spacing w:before="0" w:after="0" w:line="240" w:lineRule="auto"/>
              <w:ind w:left="0" w:right="0" w:firstLine="0"/>
              <w:jc w:val="left"/>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履职效益情况</w:t>
            </w:r>
          </w:p>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20</w:t>
            </w:r>
            <w:r>
              <w:rPr>
                <w:rFonts w:ascii="宋体" w:hAnsi="宋体" w:eastAsia="宋体" w:cs="宋体"/>
                <w:color w:val="auto"/>
                <w:spacing w:val="0"/>
                <w:position w:val="0"/>
                <w:sz w:val="21"/>
                <w:shd w:val="clear" w:fill="auto"/>
              </w:rPr>
              <w:t>分）</w:t>
            </w: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经济效益</w:t>
            </w:r>
            <w:r>
              <w:rPr>
                <w:rFonts w:ascii="宋体" w:hAnsi="宋体" w:eastAsia="宋体" w:cs="宋体"/>
                <w:color w:val="auto"/>
                <w:spacing w:val="0"/>
                <w:position w:val="0"/>
                <w:sz w:val="21"/>
                <w:shd w:val="clear" w:fill="auto"/>
              </w:rPr>
              <w:t>（</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部门及所属二级单位通过履行职责和预算安排支出项目的实施，对我市带来的经济影响。</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评价要点：</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 xml:space="preserve">1.通过部门所属企事业单位改革，促进了企事业单位效益增长情况；          </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2.通过预算支出项目的实施，促进了行业生产能力增长，从而带动行业经济效益增长；</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3.通过预算支出项目的实施，有效提高劳动效率，节约成本费用；</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4.通过预算支出项目的实施，降低了损耗，从而提高了生产效益；</w:t>
            </w:r>
          </w:p>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5.通过预算支出项目的实施，完善了突发情况的监测预警，保障了生产安全，降低了生产损失。</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根据不同部门履职的内容和特点，具体测算部门履职产生的经济效益。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5</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spacing w:val="0"/>
                <w:position w:val="0"/>
                <w:shd w:val="clear" w:fill="auto"/>
              </w:rPr>
            </w:pPr>
            <w:r>
              <w:rPr>
                <w:rFonts w:ascii="宋体" w:hAnsi="宋体" w:eastAsia="宋体" w:cs="宋体"/>
                <w:color w:val="000000"/>
                <w:spacing w:val="0"/>
                <w:position w:val="0"/>
                <w:sz w:val="21"/>
                <w:shd w:val="clear" w:fill="auto"/>
              </w:rPr>
              <w:t>社会效益（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部门及所属二级单位履行职责对社会发展所带来的直接或间接影响。</w:t>
            </w:r>
          </w:p>
          <w:p>
            <w:pPr>
              <w:widowControl w:val="0"/>
              <w:spacing w:before="0" w:after="0" w:line="240" w:lineRule="auto"/>
              <w:ind w:left="0" w:right="0" w:firstLine="0"/>
              <w:jc w:val="both"/>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评价要点：</w:t>
            </w:r>
          </w:p>
          <w:p>
            <w:pPr>
              <w:widowControl w:val="0"/>
              <w:spacing w:before="0" w:after="0" w:line="240" w:lineRule="auto"/>
              <w:ind w:left="0" w:right="0" w:firstLine="0"/>
              <w:jc w:val="both"/>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 xml:space="preserve">1.通过部门所属企事业单位的改革，促进了企事业单位可持续发展，带动就业增长情况；          </w:t>
            </w:r>
          </w:p>
          <w:p>
            <w:pPr>
              <w:widowControl w:val="0"/>
              <w:spacing w:before="0" w:after="0" w:line="240" w:lineRule="auto"/>
              <w:ind w:left="0" w:right="0" w:firstLine="0"/>
              <w:jc w:val="both"/>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2.通过预算支出项目的实施，是否明显促进了行业精神文明建设；</w:t>
            </w:r>
          </w:p>
          <w:p>
            <w:pPr>
              <w:widowControl w:val="0"/>
              <w:spacing w:before="0" w:after="0" w:line="240" w:lineRule="auto"/>
              <w:ind w:left="0" w:right="0" w:firstLine="0"/>
              <w:jc w:val="both"/>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3.通过部门履职是否明显提高城乡居民生活水平，满足了人们日益增长的物质与文化生活需求；</w:t>
            </w:r>
          </w:p>
          <w:p>
            <w:pPr>
              <w:widowControl w:val="0"/>
              <w:spacing w:before="0" w:after="0" w:line="240" w:lineRule="auto"/>
              <w:ind w:left="0" w:right="0" w:firstLine="0"/>
              <w:jc w:val="both"/>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4.通过预算项目的实施，是否提高了劳动生产率，降低了劳动强度，促进了劳动人民的身心健康；</w:t>
            </w:r>
          </w:p>
          <w:p>
            <w:pPr>
              <w:widowControl w:val="0"/>
              <w:spacing w:before="0" w:after="0" w:line="240" w:lineRule="auto"/>
              <w:ind w:left="0" w:right="0" w:firstLine="0"/>
              <w:jc w:val="both"/>
              <w:rPr>
                <w:spacing w:val="0"/>
                <w:position w:val="0"/>
                <w:shd w:val="clear" w:fill="auto"/>
              </w:rPr>
            </w:pPr>
            <w:r>
              <w:rPr>
                <w:rFonts w:ascii="仿宋" w:hAnsi="仿宋" w:eastAsia="仿宋" w:cs="仿宋"/>
                <w:color w:val="000000"/>
                <w:spacing w:val="0"/>
                <w:position w:val="0"/>
                <w:sz w:val="21"/>
                <w:shd w:val="clear" w:fill="auto"/>
              </w:rPr>
              <w:t>5.通过部门履职行业形象是否得到了大大提升了，增强了部门影响力。</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根据不同部门履职的内容和特点，具体测算部门履职产生的社会效益。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5</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宋体" w:hAnsi="宋体" w:eastAsia="宋体" w:cs="宋体"/>
                <w:color w:val="000000"/>
                <w:spacing w:val="0"/>
                <w:position w:val="0"/>
                <w:sz w:val="21"/>
                <w:shd w:val="clear" w:fill="auto"/>
              </w:rPr>
              <w:t>生态效益（</w:t>
            </w:r>
            <w:r>
              <w:rPr>
                <w:rFonts w:ascii="仿宋_GB2312" w:hAnsi="仿宋_GB2312" w:eastAsia="仿宋_GB2312" w:cs="仿宋_GB2312"/>
                <w:color w:val="000000"/>
                <w:spacing w:val="0"/>
                <w:position w:val="0"/>
                <w:sz w:val="21"/>
                <w:shd w:val="clear" w:fill="auto"/>
              </w:rPr>
              <w:t>5</w:t>
            </w:r>
            <w:r>
              <w:rPr>
                <w:rFonts w:ascii="宋体" w:hAnsi="宋体" w:eastAsia="宋体" w:cs="宋体"/>
                <w:color w:val="000000"/>
                <w:spacing w:val="0"/>
                <w:position w:val="0"/>
                <w:sz w:val="21"/>
                <w:shd w:val="clear" w:fill="auto"/>
              </w:rPr>
              <w:t>分）</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仿宋" w:hAnsi="仿宋" w:eastAsia="仿宋" w:cs="仿宋"/>
                <w:color w:val="000000"/>
                <w:spacing w:val="0"/>
                <w:position w:val="0"/>
                <w:sz w:val="21"/>
                <w:shd w:val="clear" w:fill="auto"/>
              </w:rPr>
            </w:pPr>
            <w:r>
              <w:rPr>
                <w:rFonts w:ascii="仿宋" w:hAnsi="仿宋" w:eastAsia="仿宋" w:cs="仿宋"/>
                <w:color w:val="000000"/>
                <w:spacing w:val="0"/>
                <w:position w:val="0"/>
                <w:sz w:val="21"/>
                <w:shd w:val="clear" w:fill="auto"/>
              </w:rPr>
              <w:t>部门及所属二级单位履行职责对生态环境所带来的直接或间接影响。</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评价要点：</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1.通过预算支出项目的实施，绿色、节能环保新技术的应用和推广，明显带动各环节的节能减排，也具有一定的环境效益；</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2.通过履职有效地控制虚假、伪劣、霉变等劣质产品进入市场，影响了人民生活质量，净化地市场环境；</w:t>
            </w:r>
          </w:p>
          <w:p>
            <w:pPr>
              <w:widowControl w:val="0"/>
              <w:spacing w:before="0" w:after="0" w:line="240" w:lineRule="auto"/>
              <w:ind w:left="0" w:right="0" w:firstLine="0"/>
              <w:jc w:val="left"/>
              <w:rPr>
                <w:rFonts w:hint="eastAsia" w:ascii="仿宋" w:hAnsi="仿宋" w:eastAsia="仿宋" w:cs="仿宋"/>
                <w:color w:val="000000"/>
                <w:spacing w:val="0"/>
                <w:position w:val="0"/>
                <w:sz w:val="21"/>
                <w:shd w:val="clear" w:fill="auto"/>
                <w:lang w:eastAsia="zh-CN"/>
              </w:rPr>
            </w:pPr>
            <w:r>
              <w:rPr>
                <w:rFonts w:ascii="仿宋" w:hAnsi="仿宋" w:eastAsia="仿宋" w:cs="仿宋"/>
                <w:color w:val="000000"/>
                <w:spacing w:val="0"/>
                <w:position w:val="0"/>
                <w:sz w:val="21"/>
                <w:shd w:val="clear" w:fill="auto"/>
              </w:rPr>
              <w:t>3.通过预算支出项目的实施，是否达到减少污染物排放；</w:t>
            </w:r>
          </w:p>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4.通过预算支出项目的实施，周围环境得到了整治，面貌得到了改善。</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spacing w:val="0"/>
                <w:position w:val="0"/>
                <w:shd w:val="clear" w:fill="auto"/>
              </w:rPr>
            </w:pPr>
            <w:r>
              <w:rPr>
                <w:rFonts w:ascii="仿宋" w:hAnsi="仿宋" w:eastAsia="仿宋" w:cs="仿宋"/>
                <w:color w:val="000000"/>
                <w:spacing w:val="0"/>
                <w:position w:val="0"/>
                <w:sz w:val="21"/>
                <w:shd w:val="clear" w:fill="auto"/>
              </w:rPr>
              <w:t>根据不同部门履职的内容和特点，具体测算部门履职产生的生态效益。</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default" w:ascii="宋体" w:hAnsi="宋体" w:eastAsia="宋体" w:cs="宋体"/>
                <w:color w:val="auto"/>
                <w:spacing w:val="0"/>
                <w:position w:val="0"/>
                <w:sz w:val="22"/>
                <w:shd w:val="clear" w:fill="auto"/>
                <w:lang w:val="en-US" w:eastAsia="zh-CN"/>
              </w:rPr>
            </w:pPr>
            <w:r>
              <w:rPr>
                <w:rFonts w:hint="eastAsia" w:ascii="宋体" w:hAnsi="宋体" w:cs="宋体"/>
                <w:color w:val="auto"/>
                <w:spacing w:val="0"/>
                <w:position w:val="0"/>
                <w:sz w:val="22"/>
                <w:shd w:val="clear" w:fill="auto"/>
                <w:lang w:val="en-US" w:eastAsia="zh-CN"/>
              </w:rPr>
              <w:t>5</w:t>
            </w:r>
          </w:p>
        </w:tc>
      </w:tr>
      <w:tr>
        <w:tblPrEx>
          <w:tblCellMar>
            <w:top w:w="0" w:type="dxa"/>
            <w:left w:w="108" w:type="dxa"/>
            <w:bottom w:w="0" w:type="dxa"/>
            <w:right w:w="108" w:type="dxa"/>
          </w:tblCellMar>
        </w:tblPrEx>
        <w:trPr>
          <w:trHeight w:val="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400" w:lineRule="auto"/>
              <w:ind w:left="0" w:right="0" w:firstLine="0"/>
              <w:jc w:val="left"/>
              <w:rPr>
                <w:rFonts w:ascii="宋体" w:hAnsi="宋体" w:eastAsia="宋体" w:cs="宋体"/>
                <w:color w:val="auto"/>
                <w:spacing w:val="0"/>
                <w:position w:val="0"/>
                <w:sz w:val="22"/>
                <w:shd w:val="clear" w:fill="auto"/>
              </w:rPr>
            </w:pPr>
          </w:p>
        </w:tc>
        <w:tc>
          <w:tcPr>
            <w:tcW w:w="12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服务对象满意度（</w:t>
            </w:r>
            <w:r>
              <w:rPr>
                <w:rFonts w:ascii="仿宋_GB2312" w:hAnsi="仿宋_GB2312" w:eastAsia="仿宋_GB2312" w:cs="仿宋_GB2312"/>
                <w:color w:val="auto"/>
                <w:spacing w:val="0"/>
                <w:position w:val="0"/>
                <w:sz w:val="21"/>
                <w:shd w:val="clear" w:fill="auto"/>
              </w:rPr>
              <w:t>5</w:t>
            </w:r>
            <w:r>
              <w:rPr>
                <w:rFonts w:ascii="宋体" w:hAnsi="宋体" w:eastAsia="宋体" w:cs="宋体"/>
                <w:color w:val="auto"/>
                <w:spacing w:val="0"/>
                <w:position w:val="0"/>
                <w:sz w:val="21"/>
                <w:shd w:val="clear" w:fill="auto"/>
              </w:rPr>
              <w:t>）</w:t>
            </w:r>
          </w:p>
        </w:tc>
        <w:tc>
          <w:tcPr>
            <w:tcW w:w="34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通过对部门（单位）的服务对象对部门履职效果的满意程度调查，反映和考核社会公众或服务对象对部门履职的满意度。</w:t>
            </w:r>
          </w:p>
        </w:tc>
        <w:tc>
          <w:tcPr>
            <w:tcW w:w="23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both"/>
              <w:rPr>
                <w:rFonts w:ascii="仿宋" w:hAnsi="仿宋" w:eastAsia="仿宋" w:cs="仿宋"/>
                <w:color w:val="auto"/>
                <w:spacing w:val="0"/>
                <w:position w:val="0"/>
                <w:sz w:val="21"/>
                <w:shd w:val="clear" w:fill="auto"/>
              </w:rPr>
            </w:pPr>
            <w:r>
              <w:rPr>
                <w:rFonts w:ascii="仿宋" w:hAnsi="仿宋" w:eastAsia="仿宋" w:cs="仿宋"/>
                <w:color w:val="auto"/>
                <w:spacing w:val="0"/>
                <w:position w:val="0"/>
                <w:sz w:val="21"/>
                <w:shd w:val="clear" w:fill="auto"/>
              </w:rPr>
              <w:t>按照满意度调查的优秀、良好、合格、不合格给予该项指标打分：</w:t>
            </w:r>
          </w:p>
          <w:p>
            <w:pPr>
              <w:widowControl w:val="0"/>
              <w:spacing w:before="0" w:after="0" w:line="240" w:lineRule="auto"/>
              <w:ind w:left="0" w:right="0" w:firstLine="0"/>
              <w:jc w:val="both"/>
              <w:rPr>
                <w:color w:val="auto"/>
                <w:spacing w:val="0"/>
                <w:position w:val="0"/>
                <w:shd w:val="clear" w:fill="auto"/>
              </w:rPr>
            </w:pPr>
            <w:r>
              <w:rPr>
                <w:rFonts w:ascii="仿宋" w:hAnsi="仿宋" w:eastAsia="仿宋" w:cs="仿宋"/>
                <w:color w:val="auto"/>
                <w:spacing w:val="0"/>
                <w:position w:val="0"/>
                <w:sz w:val="21"/>
                <w:shd w:val="clear" w:fill="auto"/>
              </w:rPr>
              <w:t>优秀（5）；良好（3）；合格（1）；不合格（0）。</w:t>
            </w:r>
          </w:p>
        </w:tc>
        <w:tc>
          <w:tcPr>
            <w:tcW w:w="7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center"/>
              <w:rPr>
                <w:rFonts w:hint="eastAsia"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5</w:t>
            </w:r>
          </w:p>
        </w:tc>
      </w:tr>
    </w:tbl>
    <w:p>
      <w:pPr>
        <w:spacing w:before="0" w:after="0" w:line="240" w:lineRule="auto"/>
        <w:ind w:left="0" w:right="0" w:firstLine="0"/>
        <w:jc w:val="both"/>
        <w:rPr>
          <w:rFonts w:ascii="仿宋" w:hAnsi="仿宋" w:eastAsia="仿宋" w:cs="仿宋"/>
          <w:color w:val="auto"/>
          <w:spacing w:val="0"/>
          <w:position w:val="0"/>
          <w:sz w:val="32"/>
          <w:shd w:val="clear" w:fill="auto"/>
        </w:rPr>
      </w:pPr>
    </w:p>
    <w:p>
      <w:pPr>
        <w:spacing w:before="0" w:after="0" w:line="240" w:lineRule="auto"/>
        <w:ind w:left="0" w:right="0" w:firstLine="0"/>
        <w:jc w:val="both"/>
        <w:rPr>
          <w:rFonts w:ascii="仿宋" w:hAnsi="仿宋" w:eastAsia="仿宋" w:cs="仿宋"/>
          <w:color w:val="auto"/>
          <w:spacing w:val="0"/>
          <w:position w:val="0"/>
          <w:sz w:val="32"/>
          <w:shd w:val="clear" w:fill="auto"/>
        </w:rPr>
      </w:pPr>
    </w:p>
    <w:p>
      <w:pPr>
        <w:spacing w:line="520" w:lineRule="exact"/>
        <w:ind w:firstLine="640" w:firstLineChars="200"/>
        <w:rPr>
          <w:rFonts w:hint="eastAsia" w:ascii="仿宋_GB2312" w:hAnsi="仿宋_GB2312" w:eastAsia="仿宋_GB2312" w:cs="仿宋_GB2312"/>
          <w:sz w:val="32"/>
          <w:szCs w:val="32"/>
          <w:lang w:eastAsia="zh-CN"/>
        </w:rPr>
      </w:pP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ascii="仿宋_GB2312" w:hAnsi="宋体" w:eastAsia="仿宋_GB2312"/>
          <w:sz w:val="32"/>
          <w:szCs w:val="32"/>
        </w:rPr>
      </w:pPr>
    </w:p>
    <w:p/>
    <w:sectPr>
      <w:headerReference r:id="rId3" w:type="default"/>
      <w:footerReference r:id="rId4" w:type="default"/>
      <w:pgSz w:w="11906" w:h="16838"/>
      <w:pgMar w:top="2098" w:right="1304" w:bottom="1871" w:left="1531"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7163538"/>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N2E5ZDc0YTAxZDllOGRhNTFhN2JlODBlMGRhZDAifQ=="/>
  </w:docVars>
  <w:rsids>
    <w:rsidRoot w:val="37C83925"/>
    <w:rsid w:val="076F3B84"/>
    <w:rsid w:val="0E423211"/>
    <w:rsid w:val="16B4037C"/>
    <w:rsid w:val="1CC32676"/>
    <w:rsid w:val="2CB82F1B"/>
    <w:rsid w:val="2EDA645F"/>
    <w:rsid w:val="2EF575AD"/>
    <w:rsid w:val="34EC2EF3"/>
    <w:rsid w:val="37C83925"/>
    <w:rsid w:val="3B465014"/>
    <w:rsid w:val="428C1162"/>
    <w:rsid w:val="44213F8E"/>
    <w:rsid w:val="5A7425A5"/>
    <w:rsid w:val="63224031"/>
    <w:rsid w:val="74B53366"/>
    <w:rsid w:val="77FA5325"/>
    <w:rsid w:val="7C6A3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5923</Words>
  <Characters>6289</Characters>
  <Lines>0</Lines>
  <Paragraphs>0</Paragraphs>
  <TotalTime>37</TotalTime>
  <ScaleCrop>false</ScaleCrop>
  <LinksUpToDate>false</LinksUpToDate>
  <CharactersWithSpaces>6326</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2020-05-29T08:33:00Z</dcterms:created>
  <dc:creator>Administrator</dc:creator>
  <cp:lastModifiedBy>Administrator</cp:lastModifiedBy>
  <cp:lastPrinted>2020-12-18T07:33:00Z</cp:lastPrinted>
  <dcterms:modified xsi:type="dcterms:W3CDTF">2024-03-14T01:35:33Z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F435B3DC79EB4806BC8650BF0ED1CCF8</vt:lpwstr>
  </property>
</Properties>
</file>