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部门预算</w:t>
      </w:r>
      <w:r>
        <w:rPr>
          <w:rFonts w:ascii="黑体" w:hAnsi="黑体" w:eastAsia="黑体" w:cs="黑体"/>
          <w:b/>
          <w:color w:val="000000"/>
          <w:sz w:val="44"/>
        </w:rPr>
        <w:t>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部门预算</w:t>
      </w:r>
      <w:r>
        <w:rPr>
          <w:rFonts w:ascii="方正楷体_GBK" w:hAnsi="方正楷体_GBK" w:eastAsia="方正楷体_GBK" w:cs="方正楷体_GBK"/>
          <w:b/>
          <w:color w:val="000000"/>
          <w:sz w:val="28"/>
        </w:rPr>
        <w:t>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部门预算</w:t>
      </w:r>
      <w:r>
        <w:t>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部门预算</w:t>
      </w:r>
      <w:r>
        <w:t>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部门预算</w:t>
      </w:r>
      <w:r>
        <w:t>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部门预算</w:t>
      </w:r>
      <w:r>
        <w:t>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部门预算</w:t>
      </w:r>
      <w:r>
        <w:t>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部门预算</w:t>
      </w:r>
      <w:r>
        <w:t>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部门预算</w:t>
      </w:r>
      <w:r>
        <w:t>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部门预算</w:t>
      </w:r>
      <w:r>
        <w:t>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部门预算</w:t>
      </w:r>
      <w:r>
        <w:t>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部门预算</w:t>
      </w:r>
      <w:r>
        <w:rPr>
          <w:rFonts w:ascii="方正楷体_GBK" w:hAnsi="方正楷体_GBK" w:eastAsia="方正楷体_GBK" w:cs="方正楷体_GBK"/>
          <w:b/>
          <w:color w:val="000000"/>
          <w:sz w:val="28"/>
        </w:rPr>
        <w:t>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部门预算</w:t>
      </w:r>
      <w:r>
        <w:t>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194沙河市市场监督管理局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2865.55</w:t>
            </w:r>
          </w:p>
        </w:tc>
        <w:tc>
          <w:tcPr>
            <w:tcW w:w="4535" w:type="dxa"/>
            <w:vAlign w:val="center"/>
          </w:tcPr>
          <w:p>
            <w:pPr>
              <w:pStyle w:val="13"/>
            </w:pPr>
            <w:r>
              <w:t>一、一般公共服务支出</w:t>
            </w:r>
          </w:p>
        </w:tc>
        <w:tc>
          <w:tcPr>
            <w:tcW w:w="2126" w:type="dxa"/>
            <w:vAlign w:val="center"/>
          </w:tcPr>
          <w:p>
            <w:pPr>
              <w:pStyle w:val="12"/>
            </w:pPr>
            <w:r>
              <w:t>2431.70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2865.55</w:t>
            </w:r>
          </w:p>
        </w:tc>
        <w:tc>
          <w:tcPr>
            <w:tcW w:w="4535" w:type="dxa"/>
            <w:vAlign w:val="center"/>
          </w:tcPr>
          <w:p>
            <w:pPr>
              <w:pStyle w:val="15"/>
            </w:pPr>
            <w:r>
              <w:t>本年支出合计</w:t>
            </w:r>
          </w:p>
        </w:tc>
        <w:tc>
          <w:tcPr>
            <w:tcW w:w="2126" w:type="dxa"/>
            <w:vAlign w:val="center"/>
          </w:tcPr>
          <w:p>
            <w:pPr>
              <w:pStyle w:val="16"/>
            </w:pPr>
            <w:r>
              <w:t>2865.55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2865.55</w:t>
            </w:r>
          </w:p>
        </w:tc>
        <w:tc>
          <w:tcPr>
            <w:tcW w:w="4535" w:type="dxa"/>
            <w:vAlign w:val="center"/>
          </w:tcPr>
          <w:p>
            <w:pPr>
              <w:pStyle w:val="15"/>
            </w:pPr>
            <w:r>
              <w:t>支出总计</w:t>
            </w:r>
          </w:p>
        </w:tc>
        <w:tc>
          <w:tcPr>
            <w:tcW w:w="2126" w:type="dxa"/>
            <w:vAlign w:val="center"/>
          </w:tcPr>
          <w:p>
            <w:pPr>
              <w:pStyle w:val="16"/>
            </w:pPr>
            <w:r>
              <w:t>2865.55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194沙河市市场监督管理局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2865.55</w:t>
            </w:r>
          </w:p>
        </w:tc>
        <w:tc>
          <w:tcPr>
            <w:tcW w:w="1134" w:type="dxa"/>
            <w:vAlign w:val="center"/>
          </w:tcPr>
          <w:p>
            <w:pPr>
              <w:pStyle w:val="16"/>
            </w:pPr>
            <w:r>
              <w:t>2865.55</w:t>
            </w:r>
          </w:p>
        </w:tc>
        <w:tc>
          <w:tcPr>
            <w:tcW w:w="1134" w:type="dxa"/>
            <w:vAlign w:val="center"/>
          </w:tcPr>
          <w:p>
            <w:pPr>
              <w:pStyle w:val="16"/>
            </w:pPr>
            <w:r>
              <w:t>2865.55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2431.70</w:t>
            </w:r>
          </w:p>
        </w:tc>
        <w:tc>
          <w:tcPr>
            <w:tcW w:w="1134" w:type="dxa"/>
            <w:vAlign w:val="center"/>
          </w:tcPr>
          <w:p>
            <w:pPr>
              <w:pStyle w:val="12"/>
            </w:pPr>
            <w:r>
              <w:t>2431.70</w:t>
            </w:r>
          </w:p>
        </w:tc>
        <w:tc>
          <w:tcPr>
            <w:tcW w:w="1134" w:type="dxa"/>
            <w:vAlign w:val="center"/>
          </w:tcPr>
          <w:p>
            <w:pPr>
              <w:pStyle w:val="12"/>
            </w:pPr>
            <w:r>
              <w:t>2431.70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2431.70</w:t>
            </w:r>
          </w:p>
        </w:tc>
        <w:tc>
          <w:tcPr>
            <w:tcW w:w="1134" w:type="dxa"/>
            <w:vAlign w:val="center"/>
          </w:tcPr>
          <w:p>
            <w:pPr>
              <w:pStyle w:val="12"/>
            </w:pPr>
            <w:r>
              <w:t>2431.70</w:t>
            </w:r>
          </w:p>
        </w:tc>
        <w:tc>
          <w:tcPr>
            <w:tcW w:w="1134" w:type="dxa"/>
            <w:vAlign w:val="center"/>
          </w:tcPr>
          <w:p>
            <w:pPr>
              <w:pStyle w:val="12"/>
            </w:pPr>
            <w:r>
              <w:t>2431.70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1882.09</w:t>
            </w:r>
          </w:p>
        </w:tc>
        <w:tc>
          <w:tcPr>
            <w:tcW w:w="1134" w:type="dxa"/>
            <w:vAlign w:val="center"/>
          </w:tcPr>
          <w:p>
            <w:pPr>
              <w:pStyle w:val="12"/>
            </w:pPr>
            <w:r>
              <w:t>1882.09</w:t>
            </w:r>
          </w:p>
        </w:tc>
        <w:tc>
          <w:tcPr>
            <w:tcW w:w="1134" w:type="dxa"/>
            <w:vAlign w:val="center"/>
          </w:tcPr>
          <w:p>
            <w:pPr>
              <w:pStyle w:val="12"/>
            </w:pPr>
            <w:r>
              <w:t>1882.09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2013804</w:t>
            </w:r>
          </w:p>
        </w:tc>
        <w:tc>
          <w:tcPr>
            <w:tcW w:w="1559" w:type="dxa"/>
            <w:vAlign w:val="center"/>
          </w:tcPr>
          <w:p>
            <w:pPr>
              <w:pStyle w:val="13"/>
            </w:pPr>
            <w:r>
              <w:t>市场主体管理</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2013815</w:t>
            </w:r>
          </w:p>
        </w:tc>
        <w:tc>
          <w:tcPr>
            <w:tcW w:w="1559" w:type="dxa"/>
            <w:vAlign w:val="center"/>
          </w:tcPr>
          <w:p>
            <w:pPr>
              <w:pStyle w:val="13"/>
            </w:pPr>
            <w:r>
              <w:t>质量安全监管</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2013816</w:t>
            </w:r>
          </w:p>
        </w:tc>
        <w:tc>
          <w:tcPr>
            <w:tcW w:w="1559" w:type="dxa"/>
            <w:vAlign w:val="center"/>
          </w:tcPr>
          <w:p>
            <w:pPr>
              <w:pStyle w:val="13"/>
            </w:pPr>
            <w:r>
              <w:t>食品安全监管</w:t>
            </w:r>
          </w:p>
        </w:tc>
        <w:tc>
          <w:tcPr>
            <w:tcW w:w="1134" w:type="dxa"/>
            <w:vAlign w:val="center"/>
          </w:tcPr>
          <w:p>
            <w:pPr>
              <w:pStyle w:val="12"/>
            </w:pPr>
            <w:r>
              <w:t>121.61</w:t>
            </w:r>
          </w:p>
        </w:tc>
        <w:tc>
          <w:tcPr>
            <w:tcW w:w="1134" w:type="dxa"/>
            <w:vAlign w:val="center"/>
          </w:tcPr>
          <w:p>
            <w:pPr>
              <w:pStyle w:val="12"/>
            </w:pPr>
            <w:r>
              <w:t>121.61</w:t>
            </w:r>
          </w:p>
        </w:tc>
        <w:tc>
          <w:tcPr>
            <w:tcW w:w="1134" w:type="dxa"/>
            <w:vAlign w:val="center"/>
          </w:tcPr>
          <w:p>
            <w:pPr>
              <w:pStyle w:val="12"/>
            </w:pPr>
            <w:r>
              <w:t>121.61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2013899</w:t>
            </w:r>
          </w:p>
        </w:tc>
        <w:tc>
          <w:tcPr>
            <w:tcW w:w="1559" w:type="dxa"/>
            <w:vAlign w:val="center"/>
          </w:tcPr>
          <w:p>
            <w:pPr>
              <w:pStyle w:val="13"/>
            </w:pPr>
            <w:r>
              <w:t>其他市场监督管理事务</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192.26</w:t>
            </w:r>
          </w:p>
        </w:tc>
        <w:tc>
          <w:tcPr>
            <w:tcW w:w="1134" w:type="dxa"/>
            <w:vAlign w:val="center"/>
          </w:tcPr>
          <w:p>
            <w:pPr>
              <w:pStyle w:val="12"/>
            </w:pPr>
            <w:r>
              <w:t>192.26</w:t>
            </w:r>
          </w:p>
        </w:tc>
        <w:tc>
          <w:tcPr>
            <w:tcW w:w="1134" w:type="dxa"/>
            <w:vAlign w:val="center"/>
          </w:tcPr>
          <w:p>
            <w:pPr>
              <w:pStyle w:val="12"/>
            </w:pPr>
            <w:r>
              <w:t>192.26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192.26</w:t>
            </w:r>
          </w:p>
        </w:tc>
        <w:tc>
          <w:tcPr>
            <w:tcW w:w="1134" w:type="dxa"/>
            <w:vAlign w:val="center"/>
          </w:tcPr>
          <w:p>
            <w:pPr>
              <w:pStyle w:val="12"/>
            </w:pPr>
            <w:r>
              <w:t>192.26</w:t>
            </w:r>
          </w:p>
        </w:tc>
        <w:tc>
          <w:tcPr>
            <w:tcW w:w="1134" w:type="dxa"/>
            <w:vAlign w:val="center"/>
          </w:tcPr>
          <w:p>
            <w:pPr>
              <w:pStyle w:val="12"/>
            </w:pPr>
            <w:r>
              <w:t>192.26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192.26</w:t>
            </w:r>
          </w:p>
        </w:tc>
        <w:tc>
          <w:tcPr>
            <w:tcW w:w="1134" w:type="dxa"/>
            <w:vAlign w:val="center"/>
          </w:tcPr>
          <w:p>
            <w:pPr>
              <w:pStyle w:val="12"/>
            </w:pPr>
            <w:r>
              <w:t>192.26</w:t>
            </w:r>
          </w:p>
        </w:tc>
        <w:tc>
          <w:tcPr>
            <w:tcW w:w="1134" w:type="dxa"/>
            <w:vAlign w:val="center"/>
          </w:tcPr>
          <w:p>
            <w:pPr>
              <w:pStyle w:val="12"/>
            </w:pPr>
            <w:r>
              <w:t>192.26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83.49</w:t>
            </w:r>
          </w:p>
        </w:tc>
        <w:tc>
          <w:tcPr>
            <w:tcW w:w="1134" w:type="dxa"/>
            <w:vAlign w:val="center"/>
          </w:tcPr>
          <w:p>
            <w:pPr>
              <w:pStyle w:val="12"/>
            </w:pPr>
            <w:r>
              <w:t>83.49</w:t>
            </w:r>
          </w:p>
        </w:tc>
        <w:tc>
          <w:tcPr>
            <w:tcW w:w="1134" w:type="dxa"/>
            <w:vAlign w:val="center"/>
          </w:tcPr>
          <w:p>
            <w:pPr>
              <w:pStyle w:val="12"/>
            </w:pPr>
            <w:r>
              <w:t>83.49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83.49</w:t>
            </w:r>
          </w:p>
        </w:tc>
        <w:tc>
          <w:tcPr>
            <w:tcW w:w="1134" w:type="dxa"/>
            <w:vAlign w:val="center"/>
          </w:tcPr>
          <w:p>
            <w:pPr>
              <w:pStyle w:val="12"/>
            </w:pPr>
            <w:r>
              <w:t>83.49</w:t>
            </w:r>
          </w:p>
        </w:tc>
        <w:tc>
          <w:tcPr>
            <w:tcW w:w="1134" w:type="dxa"/>
            <w:vAlign w:val="center"/>
          </w:tcPr>
          <w:p>
            <w:pPr>
              <w:pStyle w:val="12"/>
            </w:pPr>
            <w:r>
              <w:t>83.49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83.49</w:t>
            </w:r>
          </w:p>
        </w:tc>
        <w:tc>
          <w:tcPr>
            <w:tcW w:w="1134" w:type="dxa"/>
            <w:vAlign w:val="center"/>
          </w:tcPr>
          <w:p>
            <w:pPr>
              <w:pStyle w:val="12"/>
            </w:pPr>
            <w:r>
              <w:t>83.49</w:t>
            </w:r>
          </w:p>
        </w:tc>
        <w:tc>
          <w:tcPr>
            <w:tcW w:w="1134" w:type="dxa"/>
            <w:vAlign w:val="center"/>
          </w:tcPr>
          <w:p>
            <w:pPr>
              <w:pStyle w:val="12"/>
            </w:pPr>
            <w:r>
              <w:t>83.49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158.10</w:t>
            </w:r>
          </w:p>
        </w:tc>
        <w:tc>
          <w:tcPr>
            <w:tcW w:w="1134" w:type="dxa"/>
            <w:vAlign w:val="center"/>
          </w:tcPr>
          <w:p>
            <w:pPr>
              <w:pStyle w:val="12"/>
            </w:pPr>
            <w:r>
              <w:t>158.10</w:t>
            </w:r>
          </w:p>
        </w:tc>
        <w:tc>
          <w:tcPr>
            <w:tcW w:w="1134" w:type="dxa"/>
            <w:vAlign w:val="center"/>
          </w:tcPr>
          <w:p>
            <w:pPr>
              <w:pStyle w:val="12"/>
            </w:pPr>
            <w:r>
              <w:t>158.10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158.10</w:t>
            </w:r>
          </w:p>
        </w:tc>
        <w:tc>
          <w:tcPr>
            <w:tcW w:w="1134" w:type="dxa"/>
            <w:vAlign w:val="center"/>
          </w:tcPr>
          <w:p>
            <w:pPr>
              <w:pStyle w:val="12"/>
            </w:pPr>
            <w:r>
              <w:t>158.10</w:t>
            </w:r>
          </w:p>
        </w:tc>
        <w:tc>
          <w:tcPr>
            <w:tcW w:w="1134" w:type="dxa"/>
            <w:vAlign w:val="center"/>
          </w:tcPr>
          <w:p>
            <w:pPr>
              <w:pStyle w:val="12"/>
            </w:pPr>
            <w:r>
              <w:t>158.10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158.10</w:t>
            </w:r>
          </w:p>
        </w:tc>
        <w:tc>
          <w:tcPr>
            <w:tcW w:w="1134" w:type="dxa"/>
            <w:vAlign w:val="center"/>
          </w:tcPr>
          <w:p>
            <w:pPr>
              <w:pStyle w:val="12"/>
            </w:pPr>
            <w:r>
              <w:t>158.10</w:t>
            </w:r>
          </w:p>
        </w:tc>
        <w:tc>
          <w:tcPr>
            <w:tcW w:w="1134" w:type="dxa"/>
            <w:vAlign w:val="center"/>
          </w:tcPr>
          <w:p>
            <w:pPr>
              <w:pStyle w:val="12"/>
            </w:pPr>
            <w:r>
              <w:t>158.10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194沙河市市场监督管理局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2865.55</w:t>
            </w:r>
          </w:p>
        </w:tc>
        <w:tc>
          <w:tcPr>
            <w:tcW w:w="1361" w:type="dxa"/>
            <w:vAlign w:val="center"/>
          </w:tcPr>
          <w:p>
            <w:pPr>
              <w:pStyle w:val="16"/>
            </w:pPr>
            <w:r>
              <w:t>2315.94</w:t>
            </w:r>
          </w:p>
        </w:tc>
        <w:tc>
          <w:tcPr>
            <w:tcW w:w="1361" w:type="dxa"/>
            <w:vAlign w:val="center"/>
          </w:tcPr>
          <w:p>
            <w:pPr>
              <w:pStyle w:val="16"/>
            </w:pPr>
            <w:r>
              <w:t>549.61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2431.70</w:t>
            </w:r>
          </w:p>
        </w:tc>
        <w:tc>
          <w:tcPr>
            <w:tcW w:w="1361" w:type="dxa"/>
            <w:vAlign w:val="center"/>
          </w:tcPr>
          <w:p>
            <w:pPr>
              <w:pStyle w:val="12"/>
            </w:pPr>
            <w:r>
              <w:t>1882.09</w:t>
            </w:r>
          </w:p>
        </w:tc>
        <w:tc>
          <w:tcPr>
            <w:tcW w:w="1361" w:type="dxa"/>
            <w:vAlign w:val="center"/>
          </w:tcPr>
          <w:p>
            <w:pPr>
              <w:pStyle w:val="12"/>
            </w:pPr>
            <w:r>
              <w:t>549.61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2431.70</w:t>
            </w:r>
          </w:p>
        </w:tc>
        <w:tc>
          <w:tcPr>
            <w:tcW w:w="1361" w:type="dxa"/>
            <w:vAlign w:val="center"/>
          </w:tcPr>
          <w:p>
            <w:pPr>
              <w:pStyle w:val="12"/>
            </w:pPr>
            <w:r>
              <w:t>1882.09</w:t>
            </w:r>
          </w:p>
        </w:tc>
        <w:tc>
          <w:tcPr>
            <w:tcW w:w="1361" w:type="dxa"/>
            <w:vAlign w:val="center"/>
          </w:tcPr>
          <w:p>
            <w:pPr>
              <w:pStyle w:val="12"/>
            </w:pPr>
            <w:r>
              <w:t>549.61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1882.09</w:t>
            </w:r>
          </w:p>
        </w:tc>
        <w:tc>
          <w:tcPr>
            <w:tcW w:w="1361" w:type="dxa"/>
            <w:vAlign w:val="center"/>
          </w:tcPr>
          <w:p>
            <w:pPr>
              <w:pStyle w:val="12"/>
            </w:pPr>
            <w:r>
              <w:t>1882.09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2013804</w:t>
            </w:r>
          </w:p>
        </w:tc>
        <w:tc>
          <w:tcPr>
            <w:tcW w:w="4535" w:type="dxa"/>
            <w:vAlign w:val="center"/>
          </w:tcPr>
          <w:p>
            <w:pPr>
              <w:pStyle w:val="13"/>
            </w:pPr>
            <w:r>
              <w:t>市场主体管理</w:t>
            </w: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2013815</w:t>
            </w:r>
          </w:p>
        </w:tc>
        <w:tc>
          <w:tcPr>
            <w:tcW w:w="4535" w:type="dxa"/>
            <w:vAlign w:val="center"/>
          </w:tcPr>
          <w:p>
            <w:pPr>
              <w:pStyle w:val="13"/>
            </w:pPr>
            <w:r>
              <w:t>质量安全监管</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2013816</w:t>
            </w:r>
          </w:p>
        </w:tc>
        <w:tc>
          <w:tcPr>
            <w:tcW w:w="4535" w:type="dxa"/>
            <w:vAlign w:val="center"/>
          </w:tcPr>
          <w:p>
            <w:pPr>
              <w:pStyle w:val="13"/>
            </w:pPr>
            <w:r>
              <w:t>食品安全监管</w:t>
            </w:r>
          </w:p>
        </w:tc>
        <w:tc>
          <w:tcPr>
            <w:tcW w:w="1361" w:type="dxa"/>
            <w:vAlign w:val="center"/>
          </w:tcPr>
          <w:p>
            <w:pPr>
              <w:pStyle w:val="12"/>
            </w:pPr>
            <w:r>
              <w:t>121.61</w:t>
            </w:r>
          </w:p>
        </w:tc>
        <w:tc>
          <w:tcPr>
            <w:tcW w:w="1361" w:type="dxa"/>
            <w:vAlign w:val="center"/>
          </w:tcPr>
          <w:p>
            <w:pPr>
              <w:pStyle w:val="12"/>
            </w:pPr>
          </w:p>
        </w:tc>
        <w:tc>
          <w:tcPr>
            <w:tcW w:w="1361" w:type="dxa"/>
            <w:vAlign w:val="center"/>
          </w:tcPr>
          <w:p>
            <w:pPr>
              <w:pStyle w:val="12"/>
            </w:pPr>
            <w:r>
              <w:t>121.61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2013899</w:t>
            </w:r>
          </w:p>
        </w:tc>
        <w:tc>
          <w:tcPr>
            <w:tcW w:w="4535" w:type="dxa"/>
            <w:vAlign w:val="center"/>
          </w:tcPr>
          <w:p>
            <w:pPr>
              <w:pStyle w:val="13"/>
            </w:pPr>
            <w:r>
              <w:t>其他市场监督管理事务</w:t>
            </w: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192.26</w:t>
            </w:r>
          </w:p>
        </w:tc>
        <w:tc>
          <w:tcPr>
            <w:tcW w:w="1361" w:type="dxa"/>
            <w:vAlign w:val="center"/>
          </w:tcPr>
          <w:p>
            <w:pPr>
              <w:pStyle w:val="12"/>
            </w:pPr>
            <w:r>
              <w:t>192.26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192.26</w:t>
            </w:r>
          </w:p>
        </w:tc>
        <w:tc>
          <w:tcPr>
            <w:tcW w:w="1361" w:type="dxa"/>
            <w:vAlign w:val="center"/>
          </w:tcPr>
          <w:p>
            <w:pPr>
              <w:pStyle w:val="12"/>
            </w:pPr>
            <w:r>
              <w:t>192.26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192.26</w:t>
            </w:r>
          </w:p>
        </w:tc>
        <w:tc>
          <w:tcPr>
            <w:tcW w:w="1361" w:type="dxa"/>
            <w:vAlign w:val="center"/>
          </w:tcPr>
          <w:p>
            <w:pPr>
              <w:pStyle w:val="12"/>
            </w:pPr>
            <w:r>
              <w:t>192.26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83.49</w:t>
            </w:r>
          </w:p>
        </w:tc>
        <w:tc>
          <w:tcPr>
            <w:tcW w:w="1361" w:type="dxa"/>
            <w:vAlign w:val="center"/>
          </w:tcPr>
          <w:p>
            <w:pPr>
              <w:pStyle w:val="12"/>
            </w:pPr>
            <w:r>
              <w:t>83.49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83.49</w:t>
            </w:r>
          </w:p>
        </w:tc>
        <w:tc>
          <w:tcPr>
            <w:tcW w:w="1361" w:type="dxa"/>
            <w:vAlign w:val="center"/>
          </w:tcPr>
          <w:p>
            <w:pPr>
              <w:pStyle w:val="12"/>
            </w:pPr>
            <w:r>
              <w:t>83.49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83.49</w:t>
            </w:r>
          </w:p>
        </w:tc>
        <w:tc>
          <w:tcPr>
            <w:tcW w:w="1361" w:type="dxa"/>
            <w:vAlign w:val="center"/>
          </w:tcPr>
          <w:p>
            <w:pPr>
              <w:pStyle w:val="12"/>
            </w:pPr>
            <w:r>
              <w:t>83.49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158.10</w:t>
            </w:r>
          </w:p>
        </w:tc>
        <w:tc>
          <w:tcPr>
            <w:tcW w:w="1361" w:type="dxa"/>
            <w:vAlign w:val="center"/>
          </w:tcPr>
          <w:p>
            <w:pPr>
              <w:pStyle w:val="12"/>
            </w:pPr>
            <w:r>
              <w:t>158.10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158.10</w:t>
            </w:r>
          </w:p>
        </w:tc>
        <w:tc>
          <w:tcPr>
            <w:tcW w:w="1361" w:type="dxa"/>
            <w:vAlign w:val="center"/>
          </w:tcPr>
          <w:p>
            <w:pPr>
              <w:pStyle w:val="12"/>
            </w:pPr>
            <w:r>
              <w:t>158.10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158.10</w:t>
            </w:r>
          </w:p>
        </w:tc>
        <w:tc>
          <w:tcPr>
            <w:tcW w:w="1361" w:type="dxa"/>
            <w:vAlign w:val="center"/>
          </w:tcPr>
          <w:p>
            <w:pPr>
              <w:pStyle w:val="12"/>
            </w:pPr>
            <w:r>
              <w:t>158.10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194沙河市市场监督管理局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2865.55</w:t>
            </w:r>
          </w:p>
        </w:tc>
        <w:tc>
          <w:tcPr>
            <w:tcW w:w="3402" w:type="dxa"/>
            <w:vAlign w:val="center"/>
          </w:tcPr>
          <w:p>
            <w:pPr>
              <w:pStyle w:val="13"/>
            </w:pPr>
            <w:r>
              <w:t>一、一般公共服务支出</w:t>
            </w:r>
          </w:p>
        </w:tc>
        <w:tc>
          <w:tcPr>
            <w:tcW w:w="1474" w:type="dxa"/>
            <w:vAlign w:val="center"/>
          </w:tcPr>
          <w:p>
            <w:pPr>
              <w:pStyle w:val="12"/>
            </w:pPr>
            <w:r>
              <w:t>2431.70</w:t>
            </w:r>
          </w:p>
        </w:tc>
        <w:tc>
          <w:tcPr>
            <w:tcW w:w="1474" w:type="dxa"/>
            <w:vAlign w:val="center"/>
          </w:tcPr>
          <w:p>
            <w:pPr>
              <w:pStyle w:val="12"/>
            </w:pPr>
            <w:r>
              <w:t>2431.70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192.26</w:t>
            </w:r>
          </w:p>
        </w:tc>
        <w:tc>
          <w:tcPr>
            <w:tcW w:w="1474" w:type="dxa"/>
            <w:vAlign w:val="center"/>
          </w:tcPr>
          <w:p>
            <w:pPr>
              <w:pStyle w:val="12"/>
            </w:pPr>
            <w:r>
              <w:t>192.26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83.49</w:t>
            </w:r>
          </w:p>
        </w:tc>
        <w:tc>
          <w:tcPr>
            <w:tcW w:w="1474" w:type="dxa"/>
            <w:vAlign w:val="center"/>
          </w:tcPr>
          <w:p>
            <w:pPr>
              <w:pStyle w:val="12"/>
            </w:pPr>
            <w:r>
              <w:t>83.49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158.10</w:t>
            </w:r>
          </w:p>
        </w:tc>
        <w:tc>
          <w:tcPr>
            <w:tcW w:w="1474" w:type="dxa"/>
            <w:vAlign w:val="center"/>
          </w:tcPr>
          <w:p>
            <w:pPr>
              <w:pStyle w:val="12"/>
            </w:pPr>
            <w:r>
              <w:t>158.10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2865.55</w:t>
            </w:r>
          </w:p>
        </w:tc>
        <w:tc>
          <w:tcPr>
            <w:tcW w:w="3402" w:type="dxa"/>
            <w:vAlign w:val="center"/>
          </w:tcPr>
          <w:p>
            <w:pPr>
              <w:pStyle w:val="15"/>
            </w:pPr>
            <w:r>
              <w:t>本年支出合计</w:t>
            </w:r>
          </w:p>
        </w:tc>
        <w:tc>
          <w:tcPr>
            <w:tcW w:w="1474" w:type="dxa"/>
            <w:vAlign w:val="center"/>
          </w:tcPr>
          <w:p>
            <w:pPr>
              <w:pStyle w:val="16"/>
            </w:pPr>
            <w:r>
              <w:t>2865.55</w:t>
            </w:r>
          </w:p>
        </w:tc>
        <w:tc>
          <w:tcPr>
            <w:tcW w:w="1474" w:type="dxa"/>
            <w:vAlign w:val="center"/>
          </w:tcPr>
          <w:p>
            <w:pPr>
              <w:pStyle w:val="16"/>
            </w:pPr>
            <w:r>
              <w:t>2865.55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2865.55</w:t>
            </w:r>
          </w:p>
        </w:tc>
        <w:tc>
          <w:tcPr>
            <w:tcW w:w="3402" w:type="dxa"/>
            <w:vAlign w:val="center"/>
          </w:tcPr>
          <w:p>
            <w:pPr>
              <w:pStyle w:val="15"/>
            </w:pPr>
            <w:r>
              <w:t>支出总计</w:t>
            </w:r>
          </w:p>
        </w:tc>
        <w:tc>
          <w:tcPr>
            <w:tcW w:w="1474" w:type="dxa"/>
            <w:vAlign w:val="center"/>
          </w:tcPr>
          <w:p>
            <w:pPr>
              <w:pStyle w:val="16"/>
            </w:pPr>
            <w:r>
              <w:t>2865.55</w:t>
            </w:r>
          </w:p>
        </w:tc>
        <w:tc>
          <w:tcPr>
            <w:tcW w:w="1474" w:type="dxa"/>
            <w:vAlign w:val="center"/>
          </w:tcPr>
          <w:p>
            <w:pPr>
              <w:pStyle w:val="16"/>
            </w:pPr>
            <w:r>
              <w:t>2865.55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2865.55</w:t>
            </w:r>
          </w:p>
        </w:tc>
        <w:tc>
          <w:tcPr>
            <w:tcW w:w="2551" w:type="dxa"/>
            <w:vAlign w:val="center"/>
          </w:tcPr>
          <w:p>
            <w:pPr>
              <w:pStyle w:val="16"/>
            </w:pPr>
            <w:r>
              <w:t>2315.94</w:t>
            </w:r>
          </w:p>
        </w:tc>
        <w:tc>
          <w:tcPr>
            <w:tcW w:w="2551" w:type="dxa"/>
            <w:vAlign w:val="center"/>
          </w:tcPr>
          <w:p>
            <w:pPr>
              <w:pStyle w:val="16"/>
            </w:pPr>
            <w:r>
              <w:t>549.61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2431.70</w:t>
            </w:r>
          </w:p>
        </w:tc>
        <w:tc>
          <w:tcPr>
            <w:tcW w:w="2551" w:type="dxa"/>
            <w:vAlign w:val="center"/>
          </w:tcPr>
          <w:p>
            <w:pPr>
              <w:pStyle w:val="12"/>
            </w:pPr>
            <w:r>
              <w:t>1882.09</w:t>
            </w:r>
          </w:p>
        </w:tc>
        <w:tc>
          <w:tcPr>
            <w:tcW w:w="2551" w:type="dxa"/>
            <w:vAlign w:val="center"/>
          </w:tcPr>
          <w:p>
            <w:pPr>
              <w:pStyle w:val="12"/>
            </w:pPr>
            <w:r>
              <w:t>549.61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2431.70</w:t>
            </w:r>
          </w:p>
        </w:tc>
        <w:tc>
          <w:tcPr>
            <w:tcW w:w="2551" w:type="dxa"/>
            <w:vAlign w:val="center"/>
          </w:tcPr>
          <w:p>
            <w:pPr>
              <w:pStyle w:val="12"/>
            </w:pPr>
            <w:r>
              <w:t>1882.09</w:t>
            </w:r>
          </w:p>
        </w:tc>
        <w:tc>
          <w:tcPr>
            <w:tcW w:w="2551" w:type="dxa"/>
            <w:vAlign w:val="center"/>
          </w:tcPr>
          <w:p>
            <w:pPr>
              <w:pStyle w:val="12"/>
            </w:pPr>
            <w:r>
              <w:t>549.61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1882.09</w:t>
            </w:r>
          </w:p>
        </w:tc>
        <w:tc>
          <w:tcPr>
            <w:tcW w:w="2551" w:type="dxa"/>
            <w:vAlign w:val="center"/>
          </w:tcPr>
          <w:p>
            <w:pPr>
              <w:pStyle w:val="12"/>
            </w:pPr>
            <w:r>
              <w:t>1882.09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2013804</w:t>
            </w:r>
          </w:p>
        </w:tc>
        <w:tc>
          <w:tcPr>
            <w:tcW w:w="4535" w:type="dxa"/>
            <w:vAlign w:val="center"/>
          </w:tcPr>
          <w:p>
            <w:pPr>
              <w:pStyle w:val="13"/>
            </w:pPr>
            <w:r>
              <w:t>市场主体管理</w:t>
            </w:r>
          </w:p>
        </w:tc>
        <w:tc>
          <w:tcPr>
            <w:tcW w:w="2551" w:type="dxa"/>
            <w:vAlign w:val="center"/>
          </w:tcPr>
          <w:p>
            <w:pPr>
              <w:pStyle w:val="12"/>
            </w:pPr>
            <w:r>
              <w:t>48.00</w:t>
            </w:r>
          </w:p>
        </w:tc>
        <w:tc>
          <w:tcPr>
            <w:tcW w:w="2551" w:type="dxa"/>
            <w:vAlign w:val="center"/>
          </w:tcPr>
          <w:p>
            <w:pPr>
              <w:pStyle w:val="12"/>
            </w:pPr>
          </w:p>
        </w:tc>
        <w:tc>
          <w:tcPr>
            <w:tcW w:w="2551" w:type="dxa"/>
            <w:vAlign w:val="center"/>
          </w:tcPr>
          <w:p>
            <w:pPr>
              <w:pStyle w:val="12"/>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2013815</w:t>
            </w:r>
          </w:p>
        </w:tc>
        <w:tc>
          <w:tcPr>
            <w:tcW w:w="4535" w:type="dxa"/>
            <w:vAlign w:val="center"/>
          </w:tcPr>
          <w:p>
            <w:pPr>
              <w:pStyle w:val="13"/>
            </w:pPr>
            <w:r>
              <w:t>质量安全监管</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2013816</w:t>
            </w:r>
          </w:p>
        </w:tc>
        <w:tc>
          <w:tcPr>
            <w:tcW w:w="4535" w:type="dxa"/>
            <w:vAlign w:val="center"/>
          </w:tcPr>
          <w:p>
            <w:pPr>
              <w:pStyle w:val="13"/>
            </w:pPr>
            <w:r>
              <w:t>食品安全监管</w:t>
            </w:r>
          </w:p>
        </w:tc>
        <w:tc>
          <w:tcPr>
            <w:tcW w:w="2551" w:type="dxa"/>
            <w:vAlign w:val="center"/>
          </w:tcPr>
          <w:p>
            <w:pPr>
              <w:pStyle w:val="12"/>
            </w:pPr>
            <w:r>
              <w:t>121.61</w:t>
            </w:r>
          </w:p>
        </w:tc>
        <w:tc>
          <w:tcPr>
            <w:tcW w:w="2551" w:type="dxa"/>
            <w:vAlign w:val="center"/>
          </w:tcPr>
          <w:p>
            <w:pPr>
              <w:pStyle w:val="12"/>
            </w:pPr>
          </w:p>
        </w:tc>
        <w:tc>
          <w:tcPr>
            <w:tcW w:w="2551" w:type="dxa"/>
            <w:vAlign w:val="center"/>
          </w:tcPr>
          <w:p>
            <w:pPr>
              <w:pStyle w:val="12"/>
            </w:pPr>
            <w:r>
              <w:t>121.61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2013899</w:t>
            </w:r>
          </w:p>
        </w:tc>
        <w:tc>
          <w:tcPr>
            <w:tcW w:w="4535" w:type="dxa"/>
            <w:vAlign w:val="center"/>
          </w:tcPr>
          <w:p>
            <w:pPr>
              <w:pStyle w:val="13"/>
            </w:pPr>
            <w:r>
              <w:t>其他市场监督管理事务</w:t>
            </w:r>
          </w:p>
        </w:tc>
        <w:tc>
          <w:tcPr>
            <w:tcW w:w="2551" w:type="dxa"/>
            <w:vAlign w:val="center"/>
          </w:tcPr>
          <w:p>
            <w:pPr>
              <w:pStyle w:val="12"/>
            </w:pPr>
            <w:r>
              <w:t>280.00</w:t>
            </w:r>
          </w:p>
        </w:tc>
        <w:tc>
          <w:tcPr>
            <w:tcW w:w="2551" w:type="dxa"/>
            <w:vAlign w:val="center"/>
          </w:tcPr>
          <w:p>
            <w:pPr>
              <w:pStyle w:val="12"/>
            </w:pPr>
          </w:p>
        </w:tc>
        <w:tc>
          <w:tcPr>
            <w:tcW w:w="2551" w:type="dxa"/>
            <w:vAlign w:val="center"/>
          </w:tcPr>
          <w:p>
            <w:pPr>
              <w:pStyle w:val="12"/>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192.26</w:t>
            </w:r>
          </w:p>
        </w:tc>
        <w:tc>
          <w:tcPr>
            <w:tcW w:w="2551" w:type="dxa"/>
            <w:vAlign w:val="center"/>
          </w:tcPr>
          <w:p>
            <w:pPr>
              <w:pStyle w:val="12"/>
            </w:pPr>
            <w:r>
              <w:t>192.26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192.26</w:t>
            </w:r>
          </w:p>
        </w:tc>
        <w:tc>
          <w:tcPr>
            <w:tcW w:w="2551" w:type="dxa"/>
            <w:vAlign w:val="center"/>
          </w:tcPr>
          <w:p>
            <w:pPr>
              <w:pStyle w:val="12"/>
            </w:pPr>
            <w:r>
              <w:t>192.26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192.26</w:t>
            </w:r>
          </w:p>
        </w:tc>
        <w:tc>
          <w:tcPr>
            <w:tcW w:w="2551" w:type="dxa"/>
            <w:vAlign w:val="center"/>
          </w:tcPr>
          <w:p>
            <w:pPr>
              <w:pStyle w:val="12"/>
            </w:pPr>
            <w:r>
              <w:t>192.26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83.49</w:t>
            </w:r>
          </w:p>
        </w:tc>
        <w:tc>
          <w:tcPr>
            <w:tcW w:w="2551" w:type="dxa"/>
            <w:vAlign w:val="center"/>
          </w:tcPr>
          <w:p>
            <w:pPr>
              <w:pStyle w:val="12"/>
            </w:pPr>
            <w:r>
              <w:t>83.49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83.49</w:t>
            </w:r>
          </w:p>
        </w:tc>
        <w:tc>
          <w:tcPr>
            <w:tcW w:w="2551" w:type="dxa"/>
            <w:vAlign w:val="center"/>
          </w:tcPr>
          <w:p>
            <w:pPr>
              <w:pStyle w:val="12"/>
            </w:pPr>
            <w:r>
              <w:t>83.49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83.49</w:t>
            </w:r>
          </w:p>
        </w:tc>
        <w:tc>
          <w:tcPr>
            <w:tcW w:w="2551" w:type="dxa"/>
            <w:vAlign w:val="center"/>
          </w:tcPr>
          <w:p>
            <w:pPr>
              <w:pStyle w:val="12"/>
            </w:pPr>
            <w:r>
              <w:t>83.49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158.10</w:t>
            </w:r>
          </w:p>
        </w:tc>
        <w:tc>
          <w:tcPr>
            <w:tcW w:w="2551" w:type="dxa"/>
            <w:vAlign w:val="center"/>
          </w:tcPr>
          <w:p>
            <w:pPr>
              <w:pStyle w:val="12"/>
            </w:pPr>
            <w:r>
              <w:t>158.10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158.10</w:t>
            </w:r>
          </w:p>
        </w:tc>
        <w:tc>
          <w:tcPr>
            <w:tcW w:w="2551" w:type="dxa"/>
            <w:vAlign w:val="center"/>
          </w:tcPr>
          <w:p>
            <w:pPr>
              <w:pStyle w:val="12"/>
            </w:pPr>
            <w:r>
              <w:t>158.10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158.10</w:t>
            </w:r>
          </w:p>
        </w:tc>
        <w:tc>
          <w:tcPr>
            <w:tcW w:w="2551" w:type="dxa"/>
            <w:vAlign w:val="center"/>
          </w:tcPr>
          <w:p>
            <w:pPr>
              <w:pStyle w:val="12"/>
            </w:pPr>
            <w:r>
              <w:t>158.10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2315.94</w:t>
            </w:r>
          </w:p>
        </w:tc>
        <w:tc>
          <w:tcPr>
            <w:tcW w:w="2551" w:type="dxa"/>
            <w:vAlign w:val="center"/>
          </w:tcPr>
          <w:p>
            <w:pPr>
              <w:pStyle w:val="16"/>
            </w:pPr>
            <w:r>
              <w:t>2168.76</w:t>
            </w:r>
          </w:p>
        </w:tc>
        <w:tc>
          <w:tcPr>
            <w:tcW w:w="2551" w:type="dxa"/>
            <w:vAlign w:val="center"/>
          </w:tcPr>
          <w:p>
            <w:pPr>
              <w:pStyle w:val="16"/>
            </w:pPr>
            <w:r>
              <w:t>147.18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1960.16</w:t>
            </w:r>
          </w:p>
        </w:tc>
        <w:tc>
          <w:tcPr>
            <w:tcW w:w="2551" w:type="dxa"/>
            <w:vAlign w:val="center"/>
          </w:tcPr>
          <w:p>
            <w:pPr>
              <w:pStyle w:val="12"/>
            </w:pPr>
            <w:r>
              <w:t>1960.16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894.40</w:t>
            </w:r>
          </w:p>
        </w:tc>
        <w:tc>
          <w:tcPr>
            <w:tcW w:w="2551" w:type="dxa"/>
            <w:vAlign w:val="center"/>
          </w:tcPr>
          <w:p>
            <w:pPr>
              <w:pStyle w:val="12"/>
            </w:pPr>
            <w:r>
              <w:t>894.40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275.73</w:t>
            </w:r>
          </w:p>
        </w:tc>
        <w:tc>
          <w:tcPr>
            <w:tcW w:w="2551" w:type="dxa"/>
            <w:vAlign w:val="center"/>
          </w:tcPr>
          <w:p>
            <w:pPr>
              <w:pStyle w:val="12"/>
            </w:pPr>
            <w:r>
              <w:t>275.73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166.54</w:t>
            </w:r>
          </w:p>
        </w:tc>
        <w:tc>
          <w:tcPr>
            <w:tcW w:w="2551" w:type="dxa"/>
            <w:vAlign w:val="center"/>
          </w:tcPr>
          <w:p>
            <w:pPr>
              <w:pStyle w:val="12"/>
            </w:pPr>
            <w:r>
              <w:t>166.54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189.64</w:t>
            </w:r>
          </w:p>
        </w:tc>
        <w:tc>
          <w:tcPr>
            <w:tcW w:w="2551" w:type="dxa"/>
            <w:vAlign w:val="center"/>
          </w:tcPr>
          <w:p>
            <w:pPr>
              <w:pStyle w:val="12"/>
            </w:pPr>
            <w:r>
              <w:t>189.64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192.26</w:t>
            </w:r>
          </w:p>
        </w:tc>
        <w:tc>
          <w:tcPr>
            <w:tcW w:w="2551" w:type="dxa"/>
            <w:vAlign w:val="center"/>
          </w:tcPr>
          <w:p>
            <w:pPr>
              <w:pStyle w:val="12"/>
            </w:pPr>
            <w:r>
              <w:t>192.26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83.49</w:t>
            </w:r>
          </w:p>
        </w:tc>
        <w:tc>
          <w:tcPr>
            <w:tcW w:w="2551" w:type="dxa"/>
            <w:vAlign w:val="center"/>
          </w:tcPr>
          <w:p>
            <w:pPr>
              <w:pStyle w:val="12"/>
            </w:pPr>
            <w:r>
              <w:t>83.49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158.10</w:t>
            </w:r>
          </w:p>
        </w:tc>
        <w:tc>
          <w:tcPr>
            <w:tcW w:w="2551" w:type="dxa"/>
            <w:vAlign w:val="center"/>
          </w:tcPr>
          <w:p>
            <w:pPr>
              <w:pStyle w:val="12"/>
            </w:pPr>
            <w:r>
              <w:t>158.10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147.18</w:t>
            </w:r>
          </w:p>
        </w:tc>
        <w:tc>
          <w:tcPr>
            <w:tcW w:w="2551" w:type="dxa"/>
            <w:vAlign w:val="center"/>
          </w:tcPr>
          <w:p>
            <w:pPr>
              <w:pStyle w:val="12"/>
            </w:pPr>
          </w:p>
        </w:tc>
        <w:tc>
          <w:tcPr>
            <w:tcW w:w="2551" w:type="dxa"/>
            <w:vAlign w:val="center"/>
          </w:tcPr>
          <w:p>
            <w:pPr>
              <w:pStyle w:val="12"/>
            </w:pPr>
            <w:r>
              <w:t>147.18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12.96</w:t>
            </w:r>
          </w:p>
        </w:tc>
        <w:tc>
          <w:tcPr>
            <w:tcW w:w="2551" w:type="dxa"/>
            <w:vAlign w:val="center"/>
          </w:tcPr>
          <w:p>
            <w:pPr>
              <w:pStyle w:val="12"/>
            </w:pPr>
          </w:p>
        </w:tc>
        <w:tc>
          <w:tcPr>
            <w:tcW w:w="2551" w:type="dxa"/>
            <w:vAlign w:val="center"/>
          </w:tcPr>
          <w:p>
            <w:pPr>
              <w:pStyle w:val="12"/>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28.02</w:t>
            </w:r>
          </w:p>
        </w:tc>
        <w:tc>
          <w:tcPr>
            <w:tcW w:w="2551" w:type="dxa"/>
            <w:vAlign w:val="center"/>
          </w:tcPr>
          <w:p>
            <w:pPr>
              <w:pStyle w:val="12"/>
            </w:pPr>
          </w:p>
        </w:tc>
        <w:tc>
          <w:tcPr>
            <w:tcW w:w="2551" w:type="dxa"/>
            <w:vAlign w:val="center"/>
          </w:tcPr>
          <w:p>
            <w:pPr>
              <w:pStyle w:val="12"/>
            </w:pPr>
            <w:r>
              <w:t>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13.76</w:t>
            </w:r>
          </w:p>
        </w:tc>
        <w:tc>
          <w:tcPr>
            <w:tcW w:w="2551" w:type="dxa"/>
            <w:vAlign w:val="center"/>
          </w:tcPr>
          <w:p>
            <w:pPr>
              <w:pStyle w:val="12"/>
            </w:pPr>
          </w:p>
        </w:tc>
        <w:tc>
          <w:tcPr>
            <w:tcW w:w="2551" w:type="dxa"/>
            <w:vAlign w:val="center"/>
          </w:tcPr>
          <w:p>
            <w:pPr>
              <w:pStyle w:val="12"/>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68.76</w:t>
            </w:r>
          </w:p>
        </w:tc>
        <w:tc>
          <w:tcPr>
            <w:tcW w:w="2551" w:type="dxa"/>
            <w:vAlign w:val="center"/>
          </w:tcPr>
          <w:p>
            <w:pPr>
              <w:pStyle w:val="12"/>
            </w:pPr>
          </w:p>
        </w:tc>
        <w:tc>
          <w:tcPr>
            <w:tcW w:w="2551" w:type="dxa"/>
            <w:vAlign w:val="center"/>
          </w:tcPr>
          <w:p>
            <w:pPr>
              <w:pStyle w:val="12"/>
            </w:pPr>
            <w:r>
              <w:t>68.76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208.60</w:t>
            </w:r>
          </w:p>
        </w:tc>
        <w:tc>
          <w:tcPr>
            <w:tcW w:w="2551" w:type="dxa"/>
            <w:vAlign w:val="center"/>
          </w:tcPr>
          <w:p>
            <w:pPr>
              <w:pStyle w:val="12"/>
            </w:pPr>
            <w:r>
              <w:t>208.60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190.30</w:t>
            </w:r>
          </w:p>
        </w:tc>
        <w:tc>
          <w:tcPr>
            <w:tcW w:w="2551" w:type="dxa"/>
            <w:vAlign w:val="center"/>
          </w:tcPr>
          <w:p>
            <w:pPr>
              <w:pStyle w:val="12"/>
            </w:pPr>
            <w:r>
              <w:t>190.30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12.32</w:t>
            </w:r>
          </w:p>
        </w:tc>
        <w:tc>
          <w:tcPr>
            <w:tcW w:w="2551" w:type="dxa"/>
            <w:vAlign w:val="center"/>
          </w:tcPr>
          <w:p>
            <w:pPr>
              <w:pStyle w:val="12"/>
            </w:pPr>
            <w:r>
              <w:t>12.32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5.98</w:t>
            </w:r>
          </w:p>
        </w:tc>
        <w:tc>
          <w:tcPr>
            <w:tcW w:w="2551" w:type="dxa"/>
            <w:vAlign w:val="center"/>
          </w:tcPr>
          <w:p>
            <w:pPr>
              <w:pStyle w:val="12"/>
            </w:pPr>
            <w:r>
              <w:t>5.98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194沙河市市场监督管理局</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rPr>
                <w:rFonts w:hint="eastAsia"/>
                <w:lang w:val="en-US" w:eastAsia="zh-CN"/>
              </w:rPr>
              <w:t>8</w:t>
            </w:r>
            <w:r>
              <w:t>.00</w:t>
            </w:r>
          </w:p>
        </w:tc>
        <w:tc>
          <w:tcPr>
            <w:tcW w:w="1643" w:type="dxa"/>
            <w:vAlign w:val="center"/>
          </w:tcPr>
          <w:p>
            <w:pPr>
              <w:pStyle w:val="16"/>
            </w:pPr>
            <w:r>
              <w:rPr>
                <w:rFonts w:hint="eastAsia"/>
                <w:lang w:val="en-US" w:eastAsia="zh-CN"/>
              </w:rPr>
              <w:t>8</w:t>
            </w:r>
            <w:r>
              <w:t>.00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rPr>
                <w:rFonts w:hint="eastAsia"/>
                <w:lang w:val="en-US" w:eastAsia="zh-CN"/>
              </w:rPr>
              <w:t>8</w:t>
            </w:r>
            <w:r>
              <w:t>.00</w:t>
            </w:r>
          </w:p>
        </w:tc>
        <w:tc>
          <w:tcPr>
            <w:tcW w:w="1643" w:type="dxa"/>
            <w:vAlign w:val="center"/>
          </w:tcPr>
          <w:p>
            <w:pPr>
              <w:pStyle w:val="12"/>
            </w:pPr>
            <w:r>
              <w:rPr>
                <w:rFonts w:hint="eastAsia"/>
                <w:lang w:val="en-US" w:eastAsia="zh-CN"/>
              </w:rPr>
              <w:t>8</w:t>
            </w:r>
            <w:r>
              <w:t>.00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10</w:t>
            </w:r>
          </w:p>
        </w:tc>
        <w:tc>
          <w:tcPr>
            <w:tcW w:w="1643" w:type="dxa"/>
            <w:vAlign w:val="center"/>
          </w:tcPr>
          <w:p>
            <w:pPr>
              <w:pStyle w:val="13"/>
            </w:pPr>
            <w:r>
              <w:t>四、会议费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11</w:t>
            </w:r>
          </w:p>
        </w:tc>
        <w:tc>
          <w:tcPr>
            <w:tcW w:w="1643" w:type="dxa"/>
            <w:vAlign w:val="center"/>
          </w:tcPr>
          <w:p>
            <w:pPr>
              <w:pStyle w:val="13"/>
            </w:pPr>
            <w:r>
              <w:t>五、培训费</w:t>
            </w:r>
          </w:p>
        </w:tc>
        <w:tc>
          <w:tcPr>
            <w:tcW w:w="1643" w:type="dxa"/>
            <w:vAlign w:val="center"/>
          </w:tcPr>
          <w:p>
            <w:pPr>
              <w:pStyle w:val="12"/>
            </w:pPr>
            <w:r>
              <w:rPr>
                <w:rFonts w:hint="eastAsia"/>
                <w:lang w:val="en-US" w:eastAsia="zh-CN"/>
              </w:rPr>
              <w:t>5</w:t>
            </w:r>
            <w:r>
              <w:t>.00</w:t>
            </w:r>
          </w:p>
        </w:tc>
        <w:tc>
          <w:tcPr>
            <w:tcW w:w="1643" w:type="dxa"/>
            <w:vAlign w:val="center"/>
          </w:tcPr>
          <w:p>
            <w:pPr>
              <w:pStyle w:val="12"/>
              <w:rPr>
                <w:rFonts w:hint="eastAsia" w:eastAsia="方正书宋_GBK"/>
                <w:lang w:val="en-US" w:eastAsia="zh-CN"/>
              </w:rPr>
            </w:pPr>
            <w:r>
              <w:rPr>
                <w:rFonts w:hint="eastAsia"/>
                <w:lang w:val="en-US" w:eastAsia="zh-CN"/>
              </w:rPr>
              <w:t>5</w:t>
            </w:r>
            <w:r>
              <w:t>.00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河市市场监督管理局2024年</w:t>
      </w:r>
      <w:r>
        <w:rPr>
          <w:rFonts w:hint="eastAsia" w:ascii="方正书宋_GBK" w:hAnsi="方正书宋_GBK" w:eastAsia="方正书宋_GBK" w:cs="方正书宋_GBK"/>
          <w:color w:val="FFFFFF"/>
          <w:sz w:val="21"/>
          <w:lang w:eastAsia="zh-CN"/>
        </w:rPr>
        <w:t>部门预算</w:t>
      </w:r>
      <w:r>
        <w:rPr>
          <w:rFonts w:ascii="方正书宋_GBK" w:hAnsi="方正书宋_GBK" w:eastAsia="方正书宋_GBK" w:cs="方正书宋_GBK"/>
          <w:color w:val="FFFFFF"/>
          <w:sz w:val="21"/>
        </w:rPr>
        <w:t>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沙河市市场监督管理局2024年</w:t>
      </w:r>
      <w:r>
        <w:rPr>
          <w:rFonts w:hint="eastAsia" w:ascii="方正小标宋_GBK" w:hAnsi="方正小标宋_GBK" w:eastAsia="方正小标宋_GBK" w:cs="方正小标宋_GBK"/>
          <w:color w:val="000000"/>
          <w:sz w:val="44"/>
          <w:lang w:eastAsia="zh-CN"/>
        </w:rPr>
        <w:t>部门预算</w:t>
      </w:r>
      <w:r>
        <w:rPr>
          <w:rFonts w:ascii="方正小标宋_GBK" w:hAnsi="方正小标宋_GBK" w:eastAsia="方正小标宋_GBK" w:cs="方正小标宋_GBK"/>
          <w:color w:val="000000"/>
          <w:sz w:val="44"/>
        </w:rPr>
        <w:t>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按照《中华人民共和国预算法》、《地方预决算公开操作规程》和《关于进一步推进预算公开工作的实施意见》规定，现将沙河市市场监督管理局2024年</w:t>
      </w:r>
      <w:r>
        <w:rPr>
          <w:rFonts w:hint="eastAsia" w:eastAsia="方正仿宋_GBK" w:cs="Times New Roman"/>
          <w:color w:val="000000"/>
          <w:sz w:val="28"/>
          <w:lang w:eastAsia="zh-CN"/>
        </w:rPr>
        <w:t>部门预算</w:t>
      </w:r>
      <w:r>
        <w:rPr>
          <w:rFonts w:ascii="Times New Roman" w:hAnsi="Times New Roman" w:eastAsia="方正仿宋_GBK" w:cs="Times New Roman"/>
          <w:color w:val="000000"/>
          <w:sz w:val="28"/>
        </w:rPr>
        <w:t>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18"/>
      </w:pPr>
      <w:r>
        <w:t>（二）负责实施、指导个体工商户的登记注册工作。建立市场主体信息公示和共享机制，依法公示和共享有关信息，加强信用监管，推动市场主体信用体系建设。</w:t>
      </w:r>
    </w:p>
    <w:p>
      <w:pPr>
        <w:pStyle w:val="18"/>
      </w:pPr>
      <w:r>
        <w:t>（三）负责组织和指导全市市场监管综合执法工作。指导全市市场监管综合执法队伍整合和建设,推动实行统一的市场监管。组织查处重大违法案件。规范市场监管行政执法行为。</w:t>
      </w:r>
    </w:p>
    <w:p>
      <w:pPr>
        <w:pStyle w:val="18"/>
      </w:pPr>
      <w:r>
        <w:t>（四）负责反垄断统一执法。组织推进竞争政策实施，指导实施公平竞争审查制度。依职责负责</w:t>
      </w:r>
      <w:r>
        <w:rPr>
          <w:rFonts w:hint="eastAsia"/>
          <w:lang w:eastAsia="zh-CN"/>
        </w:rPr>
        <w:t>反</w:t>
      </w:r>
      <w:r>
        <w:t>垄断协议、滥用市场支配地位、经营者违法实施集中和滥用行政权力排除、限制竞争等反垄断执法相关工作。指导企业在国外的反垄断应诉工作。</w:t>
      </w:r>
    </w:p>
    <w:p>
      <w:pPr>
        <w:pStyle w:val="18"/>
      </w:pPr>
      <w:r>
        <w:t>（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18"/>
      </w:pPr>
      <w:r>
        <w:t>（六）负责全市宏观质量管理。拟订并实施全市</w:t>
      </w:r>
      <w:r>
        <w:rPr>
          <w:rFonts w:hint="eastAsia"/>
          <w:lang w:eastAsia="zh-CN"/>
        </w:rPr>
        <w:t>高质量发展</w:t>
      </w:r>
      <w:r>
        <w:t>的制度措施。统筹全市质量基础设施建设与应用，会同有关单位组织实施重大工程设备质量监理制度，组织重大质量事故调查，协助国家、省、邢台市组织实施缺陷产品召回制度，监督管理产品防伪工作。</w:t>
      </w:r>
    </w:p>
    <w:p>
      <w:pPr>
        <w:pStyle w:val="18"/>
      </w:pPr>
      <w:r>
        <w:t>（七）负责全市产品质量安全监督管理。承担市级产品质量安全风险监控、监督抽查工作。组织实施质量分级制度、质量安全追溯制度。会同有关单位实施工业产品许可管理。负责纤维质量监督工作。</w:t>
      </w:r>
    </w:p>
    <w:p>
      <w:pPr>
        <w:pStyle w:val="18"/>
      </w:pPr>
      <w:r>
        <w:t>（八）负责全市特种设备安全监督管理。综合管理特种设备安全监察、监督工作，监督检查高耗能特种设备节能标准和锅炉环境保护标准的执行情况。</w:t>
      </w:r>
    </w:p>
    <w:p>
      <w:pPr>
        <w:pStyle w:val="18"/>
      </w:pPr>
      <w:r>
        <w:t>（九）负责食品安全监督管理综合协调。组织制定全市食品安全重大政策并组织实施。推动健全食品安全地方党政同责和跨单位协调联动机制。负责食品安全应急体系建设，组织指导全市重大食品安全事件应急处置和调查处理工作。建立健全食品安全信息统一公布和重要信息直报制度。承担沙河市食品安全委员会日常工作。</w:t>
      </w:r>
    </w:p>
    <w:p>
      <w:pPr>
        <w:pStyle w:val="18"/>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18"/>
      </w:pPr>
      <w:r>
        <w:t>（十一）负责药品（含中药、民族药，下同）、医疗器械和化妆品安全监督管理。贯彻执行国家、省药品、医疗器械和化妆品法律法规以及鼓励药品、医疗器械和化妆品新技术新产品的管理与服务政策。</w:t>
      </w:r>
      <w:r>
        <w:rPr>
          <w:rFonts w:hint="eastAsia"/>
          <w:lang w:eastAsia="zh-CN"/>
        </w:rPr>
        <w:t>拟定全市</w:t>
      </w:r>
      <w:r>
        <w:t>监督管理政策规划，组织起草相关措施并组织实施。</w:t>
      </w:r>
    </w:p>
    <w:p>
      <w:pPr>
        <w:pStyle w:val="18"/>
      </w:pPr>
      <w:r>
        <w:t>（十二）负责监督实施国家药品、医疗器械、化妆品标准和中药材地方标准，组织落实分类管理制度。配合实施国家基本药物制度。</w:t>
      </w:r>
    </w:p>
    <w:p>
      <w:pPr>
        <w:pStyle w:val="18"/>
      </w:pPr>
      <w:r>
        <w:t>（十三）负责药品、医疗器械和化妆品质量管理。依职责监督和指导实施经营、使用质量管理规范。依职责组织实施中药品种保护制度。</w:t>
      </w:r>
    </w:p>
    <w:p>
      <w:pPr>
        <w:pStyle w:val="18"/>
      </w:pPr>
      <w:r>
        <w:t>（十四）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18"/>
      </w:pPr>
      <w:r>
        <w:t>（十五）负责组织指导药品、医疗器械和化妆品监督检查。贯彻落实国家、省、</w:t>
      </w:r>
      <w:r>
        <w:rPr>
          <w:rFonts w:hint="eastAsia"/>
          <w:lang w:eastAsia="zh-CN"/>
        </w:rPr>
        <w:t>邢台市检察制度</w:t>
      </w:r>
      <w:r>
        <w:t>，依法组织指导查处药品零售、医疗器械经营、化妆品经营和药品、医疗器械使用环节的违法行为，规范行政执法行为。</w:t>
      </w:r>
    </w:p>
    <w:p>
      <w:pPr>
        <w:pStyle w:val="18"/>
      </w:pPr>
      <w:r>
        <w:t>（十六）负责统一管理全市计量工作。推行法定计量单位和国家计量制度，管理计量器具及量值传递和比对工作。规范、监督商品量和市场计量行为。</w:t>
      </w:r>
    </w:p>
    <w:p>
      <w:pPr>
        <w:pStyle w:val="18"/>
      </w:pPr>
      <w:r>
        <w:t>（十七）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pStyle w:val="18"/>
      </w:pPr>
      <w:r>
        <w:t>（十八）负责统一管理全市检验检测工作。指导检验检测机构整合和改革，规范检验检测市场，完善检验检测体系，指导协调检验检测行业发展。</w:t>
      </w:r>
    </w:p>
    <w:p>
      <w:pPr>
        <w:pStyle w:val="18"/>
      </w:pPr>
      <w:r>
        <w:t>（十九）负责统一管理、监督和协调全市认证认可工作。组织贯彻实施国家统一的认证认可和合格评定监督管理制度。</w:t>
      </w:r>
    </w:p>
    <w:p>
      <w:pPr>
        <w:pStyle w:val="18"/>
      </w:pPr>
      <w:r>
        <w:t>（二十）负责推进全市知识产权管理工作。拟订加强知识产权强市建设的政策措施和发展规划。拟订和实施强化知识产权创造、保护和运用的政策和制度。</w:t>
      </w:r>
    </w:p>
    <w:p>
      <w:pPr>
        <w:pStyle w:val="18"/>
      </w:pPr>
      <w:r>
        <w:t>（二十一）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18"/>
      </w:pPr>
      <w:r>
        <w:t>（二十二）负责促进知识产权运用。拟订知识产权运用和规范交易的政策，促进知识产权转移转化。规范知识产权无形资产评估工作。制定实施知识产权中介服务发展与监管的政策措施。</w:t>
      </w:r>
    </w:p>
    <w:p>
      <w:pPr>
        <w:pStyle w:val="18"/>
      </w:pPr>
      <w:r>
        <w:t>（二十三）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18"/>
      </w:pPr>
      <w:r>
        <w:t>（二十四）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pStyle w:val="18"/>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沙河市市场监督管理局(沙河市知识产权局）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部门预算</w:t>
      </w:r>
      <w:r>
        <w:rPr>
          <w:rFonts w:ascii="黑体" w:hAnsi="黑体" w:eastAsia="黑体" w:cs="黑体"/>
          <w:color w:val="000000"/>
          <w:sz w:val="32"/>
        </w:rPr>
        <w:t>安排的总体情况</w:t>
      </w:r>
      <w:bookmarkEnd w:id="10"/>
    </w:p>
    <w:p>
      <w:pPr>
        <w:pStyle w:val="19"/>
      </w:pPr>
      <w:r>
        <w:t>按照预算管理有关规定，目前</w:t>
      </w:r>
      <w:r>
        <w:rPr>
          <w:rFonts w:hint="eastAsia"/>
          <w:lang w:eastAsia="zh-CN"/>
        </w:rPr>
        <w:t>部门预算</w:t>
      </w:r>
      <w:r>
        <w:t>的编制实行综合预算管理，即全部收入和支出都反映在预算中。沙河市市场监督管理局机关及所属事业单位的收支包含在</w:t>
      </w:r>
      <w:r>
        <w:rPr>
          <w:rFonts w:hint="eastAsia"/>
          <w:lang w:eastAsia="zh-CN"/>
        </w:rPr>
        <w:t>部门预算</w:t>
      </w:r>
      <w:r>
        <w:t>中。</w:t>
      </w:r>
    </w:p>
    <w:p>
      <w:pPr>
        <w:pStyle w:val="19"/>
      </w:pPr>
      <w:r>
        <w:t>1、收入说明</w:t>
      </w:r>
    </w:p>
    <w:p>
      <w:pPr>
        <w:pStyle w:val="19"/>
      </w:pPr>
      <w:r>
        <w:t>反映本部门当年全部收入。2024年预算收入2865.55万元，其中：一般公共预算收入2865.55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收支预算总表支出栏、基本支出表、项目支出表按经济分类和支出功能分类科目编制，反映沙河市市场监督管理局年度</w:t>
      </w:r>
      <w:r>
        <w:rPr>
          <w:rFonts w:hint="eastAsia"/>
          <w:lang w:eastAsia="zh-CN"/>
        </w:rPr>
        <w:t>部门预算</w:t>
      </w:r>
      <w:r>
        <w:t>中支出预算的总体情况。2024年支出预算2865.55万元，其中基本支出2315.94万元，包括人员经费2168.76万元和日常公用经费147.18万元；项目支出549.61万元，主要为市场专项补助经费48万元、创建食品和药品安全示范城市工作经费65.61万元、村食品药品安全协管员补贴36万元、抽样检查工作经费100万元、市场监督管理经费180万元、产品质量监督管理经费100万元、食品药品监督管理经费20万元。</w:t>
      </w:r>
    </w:p>
    <w:p>
      <w:pPr>
        <w:pStyle w:val="19"/>
      </w:pPr>
      <w:r>
        <w:t>3、比上年增减情况</w:t>
      </w:r>
    </w:p>
    <w:p>
      <w:pPr>
        <w:pStyle w:val="19"/>
      </w:pPr>
      <w:r>
        <w:t>2024年预算收支安排2865.55万元，较2023年预算减少46.73万元，其中：基本支出减少91.44万元，主要是退休人员增多，工资、社保及各项补贴都减少了。项目支出增加44.71万元，主要为项目支出新增抽样检查工作经费100万元，市场监督管理经费和创建食品和药品安全示范城市工作经费共减少55.29万元。</w:t>
      </w:r>
    </w:p>
    <w:p>
      <w:pPr>
        <w:spacing w:before="10" w:after="10" w:line="360" w:lineRule="auto"/>
        <w:ind w:firstLine="640"/>
        <w:jc w:val="left"/>
        <w:outlineLvl w:val="2"/>
      </w:pPr>
      <w:bookmarkStart w:id="11" w:name="_Toc_3_3_0000000012"/>
      <w:bookmarkStart w:id="12" w:name="_Toc_3_3_0000000014"/>
      <w:r>
        <w:rPr>
          <w:rFonts w:ascii="黑体" w:hAnsi="黑体" w:eastAsia="黑体" w:cs="黑体"/>
          <w:color w:val="000000"/>
          <w:sz w:val="32"/>
        </w:rPr>
        <w:t>三、机关运行经费安排情况</w:t>
      </w:r>
      <w:bookmarkEnd w:id="11"/>
    </w:p>
    <w:p>
      <w:pPr>
        <w:pStyle w:val="20"/>
      </w:pPr>
      <w:r>
        <w:rPr>
          <w:rFonts w:hint="eastAsia"/>
          <w:lang w:val="en-US" w:eastAsia="zh-CN"/>
        </w:rPr>
        <w:t>2024年，</w:t>
      </w:r>
      <w:r>
        <w:t>机关运行经费安排1</w:t>
      </w:r>
      <w:r>
        <w:rPr>
          <w:rFonts w:hint="eastAsia"/>
          <w:lang w:val="en-US" w:eastAsia="zh-CN"/>
        </w:rPr>
        <w:t>47.18</w:t>
      </w:r>
      <w:r>
        <w:t>万元，主要用于</w:t>
      </w:r>
      <w:r>
        <w:rPr>
          <w:rFonts w:hint="eastAsia"/>
          <w:lang w:eastAsia="zh-CN"/>
        </w:rPr>
        <w:t>日常维护、办公用房水电费、办公用房取暖费、</w:t>
      </w:r>
      <w:r>
        <w:t>办公用房物业管理费等日常运行支出。</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1"/>
        <w:rPr>
          <w:rFonts w:hint="eastAsia" w:eastAsia="方正仿宋_GBK"/>
          <w:lang w:val="en-US" w:eastAsia="zh-CN"/>
        </w:rPr>
      </w:pPr>
      <w:r>
        <w:t>2023年，我单位“三公”经费预算安排</w:t>
      </w:r>
      <w:r>
        <w:rPr>
          <w:rFonts w:hint="eastAsia"/>
          <w:lang w:val="en-US" w:eastAsia="zh-CN"/>
        </w:rPr>
        <w:t>8</w:t>
      </w:r>
      <w:r>
        <w:t>万元，其中因公出国（境）费0元；公务用车购置及运维费8万元（公务用车购置费0元，公务用车运维费</w:t>
      </w:r>
      <w:r>
        <w:rPr>
          <w:rFonts w:hint="eastAsia"/>
          <w:lang w:val="en-US" w:eastAsia="zh-CN"/>
        </w:rPr>
        <w:t>8</w:t>
      </w:r>
      <w:r>
        <w:t>万元）；公务接待费0万元。</w:t>
      </w:r>
      <w:r>
        <w:rPr>
          <w:rFonts w:hint="eastAsia"/>
          <w:lang w:eastAsia="zh-CN"/>
        </w:rPr>
        <w:t>本年</w:t>
      </w:r>
      <w:r>
        <w:t>“三公”经费</w:t>
      </w:r>
      <w:r>
        <w:rPr>
          <w:rFonts w:hint="eastAsia"/>
          <w:lang w:eastAsia="zh-CN"/>
        </w:rPr>
        <w:t>预算安排与上年度持平。</w:t>
      </w:r>
    </w:p>
    <w:p>
      <w:pPr>
        <w:spacing w:before="10" w:after="10" w:line="360" w:lineRule="auto"/>
        <w:ind w:firstLine="640"/>
        <w:jc w:val="left"/>
        <w:outlineLvl w:val="2"/>
      </w:pPr>
      <w:r>
        <w:rPr>
          <w:rFonts w:ascii="黑体" w:hAnsi="黑体" w:eastAsia="黑体" w:cs="黑体"/>
          <w:color w:val="000000"/>
          <w:sz w:val="32"/>
        </w:rPr>
        <w:t>五、部门整体绩效目标</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 xml:space="preserve">始终坚持以习近平新时代中国特色社会主义思想为统领，坚持高质量赶超发展，坚持“四个最严”要求，以保民生、保人员、保正常运转为基础，全面推进食品药品、特种设备、工业产品质量安全保障，知识产权和商标品牌提升，质量强市标准化，反不正当竞争执法，大气污染防治，基层规范化建设等重点工作，全年监督抽查特种设备数量2103台次，全年完成抽检食品药品批次2156批次，成品油抽检超过229批次，加油站检测覆盖率大于等于90%，重大安全事故发生次数少于0次，不断提升市场监管治理体系和治理能力现代化水平，努力实现市场有活力、竞争有秩序、发展有质量、安全有保障，为区域经济高质量赶超发展和人民群众饮食用药、生命财产安全保驾护航，为加快建设“美丽沙河”作出新的更大贡献。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保障市场监管执法人员日常工资及各种社保缴费</w:t>
      </w:r>
    </w:p>
    <w:p>
      <w:pPr>
        <w:pStyle w:val="23"/>
      </w:pPr>
      <w:r>
        <w:t>绩效目标：人员基本工资、基础绩效工资、奖励绩效工资、养老保险单位部分、医疗保险单位部分、住房公积金单位部分。</w:t>
      </w:r>
    </w:p>
    <w:p>
      <w:pPr>
        <w:pStyle w:val="23"/>
      </w:pPr>
      <w:r>
        <w:t>绩效指标：工资保障及时发放30人次；各种社保费用缴纳及时性等。</w:t>
      </w:r>
    </w:p>
    <w:p>
      <w:pPr>
        <w:pStyle w:val="23"/>
      </w:pPr>
      <w:r>
        <w:rPr>
          <w:rFonts w:hint="eastAsia"/>
          <w:lang w:val="en-US" w:eastAsia="zh-CN"/>
        </w:rPr>
        <w:t>2.</w:t>
      </w:r>
      <w:r>
        <w:t>加强监管，维护市场经济秩序。</w:t>
      </w:r>
    </w:p>
    <w:p>
      <w:pPr>
        <w:pStyle w:val="23"/>
      </w:pPr>
      <w:r>
        <w:t>绩效目标：加强监管、执法力度，增强各类市场诚信经营意识和规范网络交易管理，维护市场经济秩序。全面推进特种设备、工业产品质量安全保障，知识产权和商标品牌提升，质量强区和标准化，维护良好经济秩序。</w:t>
      </w:r>
    </w:p>
    <w:p>
      <w:pPr>
        <w:pStyle w:val="23"/>
      </w:pPr>
      <w:r>
        <w:t>绩效指标：监督抽查特种设备数量</w:t>
      </w:r>
      <w:r>
        <w:tab/>
      </w:r>
      <w:r>
        <w:t>≥1800台次、抽查企业完成率≥90%、监督抽检信息公布时间7日内公布、监管计划完成率</w:t>
      </w:r>
      <w:r>
        <w:tab/>
      </w:r>
      <w:r>
        <w:t>≥90%、违法企业处理率≥90%。</w:t>
      </w:r>
    </w:p>
    <w:p>
      <w:pPr>
        <w:pStyle w:val="23"/>
      </w:pPr>
      <w:r>
        <w:rPr>
          <w:rFonts w:hint="eastAsia"/>
          <w:lang w:val="en-US" w:eastAsia="zh-CN"/>
        </w:rPr>
        <w:t>3.</w:t>
      </w:r>
      <w:r>
        <w:t>保民生，推进食品药品安全保障。</w:t>
      </w:r>
    </w:p>
    <w:p>
      <w:pPr>
        <w:pStyle w:val="23"/>
      </w:pPr>
      <w:r>
        <w:t>绩效目标：加强食品药品生产、流通环节监管，开展食品药品抽检，保障人民群众食品药品安全。</w:t>
      </w:r>
    </w:p>
    <w:p>
      <w:pPr>
        <w:pStyle w:val="23"/>
      </w:pPr>
      <w:r>
        <w:t>绩效指标：全年完成抽检批次≥2600批次、食品抽检计划完成率≥95%、抽检工作按期完成率≥90%、问题食品依法核查处置率≥95%、不合格样品企业处理率≥95%。</w:t>
      </w:r>
    </w:p>
    <w:p>
      <w:pPr>
        <w:pStyle w:val="23"/>
      </w:pPr>
      <w:r>
        <w:rPr>
          <w:rFonts w:hint="eastAsia"/>
          <w:lang w:val="en-US" w:eastAsia="zh-CN"/>
        </w:rPr>
        <w:t>4.</w:t>
      </w:r>
      <w:r>
        <w:t>开展成品油及煤质检测，做好大气污染整治工作。</w:t>
      </w:r>
    </w:p>
    <w:p>
      <w:pPr>
        <w:pStyle w:val="23"/>
      </w:pPr>
      <w:r>
        <w:t>绩效目标：开展成品油及煤质检测，加大大气污染防治力度。</w:t>
      </w:r>
    </w:p>
    <w:p>
      <w:pPr>
        <w:pStyle w:val="23"/>
      </w:pPr>
      <w:r>
        <w:t>绩效指标：成品油抽检批次≥320批次、加油站覆盖率≥90%、抽检任务完成及时率≥95%、对成品油违法案件处罚率≥90%。</w:t>
      </w:r>
    </w:p>
    <w:p>
      <w:pPr>
        <w:pStyle w:val="23"/>
      </w:pPr>
      <w:r>
        <w:rPr>
          <w:rFonts w:hint="eastAsia"/>
          <w:lang w:val="en-US" w:eastAsia="zh-CN"/>
        </w:rPr>
        <w:t>5.</w:t>
      </w:r>
      <w:bookmarkStart w:id="20" w:name="_GoBack"/>
      <w:bookmarkEnd w:id="20"/>
      <w:r>
        <w:t>负责将我市创建成食品和药品安全示范城市</w:t>
      </w:r>
    </w:p>
    <w:p>
      <w:pPr>
        <w:pStyle w:val="23"/>
      </w:pPr>
      <w:r>
        <w:t>绩效目标：</w:t>
      </w:r>
      <w:r>
        <w:rPr>
          <w:rFonts w:hint="eastAsia"/>
          <w:lang w:eastAsia="zh-CN"/>
        </w:rPr>
        <w:t>（</w:t>
      </w:r>
      <w:r>
        <w:t>1</w:t>
      </w:r>
      <w:r>
        <w:rPr>
          <w:rFonts w:hint="eastAsia"/>
          <w:lang w:eastAsia="zh-CN"/>
        </w:rPr>
        <w:t>）</w:t>
      </w:r>
      <w:r>
        <w:t>、创新监管机制，强化监督措施，促进社会协同共治，发挥示范引领作用，推动食品安全整体形势持续稳定向好</w:t>
      </w:r>
    </w:p>
    <w:p>
      <w:pPr>
        <w:pStyle w:val="23"/>
      </w:pPr>
      <w:r>
        <w:rPr>
          <w:rFonts w:hint="eastAsia"/>
          <w:lang w:eastAsia="zh-CN"/>
        </w:rPr>
        <w:t>（</w:t>
      </w:r>
      <w:r>
        <w:t>2</w:t>
      </w:r>
      <w:r>
        <w:rPr>
          <w:rFonts w:hint="eastAsia"/>
          <w:lang w:eastAsia="zh-CN"/>
        </w:rPr>
        <w:t>）</w:t>
      </w:r>
      <w:r>
        <w:t>、食品安全保障水平和群众食品安全满意度明显提升，为建设“经济强市，美丽沙河”提供强有力食品安全保障。</w:t>
      </w:r>
    </w:p>
    <w:p>
      <w:pPr>
        <w:pStyle w:val="23"/>
      </w:pPr>
      <w:r>
        <w:t>绩效指标：食品药品安全宣传教育活动完成次数与计划开展次数的比值90%；实际处置突发事件个数与实际发生数的比值98%。</w:t>
      </w:r>
    </w:p>
    <w:p>
      <w:pPr>
        <w:pStyle w:val="23"/>
      </w:pPr>
      <w:r>
        <w:rPr>
          <w:rFonts w:hint="eastAsia"/>
          <w:lang w:val="en-US" w:eastAsia="zh-CN"/>
        </w:rPr>
        <w:t>6.</w:t>
      </w:r>
      <w:r>
        <w:t>负责建立相对稳定的食品药品安全协管员报酬机制。</w:t>
      </w:r>
    </w:p>
    <w:p>
      <w:pPr>
        <w:pStyle w:val="23"/>
      </w:pPr>
      <w:r>
        <w:t>绩效目标：</w:t>
      </w:r>
      <w:r>
        <w:rPr>
          <w:rFonts w:hint="eastAsia"/>
          <w:lang w:eastAsia="zh-CN"/>
        </w:rPr>
        <w:t>（</w:t>
      </w:r>
      <w:r>
        <w:t>1</w:t>
      </w:r>
      <w:r>
        <w:rPr>
          <w:rFonts w:hint="eastAsia"/>
          <w:lang w:eastAsia="zh-CN"/>
        </w:rPr>
        <w:t>）</w:t>
      </w:r>
      <w:r>
        <w:t>、创新监管机制，强化监督措施，促进社会协同共治，推动食品安全整体形势持续稳定向好</w:t>
      </w:r>
    </w:p>
    <w:p>
      <w:pPr>
        <w:pStyle w:val="23"/>
      </w:pPr>
      <w:r>
        <w:rPr>
          <w:rFonts w:hint="eastAsia"/>
          <w:lang w:eastAsia="zh-CN"/>
        </w:rPr>
        <w:t>（</w:t>
      </w:r>
      <w:r>
        <w:t>2</w:t>
      </w:r>
      <w:r>
        <w:rPr>
          <w:rFonts w:hint="eastAsia"/>
          <w:lang w:eastAsia="zh-CN"/>
        </w:rPr>
        <w:t>）</w:t>
      </w:r>
      <w:r>
        <w:t>、落实食品药品安全目标管理责任制的行政责任制追究，建立健全加强食品药品安全工作的规章制度，加快明确事权划分，明晰监管责任</w:t>
      </w:r>
    </w:p>
    <w:p>
      <w:pPr>
        <w:pStyle w:val="23"/>
      </w:pPr>
      <w:r>
        <w:t>绩效指标：综合事务管理工作完成情况；食品药品安全宣传教育活动完成情况。</w:t>
      </w:r>
    </w:p>
    <w:p>
      <w:pPr>
        <w:pStyle w:val="23"/>
      </w:pPr>
      <w:r>
        <w:rPr>
          <w:rFonts w:hint="eastAsia"/>
          <w:lang w:val="en-US" w:eastAsia="zh-CN"/>
        </w:rPr>
        <w:t>7.</w:t>
      </w:r>
      <w:r>
        <w:t>负责全市食品药品检验检测工作</w:t>
      </w:r>
    </w:p>
    <w:p>
      <w:pPr>
        <w:pStyle w:val="23"/>
      </w:pPr>
      <w:r>
        <w:t>绩效目标：</w:t>
      </w:r>
      <w:r>
        <w:rPr>
          <w:rFonts w:hint="eastAsia"/>
          <w:lang w:eastAsia="zh-CN"/>
        </w:rPr>
        <w:t>（</w:t>
      </w:r>
      <w:r>
        <w:t>1</w:t>
      </w:r>
      <w:r>
        <w:rPr>
          <w:rFonts w:hint="eastAsia"/>
          <w:lang w:eastAsia="zh-CN"/>
        </w:rPr>
        <w:t>）</w:t>
      </w:r>
      <w:r>
        <w:t>、检测农药兽药残留的食品检验量不低于每年2份/千人。</w:t>
      </w:r>
      <w:r>
        <w:rPr>
          <w:rFonts w:hint="eastAsia"/>
          <w:lang w:eastAsia="zh-CN"/>
        </w:rPr>
        <w:t>（</w:t>
      </w:r>
      <w:r>
        <w:t>2</w:t>
      </w:r>
      <w:r>
        <w:rPr>
          <w:rFonts w:hint="eastAsia"/>
          <w:lang w:eastAsia="zh-CN"/>
        </w:rPr>
        <w:t>）</w:t>
      </w:r>
      <w:r>
        <w:t>、我市每年抽验量食用农产品1500批次。</w:t>
      </w:r>
    </w:p>
    <w:p>
      <w:pPr>
        <w:pStyle w:val="23"/>
      </w:pPr>
      <w:r>
        <w:t>绩效指标：不合格样品生产企业处理率100%；药品经营企业日常跟踪检查率99%；检查食品生产企业数与实有生产企业数的比例95%。</w:t>
      </w:r>
    </w:p>
    <w:p>
      <w:pPr>
        <w:pStyle w:val="23"/>
      </w:pPr>
      <w:r>
        <w:rPr>
          <w:rFonts w:hint="eastAsia"/>
          <w:lang w:val="en-US" w:eastAsia="zh-CN"/>
        </w:rPr>
        <w:t>8.</w:t>
      </w:r>
      <w:r>
        <w:t>负责全市市场经营监督管理工作</w:t>
      </w:r>
    </w:p>
    <w:p>
      <w:pPr>
        <w:pStyle w:val="23"/>
      </w:pPr>
      <w:r>
        <w:t>绩效目标：</w:t>
      </w:r>
      <w:r>
        <w:rPr>
          <w:rFonts w:hint="eastAsia"/>
          <w:lang w:eastAsia="zh-CN"/>
        </w:rPr>
        <w:t>（</w:t>
      </w:r>
      <w:r>
        <w:t>1</w:t>
      </w:r>
      <w:r>
        <w:rPr>
          <w:rFonts w:hint="eastAsia"/>
          <w:lang w:eastAsia="zh-CN"/>
        </w:rPr>
        <w:t>）</w:t>
      </w:r>
      <w:r>
        <w:t>、我局将市场监管工作作为一项重要工作，不断强化属地管理责任，创新监管机制，强化监管措施，促进社会协同共治开展专项执法行动，查处性质恶劣、跨区域、社会影响大、严重损害群众利益和破坏市场秩序的大案要案。</w:t>
      </w:r>
      <w:r>
        <w:rPr>
          <w:rFonts w:hint="eastAsia"/>
          <w:lang w:eastAsia="zh-CN"/>
        </w:rPr>
        <w:t>（</w:t>
      </w:r>
      <w:r>
        <w:t>2</w:t>
      </w:r>
      <w:r>
        <w:rPr>
          <w:rFonts w:hint="eastAsia"/>
          <w:lang w:eastAsia="zh-CN"/>
        </w:rPr>
        <w:t>）</w:t>
      </w:r>
      <w:r>
        <w:t>、开展与执法办案有关的各项工作，维护公平竞争的市场秩序</w:t>
      </w:r>
    </w:p>
    <w:p>
      <w:pPr>
        <w:pStyle w:val="23"/>
      </w:pPr>
      <w:r>
        <w:t>绩效指标：综合业务管理工作完成情况95%；实际处置突发事件个数与实际发生95%。</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加强队伍建设，打造一支能打硬仗的市场监管队伍。整合执法力量，提升执法水平，按照新形势新任务的要求，进一步加强干部队伍思想建设、基础建设、法治建设，加强全年业务法规培训，让行政</w:t>
      </w:r>
      <w:r>
        <w:rPr>
          <w:rFonts w:hint="eastAsia"/>
          <w:lang w:val="en-US" w:eastAsia="zh-CN"/>
        </w:rPr>
        <w:t>法规</w:t>
      </w:r>
      <w:r>
        <w:t>业务培训成为常态，全面提高全局依法履职能力。</w:t>
      </w:r>
    </w:p>
    <w:p>
      <w:pPr>
        <w:pStyle w:val="24"/>
      </w:pPr>
      <w:r>
        <w:rPr>
          <w:rFonts w:hint="eastAsia"/>
          <w:lang w:val="en-US" w:eastAsia="zh-CN"/>
        </w:rPr>
        <w:t>2.</w:t>
      </w:r>
      <w:r>
        <w:t>加大食品药品安全监管力度。认真贯彻落实习近平总书记“四个最严”标准，加大食品药品安全监管力度，坚持严字当头，严谨标准、严格监管、严厉处罚、严肃问责，坚决防止系统性、区域性食品药品安全风险安全隐患和重大食品药品安全事故发生，确保全区“药安食美”。</w:t>
      </w:r>
    </w:p>
    <w:p>
      <w:pPr>
        <w:pStyle w:val="24"/>
      </w:pPr>
      <w:r>
        <w:rPr>
          <w:rFonts w:hint="eastAsia"/>
          <w:lang w:val="en-US" w:eastAsia="zh-CN"/>
        </w:rPr>
        <w:t>3.</w:t>
      </w:r>
      <w:r>
        <w:t>加强特种设备监管。进一步摸清辖区特种设备使用单位的具体情况，建立动态监管台账，增加日常检查频次，力争将各类事故隐患消除在萌芽状态，确保全区特种设备使用安全。</w:t>
      </w:r>
    </w:p>
    <w:p>
      <w:pPr>
        <w:pStyle w:val="24"/>
      </w:pPr>
      <w:r>
        <w:rPr>
          <w:rFonts w:hint="eastAsia"/>
          <w:lang w:val="en-US" w:eastAsia="zh-CN"/>
        </w:rPr>
        <w:t>4.</w:t>
      </w:r>
      <w:r>
        <w:t>持续加强标准化工作，夯实计量基础。继续开展与人民群众生活密切相关的计量器具的监督管理，依法打击加油机、加气机计量作弊的不法行为。</w:t>
      </w:r>
    </w:p>
    <w:p>
      <w:pPr>
        <w:pStyle w:val="24"/>
      </w:pPr>
      <w:r>
        <w:rPr>
          <w:rFonts w:hint="eastAsia"/>
          <w:lang w:val="en-US" w:eastAsia="zh-CN"/>
        </w:rPr>
        <w:t>5.</w:t>
      </w:r>
      <w:r>
        <w:t>大力实施商标战略。围绕我区品牌经济发展，引导企业树立商标品牌意识，力争培育一批具有“桥西特色、桥西实力”的知名品牌和著名品牌；同时加强商标保护和服务能力建设，充分发挥商标品牌对我区经济发展的推动和促进作用。</w:t>
      </w:r>
    </w:p>
    <w:p>
      <w:pPr>
        <w:pStyle w:val="24"/>
      </w:pPr>
      <w:r>
        <w:rPr>
          <w:rFonts w:hint="eastAsia"/>
          <w:lang w:val="en-US" w:eastAsia="zh-CN"/>
        </w:rPr>
        <w:t>6.</w:t>
      </w:r>
      <w:r>
        <w:t>加强事中事后监管，营造公平竞争的市场环境。围绕我区市场秩序存在的突出问题，以竞争执法为重点，以信用监管为核心，继续强化市场监管执法，维护良好市场秩序，为我区市场主体优胜劣汰和转型升级营造良好环境。</w:t>
      </w:r>
    </w:p>
    <w:p>
      <w:pPr>
        <w:pStyle w:val="24"/>
      </w:pPr>
      <w:r>
        <w:rPr>
          <w:rFonts w:hint="eastAsia"/>
          <w:lang w:val="en-US" w:eastAsia="zh-CN"/>
        </w:rPr>
        <w:t>7.</w:t>
      </w:r>
      <w:r>
        <w:t>规范财务管理。制定完善预算绩效管理制度、财务收支管理制度、工作保障制度等，为全年预算绩效目标的实现奠定制度基础。按要求开展绩效运行监控，发现问题及时采取措施，确保绩效目标如期保质实现。</w:t>
      </w:r>
    </w:p>
    <w:p>
      <w:pPr>
        <w:pStyle w:val="24"/>
      </w:pPr>
      <w:r>
        <w:t>按规定及时申请下达资金等多种措施，确保支出进度达标。支出时严格审批程序，加强固定资产登记、使用和报废处置管理，做到支出合理，物尽其用。按要求开展上年度</w:t>
      </w:r>
      <w:r>
        <w:rPr>
          <w:rFonts w:hint="eastAsia"/>
          <w:lang w:eastAsia="zh-CN"/>
        </w:rPr>
        <w:t>部门预算</w:t>
      </w:r>
      <w:r>
        <w:t>绩效自评和重点评价工作，对评价中发现的问题及时整改，调整优化支出结构，提高财政资金使用效益。</w:t>
      </w:r>
    </w:p>
    <w:p>
      <w:pPr>
        <w:pStyle w:val="24"/>
      </w:pPr>
      <w:r>
        <w:rPr>
          <w:rFonts w:hint="eastAsia"/>
          <w:lang w:val="en-US" w:eastAsia="zh-CN"/>
        </w:rPr>
        <w:t>8.</w:t>
      </w: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rPr>
          <w:rFonts w:hint="eastAsia"/>
          <w:lang w:val="en-US" w:eastAsia="zh-CN"/>
        </w:rPr>
        <w:t>9.</w:t>
      </w:r>
      <w:r>
        <w:t>加强调研，提出优化财政资金配置、提高资金使用效益的</w:t>
      </w:r>
      <w:r>
        <w:rPr>
          <w:rFonts w:hint="eastAsia"/>
          <w:lang w:eastAsia="zh-CN"/>
        </w:rPr>
        <w:t>意见</w:t>
      </w:r>
      <w:r>
        <w:t>；加大宣传力度，强化预算绩效管理意识，促进预算绩效管理水平进一步提升。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1、产品质量监督管理经费*绩效目标表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13058224P00362510003H</w:t>
            </w:r>
          </w:p>
        </w:tc>
        <w:tc>
          <w:tcPr>
            <w:tcW w:w="2835" w:type="dxa"/>
            <w:vAlign w:val="center"/>
          </w:tcPr>
          <w:p>
            <w:pPr>
              <w:pStyle w:val="11"/>
            </w:pPr>
            <w:r>
              <w:t>项目名称</w:t>
            </w:r>
          </w:p>
        </w:tc>
        <w:tc>
          <w:tcPr>
            <w:tcW w:w="6094" w:type="dxa"/>
            <w:gridSpan w:val="3"/>
            <w:vAlign w:val="center"/>
          </w:tcPr>
          <w:p>
            <w:pPr>
              <w:pStyle w:val="13"/>
            </w:pPr>
            <w:r>
              <w:t>产品质量监督管理经费*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用于产品质量监管检查工作日常耗材等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1.保障全市产品质量安全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开展专项监督检查的次数</w:t>
            </w:r>
          </w:p>
        </w:tc>
        <w:tc>
          <w:tcPr>
            <w:tcW w:w="2268" w:type="dxa"/>
            <w:vAlign w:val="center"/>
          </w:tcPr>
          <w:p>
            <w:pPr>
              <w:pStyle w:val="13"/>
            </w:pPr>
            <w:r>
              <w:t>≥5次</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开展执法行动总布置行动数比率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该项目完成时间</w:t>
            </w:r>
          </w:p>
        </w:tc>
        <w:tc>
          <w:tcPr>
            <w:tcW w:w="2268" w:type="dxa"/>
            <w:vAlign w:val="center"/>
          </w:tcPr>
          <w:p>
            <w:pPr>
              <w:pStyle w:val="13"/>
            </w:pPr>
            <w:r>
              <w:t>年底完成</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该项目所需资金</w:t>
            </w:r>
          </w:p>
        </w:tc>
        <w:tc>
          <w:tcPr>
            <w:tcW w:w="2268" w:type="dxa"/>
            <w:vAlign w:val="center"/>
          </w:tcPr>
          <w:p>
            <w:pPr>
              <w:pStyle w:val="13"/>
            </w:pPr>
            <w:r>
              <w:t>100万元</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立案查处率</w:t>
            </w:r>
          </w:p>
        </w:tc>
        <w:tc>
          <w:tcPr>
            <w:tcW w:w="5386" w:type="dxa"/>
            <w:vAlign w:val="center"/>
          </w:tcPr>
          <w:p>
            <w:pPr>
              <w:pStyle w:val="13"/>
            </w:pPr>
            <w:r>
              <w:t>立案查处的问题数量占发现问题数量的比率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违法企业查处率</w:t>
            </w:r>
          </w:p>
        </w:tc>
        <w:tc>
          <w:tcPr>
            <w:tcW w:w="5386" w:type="dxa"/>
            <w:vAlign w:val="center"/>
          </w:tcPr>
          <w:p>
            <w:pPr>
              <w:pStyle w:val="13"/>
            </w:pPr>
            <w:r>
              <w:t>处理违法企业数量占查办违法企业数量的比率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重大事故发生次数</w:t>
            </w:r>
          </w:p>
        </w:tc>
        <w:tc>
          <w:tcPr>
            <w:tcW w:w="5386" w:type="dxa"/>
            <w:vAlign w:val="center"/>
          </w:tcPr>
          <w:p>
            <w:pPr>
              <w:pStyle w:val="13"/>
            </w:pPr>
            <w:r>
              <w:t>质量安全、食药安全等重大安全事故发生次数</w:t>
            </w:r>
          </w:p>
        </w:tc>
        <w:tc>
          <w:tcPr>
            <w:tcW w:w="2268" w:type="dxa"/>
            <w:vAlign w:val="center"/>
          </w:tcPr>
          <w:p>
            <w:pPr>
              <w:pStyle w:val="13"/>
            </w:pPr>
            <w:r>
              <w:t>0次</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社会反馈意见及市场监管工作满意度</w:t>
            </w:r>
          </w:p>
        </w:tc>
        <w:tc>
          <w:tcPr>
            <w:tcW w:w="2268" w:type="dxa"/>
            <w:vAlign w:val="center"/>
          </w:tcPr>
          <w:p>
            <w:pPr>
              <w:pStyle w:val="13"/>
            </w:pPr>
            <w:r>
              <w:t>≥85%</w:t>
            </w:r>
          </w:p>
        </w:tc>
        <w:tc>
          <w:tcPr>
            <w:tcW w:w="1276" w:type="dxa"/>
            <w:vAlign w:val="center"/>
          </w:tcPr>
          <w:p>
            <w:pPr>
              <w:pStyle w:val="13"/>
            </w:pPr>
            <w:r>
              <w:t>单位工作计划</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2、抽样检查工作经费绩效目标表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13058224P0058L210004T</w:t>
            </w:r>
          </w:p>
        </w:tc>
        <w:tc>
          <w:tcPr>
            <w:tcW w:w="2835" w:type="dxa"/>
            <w:vAlign w:val="center"/>
          </w:tcPr>
          <w:p>
            <w:pPr>
              <w:pStyle w:val="11"/>
            </w:pPr>
            <w:r>
              <w:t>项目名称</w:t>
            </w:r>
          </w:p>
        </w:tc>
        <w:tc>
          <w:tcPr>
            <w:tcW w:w="6094" w:type="dxa"/>
            <w:gridSpan w:val="3"/>
            <w:vAlign w:val="center"/>
          </w:tcPr>
          <w:p>
            <w:pPr>
              <w:pStyle w:val="13"/>
            </w:pPr>
            <w:r>
              <w:t>抽样检查工作经费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用于食品药品、农产品、商品、煤炭及成品油的检验检测费用支出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1.完成全市食用农产品、食品、煤炭、成品油及商品的抽检工作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每年食品及食用农产品抽检批次</w:t>
            </w:r>
          </w:p>
        </w:tc>
        <w:tc>
          <w:tcPr>
            <w:tcW w:w="5386" w:type="dxa"/>
            <w:vAlign w:val="center"/>
          </w:tcPr>
          <w:p>
            <w:pPr>
              <w:pStyle w:val="13"/>
            </w:pPr>
            <w:r>
              <w:t>每年食品及食用农产品抽检批次</w:t>
            </w:r>
          </w:p>
        </w:tc>
        <w:tc>
          <w:tcPr>
            <w:tcW w:w="2268" w:type="dxa"/>
            <w:vAlign w:val="center"/>
          </w:tcPr>
          <w:p>
            <w:pPr>
              <w:pStyle w:val="13"/>
            </w:pPr>
            <w:r>
              <w:t>≥1943批次</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食品抽检问题发现率</w:t>
            </w:r>
          </w:p>
        </w:tc>
        <w:tc>
          <w:tcPr>
            <w:tcW w:w="5386" w:type="dxa"/>
            <w:vAlign w:val="center"/>
          </w:tcPr>
          <w:p>
            <w:pPr>
              <w:pStyle w:val="13"/>
            </w:pPr>
            <w:r>
              <w:t>食品抽检问题发现率</w:t>
            </w:r>
          </w:p>
        </w:tc>
        <w:tc>
          <w:tcPr>
            <w:tcW w:w="2268" w:type="dxa"/>
            <w:vAlign w:val="center"/>
          </w:tcPr>
          <w:p>
            <w:pPr>
              <w:pStyle w:val="13"/>
            </w:pPr>
            <w:r>
              <w:t>≤10%</w:t>
            </w:r>
          </w:p>
        </w:tc>
        <w:tc>
          <w:tcPr>
            <w:tcW w:w="1276" w:type="dxa"/>
            <w:vAlign w:val="center"/>
          </w:tcPr>
          <w:p>
            <w:pPr>
              <w:pStyle w:val="13"/>
            </w:pPr>
            <w:r>
              <w:t>本年度工作计划安排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完成产品质量的抽检率</w:t>
            </w:r>
          </w:p>
        </w:tc>
        <w:tc>
          <w:tcPr>
            <w:tcW w:w="5386" w:type="dxa"/>
            <w:vAlign w:val="center"/>
          </w:tcPr>
          <w:p>
            <w:pPr>
              <w:pStyle w:val="13"/>
            </w:pPr>
            <w:r>
              <w:t>抽检批次实际完成情况占应完成情况的比例</w:t>
            </w:r>
          </w:p>
        </w:tc>
        <w:tc>
          <w:tcPr>
            <w:tcW w:w="2268" w:type="dxa"/>
            <w:vAlign w:val="center"/>
          </w:tcPr>
          <w:p>
            <w:pPr>
              <w:pStyle w:val="13"/>
            </w:pPr>
            <w:r>
              <w:t>≥90%</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完成工作需要费用成本完成工作需要费用成本</w:t>
            </w:r>
          </w:p>
        </w:tc>
        <w:tc>
          <w:tcPr>
            <w:tcW w:w="5386" w:type="dxa"/>
            <w:vAlign w:val="center"/>
          </w:tcPr>
          <w:p>
            <w:pPr>
              <w:pStyle w:val="13"/>
            </w:pPr>
            <w:r>
              <w:t>完成工作需要费用成本</w:t>
            </w:r>
          </w:p>
        </w:tc>
        <w:tc>
          <w:tcPr>
            <w:tcW w:w="2268" w:type="dxa"/>
            <w:vAlign w:val="center"/>
          </w:tcPr>
          <w:p>
            <w:pPr>
              <w:pStyle w:val="13"/>
            </w:pPr>
            <w:r>
              <w:t>≤100万元</w:t>
            </w:r>
          </w:p>
        </w:tc>
        <w:tc>
          <w:tcPr>
            <w:tcW w:w="1276" w:type="dxa"/>
            <w:vAlign w:val="center"/>
          </w:tcPr>
          <w:p>
            <w:pPr>
              <w:pStyle w:val="13"/>
            </w:pPr>
            <w:r>
              <w:t>本年度工作计划安排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≤0次</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不合格样品企业处置率</w:t>
            </w:r>
          </w:p>
        </w:tc>
        <w:tc>
          <w:tcPr>
            <w:tcW w:w="5386" w:type="dxa"/>
            <w:vAlign w:val="center"/>
          </w:tcPr>
          <w:p>
            <w:pPr>
              <w:pStyle w:val="13"/>
            </w:pPr>
            <w:r>
              <w:t>不合格样品企业处置数量/全部不合格样品企业数量</w:t>
            </w:r>
          </w:p>
        </w:tc>
        <w:tc>
          <w:tcPr>
            <w:tcW w:w="2268" w:type="dxa"/>
            <w:vAlign w:val="center"/>
          </w:tcPr>
          <w:p>
            <w:pPr>
              <w:pStyle w:val="13"/>
            </w:pPr>
            <w:r>
              <w:t>≥95%</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社会反馈意见及市场监管工作满意度</w:t>
            </w:r>
          </w:p>
        </w:tc>
        <w:tc>
          <w:tcPr>
            <w:tcW w:w="2268" w:type="dxa"/>
            <w:vAlign w:val="center"/>
          </w:tcPr>
          <w:p>
            <w:pPr>
              <w:pStyle w:val="13"/>
            </w:pPr>
            <w:r>
              <w:t>≥85%</w:t>
            </w:r>
          </w:p>
        </w:tc>
        <w:tc>
          <w:tcPr>
            <w:tcW w:w="1276" w:type="dxa"/>
            <w:vAlign w:val="center"/>
          </w:tcPr>
          <w:p>
            <w:pPr>
              <w:pStyle w:val="13"/>
            </w:pPr>
            <w:r>
              <w:t>本年度工作计划安排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3、创建食品和药品安全示范城市工作经费绩效目标表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13058224P00HG4T100050</w:t>
            </w:r>
          </w:p>
        </w:tc>
        <w:tc>
          <w:tcPr>
            <w:tcW w:w="2835" w:type="dxa"/>
            <w:vAlign w:val="center"/>
          </w:tcPr>
          <w:p>
            <w:pPr>
              <w:pStyle w:val="11"/>
            </w:pPr>
            <w:r>
              <w:t>项目名称</w:t>
            </w:r>
          </w:p>
        </w:tc>
        <w:tc>
          <w:tcPr>
            <w:tcW w:w="6094" w:type="dxa"/>
            <w:gridSpan w:val="3"/>
            <w:vAlign w:val="center"/>
          </w:tcPr>
          <w:p>
            <w:pPr>
              <w:pStyle w:val="13"/>
            </w:pPr>
            <w:r>
              <w:t>创建食品和药品安全示范城市工作经费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65.61</w:t>
            </w:r>
          </w:p>
        </w:tc>
        <w:tc>
          <w:tcPr>
            <w:tcW w:w="2835" w:type="dxa"/>
            <w:vAlign w:val="center"/>
          </w:tcPr>
          <w:p>
            <w:pPr>
              <w:pStyle w:val="11"/>
            </w:pPr>
            <w:r>
              <w:t>其中：财政    资金</w:t>
            </w:r>
          </w:p>
        </w:tc>
        <w:tc>
          <w:tcPr>
            <w:tcW w:w="2551" w:type="dxa"/>
            <w:vAlign w:val="center"/>
          </w:tcPr>
          <w:p>
            <w:pPr>
              <w:pStyle w:val="13"/>
            </w:pPr>
            <w:r>
              <w:t>65.61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全部执法装备采购、网格人员培训、宣传等费用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16.40</w:t>
            </w:r>
          </w:p>
        </w:tc>
        <w:tc>
          <w:tcPr>
            <w:tcW w:w="2835" w:type="dxa"/>
            <w:vAlign w:val="center"/>
          </w:tcPr>
          <w:p>
            <w:pPr>
              <w:pStyle w:val="14"/>
            </w:pPr>
            <w:r>
              <w:t>32.80</w:t>
            </w:r>
          </w:p>
        </w:tc>
        <w:tc>
          <w:tcPr>
            <w:tcW w:w="2551" w:type="dxa"/>
            <w:vAlign w:val="center"/>
          </w:tcPr>
          <w:p>
            <w:pPr>
              <w:pStyle w:val="14"/>
            </w:pPr>
            <w:r>
              <w:t>49.20</w:t>
            </w:r>
          </w:p>
        </w:tc>
        <w:tc>
          <w:tcPr>
            <w:tcW w:w="3543" w:type="dxa"/>
            <w:gridSpan w:val="2"/>
            <w:vAlign w:val="center"/>
          </w:tcPr>
          <w:p>
            <w:pPr>
              <w:pStyle w:val="14"/>
            </w:pPr>
            <w:r>
              <w:t>65.61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1.顺利完成食品和药品安全示范城市创建工作。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食品药品安全宣传教育活动完成率</w:t>
            </w:r>
          </w:p>
        </w:tc>
        <w:tc>
          <w:tcPr>
            <w:tcW w:w="5386" w:type="dxa"/>
            <w:vAlign w:val="center"/>
          </w:tcPr>
          <w:p>
            <w:pPr>
              <w:pStyle w:val="13"/>
            </w:pPr>
            <w:r>
              <w:t>食品药品安全宣传教育活动完成次数与计划开展次数的比值</w:t>
            </w:r>
          </w:p>
        </w:tc>
        <w:tc>
          <w:tcPr>
            <w:tcW w:w="2268" w:type="dxa"/>
            <w:vAlign w:val="center"/>
          </w:tcPr>
          <w:p>
            <w:pPr>
              <w:pStyle w:val="13"/>
            </w:pPr>
            <w:r>
              <w:t>≥90%</w:t>
            </w:r>
          </w:p>
        </w:tc>
        <w:tc>
          <w:tcPr>
            <w:tcW w:w="1276" w:type="dxa"/>
            <w:vAlign w:val="center"/>
          </w:tcPr>
          <w:p>
            <w:pPr>
              <w:pStyle w:val="13"/>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综合业务管理工作完成率</w:t>
            </w:r>
          </w:p>
        </w:tc>
        <w:tc>
          <w:tcPr>
            <w:tcW w:w="5386" w:type="dxa"/>
            <w:vAlign w:val="center"/>
          </w:tcPr>
          <w:p>
            <w:pPr>
              <w:pStyle w:val="13"/>
            </w:pPr>
            <w:r>
              <w:t>综合业务管理工作完成情况</w:t>
            </w:r>
          </w:p>
        </w:tc>
        <w:tc>
          <w:tcPr>
            <w:tcW w:w="2268" w:type="dxa"/>
            <w:vAlign w:val="center"/>
          </w:tcPr>
          <w:p>
            <w:pPr>
              <w:pStyle w:val="13"/>
            </w:pPr>
            <w:r>
              <w:t>≥99%</w:t>
            </w:r>
          </w:p>
        </w:tc>
        <w:tc>
          <w:tcPr>
            <w:tcW w:w="1276" w:type="dxa"/>
            <w:vAlign w:val="center"/>
          </w:tcPr>
          <w:p>
            <w:pPr>
              <w:pStyle w:val="13"/>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突发事件处置率</w:t>
            </w:r>
          </w:p>
        </w:tc>
        <w:tc>
          <w:tcPr>
            <w:tcW w:w="5386" w:type="dxa"/>
            <w:vAlign w:val="center"/>
          </w:tcPr>
          <w:p>
            <w:pPr>
              <w:pStyle w:val="13"/>
            </w:pPr>
            <w:r>
              <w:t>实际处置突发事件个数与实际发生数的比值</w:t>
            </w:r>
          </w:p>
        </w:tc>
        <w:tc>
          <w:tcPr>
            <w:tcW w:w="2268" w:type="dxa"/>
            <w:vAlign w:val="center"/>
          </w:tcPr>
          <w:p>
            <w:pPr>
              <w:pStyle w:val="13"/>
            </w:pPr>
            <w:r>
              <w:t>≥100%</w:t>
            </w:r>
          </w:p>
        </w:tc>
        <w:tc>
          <w:tcPr>
            <w:tcW w:w="1276" w:type="dxa"/>
            <w:vAlign w:val="center"/>
          </w:tcPr>
          <w:p>
            <w:pPr>
              <w:pStyle w:val="13"/>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完成工作所需资金</w:t>
            </w:r>
          </w:p>
        </w:tc>
        <w:tc>
          <w:tcPr>
            <w:tcW w:w="5386" w:type="dxa"/>
            <w:vAlign w:val="center"/>
          </w:tcPr>
          <w:p>
            <w:pPr>
              <w:pStyle w:val="13"/>
            </w:pPr>
            <w:r>
              <w:t>完成工作所需资金</w:t>
            </w:r>
          </w:p>
        </w:tc>
        <w:tc>
          <w:tcPr>
            <w:tcW w:w="2268" w:type="dxa"/>
            <w:vAlign w:val="center"/>
          </w:tcPr>
          <w:p>
            <w:pPr>
              <w:pStyle w:val="13"/>
            </w:pPr>
            <w:r>
              <w:t>≤65.61万元</w:t>
            </w:r>
          </w:p>
        </w:tc>
        <w:tc>
          <w:tcPr>
            <w:tcW w:w="1276" w:type="dxa"/>
            <w:vAlign w:val="center"/>
          </w:tcPr>
          <w:p>
            <w:pPr>
              <w:pStyle w:val="13"/>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执法装备配备率</w:t>
            </w:r>
          </w:p>
        </w:tc>
        <w:tc>
          <w:tcPr>
            <w:tcW w:w="5386" w:type="dxa"/>
            <w:vAlign w:val="center"/>
          </w:tcPr>
          <w:p>
            <w:pPr>
              <w:pStyle w:val="13"/>
            </w:pPr>
            <w:r>
              <w:t>按照执法基本装备标准配备执装备的比例</w:t>
            </w:r>
          </w:p>
        </w:tc>
        <w:tc>
          <w:tcPr>
            <w:tcW w:w="2268" w:type="dxa"/>
            <w:vAlign w:val="center"/>
          </w:tcPr>
          <w:p>
            <w:pPr>
              <w:pStyle w:val="13"/>
            </w:pPr>
            <w:r>
              <w:t>≥95%</w:t>
            </w:r>
          </w:p>
        </w:tc>
        <w:tc>
          <w:tcPr>
            <w:tcW w:w="1276" w:type="dxa"/>
            <w:vAlign w:val="center"/>
          </w:tcPr>
          <w:p>
            <w:pPr>
              <w:pStyle w:val="13"/>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综合事务管理工作完成率</w:t>
            </w:r>
          </w:p>
        </w:tc>
        <w:tc>
          <w:tcPr>
            <w:tcW w:w="5386" w:type="dxa"/>
            <w:vAlign w:val="center"/>
          </w:tcPr>
          <w:p>
            <w:pPr>
              <w:pStyle w:val="13"/>
            </w:pPr>
            <w:r>
              <w:t>综合事务管理工作完成情况</w:t>
            </w:r>
          </w:p>
        </w:tc>
        <w:tc>
          <w:tcPr>
            <w:tcW w:w="2268" w:type="dxa"/>
            <w:vAlign w:val="center"/>
          </w:tcPr>
          <w:p>
            <w:pPr>
              <w:pStyle w:val="13"/>
            </w:pPr>
            <w:r>
              <w:t>≥100%</w:t>
            </w:r>
          </w:p>
        </w:tc>
        <w:tc>
          <w:tcPr>
            <w:tcW w:w="1276" w:type="dxa"/>
            <w:vAlign w:val="center"/>
          </w:tcPr>
          <w:p>
            <w:pPr>
              <w:pStyle w:val="13"/>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信息化保障支撑度</w:t>
            </w:r>
          </w:p>
        </w:tc>
        <w:tc>
          <w:tcPr>
            <w:tcW w:w="5386" w:type="dxa"/>
            <w:vAlign w:val="center"/>
          </w:tcPr>
          <w:p>
            <w:pPr>
              <w:pStyle w:val="13"/>
            </w:pPr>
            <w:r>
              <w:t>信息化水平有效支撑食品、药品监管工作正常开展情况</w:t>
            </w:r>
          </w:p>
        </w:tc>
        <w:tc>
          <w:tcPr>
            <w:tcW w:w="2268" w:type="dxa"/>
            <w:vAlign w:val="center"/>
          </w:tcPr>
          <w:p>
            <w:pPr>
              <w:pStyle w:val="13"/>
            </w:pPr>
            <w:r>
              <w:t>≥90%</w:t>
            </w:r>
          </w:p>
        </w:tc>
        <w:tc>
          <w:tcPr>
            <w:tcW w:w="1276" w:type="dxa"/>
            <w:vAlign w:val="center"/>
          </w:tcPr>
          <w:p>
            <w:pPr>
              <w:pStyle w:val="13"/>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保障全市饮食用药安全，食药安全问题为0</w:t>
            </w:r>
          </w:p>
        </w:tc>
        <w:tc>
          <w:tcPr>
            <w:tcW w:w="1276" w:type="dxa"/>
            <w:vAlign w:val="center"/>
          </w:tcPr>
          <w:p>
            <w:pPr>
              <w:pStyle w:val="13"/>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社会反馈意见及市场监管工作满意度</w:t>
            </w:r>
          </w:p>
        </w:tc>
        <w:tc>
          <w:tcPr>
            <w:tcW w:w="2268" w:type="dxa"/>
            <w:vAlign w:val="center"/>
          </w:tcPr>
          <w:p>
            <w:pPr>
              <w:pStyle w:val="13"/>
            </w:pPr>
            <w:r>
              <w:t>≥85%</w:t>
            </w:r>
          </w:p>
        </w:tc>
        <w:tc>
          <w:tcPr>
            <w:tcW w:w="1276" w:type="dxa"/>
            <w:vAlign w:val="center"/>
          </w:tcPr>
          <w:p>
            <w:pPr>
              <w:pStyle w:val="13"/>
            </w:pPr>
            <w:r>
              <w:t>《邢台市人民政府关于印发邢台市食品安全示范城市创建工作实施方案的通知》邢政字[2017]28号附件2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4、村食品药品安全协管员补贴绩效目标表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13058224P00JB9110004E</w:t>
            </w:r>
          </w:p>
        </w:tc>
        <w:tc>
          <w:tcPr>
            <w:tcW w:w="2835" w:type="dxa"/>
            <w:vAlign w:val="center"/>
          </w:tcPr>
          <w:p>
            <w:pPr>
              <w:pStyle w:val="11"/>
            </w:pPr>
            <w:r>
              <w:t>项目名称</w:t>
            </w:r>
          </w:p>
        </w:tc>
        <w:tc>
          <w:tcPr>
            <w:tcW w:w="6094" w:type="dxa"/>
            <w:gridSpan w:val="3"/>
            <w:vAlign w:val="center"/>
          </w:tcPr>
          <w:p>
            <w:pPr>
              <w:pStyle w:val="13"/>
            </w:pPr>
            <w:r>
              <w:t>村食品药品安全协管员补贴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全市共计300名协管员，每人每月100元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9.00</w:t>
            </w:r>
          </w:p>
        </w:tc>
        <w:tc>
          <w:tcPr>
            <w:tcW w:w="2835" w:type="dxa"/>
            <w:vAlign w:val="center"/>
          </w:tcPr>
          <w:p>
            <w:pPr>
              <w:pStyle w:val="14"/>
            </w:pPr>
            <w:r>
              <w:t>18.00</w:t>
            </w:r>
          </w:p>
        </w:tc>
        <w:tc>
          <w:tcPr>
            <w:tcW w:w="2551" w:type="dxa"/>
            <w:vAlign w:val="center"/>
          </w:tcPr>
          <w:p>
            <w:pPr>
              <w:pStyle w:val="14"/>
            </w:pPr>
            <w:r>
              <w:t>27.00</w:t>
            </w:r>
          </w:p>
        </w:tc>
        <w:tc>
          <w:tcPr>
            <w:tcW w:w="3543" w:type="dxa"/>
            <w:gridSpan w:val="2"/>
            <w:vAlign w:val="center"/>
          </w:tcPr>
          <w:p>
            <w:pPr>
              <w:pStyle w:val="14"/>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1.食品药品协管员保障人民群众饮食用药安全。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辖区内协管员300人每人每月100</w:t>
            </w:r>
          </w:p>
        </w:tc>
        <w:tc>
          <w:tcPr>
            <w:tcW w:w="5386" w:type="dxa"/>
            <w:vAlign w:val="center"/>
          </w:tcPr>
          <w:p>
            <w:pPr>
              <w:pStyle w:val="13"/>
            </w:pPr>
            <w:r>
              <w:t>辖区内协管员300人每人每月补贴标准</w:t>
            </w:r>
          </w:p>
        </w:tc>
        <w:tc>
          <w:tcPr>
            <w:tcW w:w="2268" w:type="dxa"/>
            <w:vAlign w:val="center"/>
          </w:tcPr>
          <w:p>
            <w:pPr>
              <w:pStyle w:val="13"/>
            </w:pPr>
            <w:r>
              <w:t>≤100元</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食品抽检问题发现率</w:t>
            </w:r>
          </w:p>
        </w:tc>
        <w:tc>
          <w:tcPr>
            <w:tcW w:w="5386" w:type="dxa"/>
            <w:vAlign w:val="center"/>
          </w:tcPr>
          <w:p>
            <w:pPr>
              <w:pStyle w:val="13"/>
            </w:pPr>
            <w:r>
              <w:t>食品抽检问题发现率</w:t>
            </w:r>
          </w:p>
        </w:tc>
        <w:tc>
          <w:tcPr>
            <w:tcW w:w="2268" w:type="dxa"/>
            <w:vAlign w:val="center"/>
          </w:tcPr>
          <w:p>
            <w:pPr>
              <w:pStyle w:val="13"/>
            </w:pPr>
            <w:r>
              <w:t>≤10%</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完成工作所需资金</w:t>
            </w:r>
          </w:p>
        </w:tc>
        <w:tc>
          <w:tcPr>
            <w:tcW w:w="5386" w:type="dxa"/>
            <w:vAlign w:val="center"/>
          </w:tcPr>
          <w:p>
            <w:pPr>
              <w:pStyle w:val="13"/>
            </w:pPr>
            <w:r>
              <w:t>完成工作所需资金</w:t>
            </w:r>
          </w:p>
        </w:tc>
        <w:tc>
          <w:tcPr>
            <w:tcW w:w="2268" w:type="dxa"/>
            <w:vAlign w:val="center"/>
          </w:tcPr>
          <w:p>
            <w:pPr>
              <w:pStyle w:val="13"/>
            </w:pPr>
            <w:r>
              <w:t>36万元</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保障农村饮食用药安全</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问题食品依法核查处置率</w:t>
            </w:r>
          </w:p>
        </w:tc>
        <w:tc>
          <w:tcPr>
            <w:tcW w:w="5386" w:type="dxa"/>
            <w:vAlign w:val="center"/>
          </w:tcPr>
          <w:p>
            <w:pPr>
              <w:pStyle w:val="13"/>
            </w:pPr>
            <w:r>
              <w:t>对检出问题食品依法核查处置数量</w:t>
            </w:r>
          </w:p>
        </w:tc>
        <w:tc>
          <w:tcPr>
            <w:tcW w:w="2268" w:type="dxa"/>
            <w:vAlign w:val="center"/>
          </w:tcPr>
          <w:p>
            <w:pPr>
              <w:pStyle w:val="13"/>
            </w:pPr>
            <w:r>
              <w:t>≥95%</w:t>
            </w:r>
          </w:p>
        </w:tc>
        <w:tc>
          <w:tcPr>
            <w:tcW w:w="1276" w:type="dxa"/>
            <w:vAlign w:val="center"/>
          </w:tcPr>
          <w:p>
            <w:pPr>
              <w:pStyle w:val="13"/>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社会反馈意见及市场监管工作满意度</w:t>
            </w:r>
          </w:p>
        </w:tc>
        <w:tc>
          <w:tcPr>
            <w:tcW w:w="2268" w:type="dxa"/>
            <w:vAlign w:val="center"/>
          </w:tcPr>
          <w:p>
            <w:pPr>
              <w:pStyle w:val="13"/>
            </w:pPr>
            <w:r>
              <w:t>≥85%</w:t>
            </w:r>
          </w:p>
        </w:tc>
        <w:tc>
          <w:tcPr>
            <w:tcW w:w="1276" w:type="dxa"/>
            <w:vAlign w:val="center"/>
          </w:tcPr>
          <w:p>
            <w:pPr>
              <w:pStyle w:val="13"/>
            </w:pPr>
            <w:r>
              <w:t>本年度工作计划安排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5、冀财行[2023]97号2024年省级市场监管补助经费绩效目标表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13058224P00348010009N</w:t>
            </w:r>
          </w:p>
        </w:tc>
        <w:tc>
          <w:tcPr>
            <w:tcW w:w="2835" w:type="dxa"/>
            <w:vAlign w:val="center"/>
          </w:tcPr>
          <w:p>
            <w:pPr>
              <w:pStyle w:val="11"/>
            </w:pPr>
            <w:r>
              <w:t>项目名称</w:t>
            </w:r>
          </w:p>
        </w:tc>
        <w:tc>
          <w:tcPr>
            <w:tcW w:w="6094" w:type="dxa"/>
            <w:gridSpan w:val="3"/>
            <w:vAlign w:val="center"/>
          </w:tcPr>
          <w:p>
            <w:pPr>
              <w:pStyle w:val="13"/>
            </w:pPr>
            <w:r>
              <w:t>冀财行[2023]97号2024年省级市场监管补助经费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2024年资金主要用于基层能力提升20万元、执法车购置10万元、特种设备能力提升17万元、灾后重建及市场监管等1万元。根据文件严格按照专项资金规定的范围使用，做到专款专用。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12.00</w:t>
            </w:r>
          </w:p>
        </w:tc>
        <w:tc>
          <w:tcPr>
            <w:tcW w:w="2835" w:type="dxa"/>
            <w:vAlign w:val="center"/>
          </w:tcPr>
          <w:p>
            <w:pPr>
              <w:pStyle w:val="14"/>
            </w:pPr>
            <w:r>
              <w:t>24.00</w:t>
            </w:r>
          </w:p>
        </w:tc>
        <w:tc>
          <w:tcPr>
            <w:tcW w:w="2551" w:type="dxa"/>
            <w:vAlign w:val="center"/>
          </w:tcPr>
          <w:p>
            <w:pPr>
              <w:pStyle w:val="14"/>
            </w:pPr>
            <w:r>
              <w:t>36.00</w:t>
            </w:r>
          </w:p>
        </w:tc>
        <w:tc>
          <w:tcPr>
            <w:tcW w:w="3543" w:type="dxa"/>
            <w:gridSpan w:val="2"/>
            <w:vAlign w:val="center"/>
          </w:tcPr>
          <w:p>
            <w:pPr>
              <w:pStyle w:val="14"/>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1.保障市场监管工作顺利开展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基层所能力提升数量</w:t>
            </w:r>
          </w:p>
        </w:tc>
        <w:tc>
          <w:tcPr>
            <w:tcW w:w="5386" w:type="dxa"/>
            <w:vAlign w:val="center"/>
          </w:tcPr>
          <w:p>
            <w:pPr>
              <w:pStyle w:val="13"/>
            </w:pPr>
            <w:r>
              <w:t>基层所能力提升数量</w:t>
            </w:r>
          </w:p>
        </w:tc>
        <w:tc>
          <w:tcPr>
            <w:tcW w:w="2268" w:type="dxa"/>
            <w:vAlign w:val="center"/>
          </w:tcPr>
          <w:p>
            <w:pPr>
              <w:pStyle w:val="13"/>
            </w:pPr>
            <w:r>
              <w:t>2个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市场专项整治行动次数</w:t>
            </w:r>
          </w:p>
        </w:tc>
        <w:tc>
          <w:tcPr>
            <w:tcW w:w="5386" w:type="dxa"/>
            <w:vAlign w:val="center"/>
          </w:tcPr>
          <w:p>
            <w:pPr>
              <w:pStyle w:val="13"/>
            </w:pPr>
            <w:r>
              <w:t>市场专项整治行动次数</w:t>
            </w:r>
          </w:p>
        </w:tc>
        <w:tc>
          <w:tcPr>
            <w:tcW w:w="2268" w:type="dxa"/>
            <w:vAlign w:val="center"/>
          </w:tcPr>
          <w:p>
            <w:pPr>
              <w:pStyle w:val="13"/>
            </w:pPr>
            <w:r>
              <w:t>≥5次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市场专项整治行动计划完成率</w:t>
            </w:r>
          </w:p>
        </w:tc>
        <w:tc>
          <w:tcPr>
            <w:tcW w:w="5386" w:type="dxa"/>
            <w:vAlign w:val="center"/>
          </w:tcPr>
          <w:p>
            <w:pPr>
              <w:pStyle w:val="13"/>
            </w:pPr>
            <w:r>
              <w:t>市场专项整治行动计划完成率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特种设备定检完成率</w:t>
            </w:r>
          </w:p>
        </w:tc>
        <w:tc>
          <w:tcPr>
            <w:tcW w:w="5386" w:type="dxa"/>
            <w:vAlign w:val="center"/>
          </w:tcPr>
          <w:p>
            <w:pPr>
              <w:pStyle w:val="13"/>
            </w:pPr>
            <w:r>
              <w:t>特种设备定检完成率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购置执法交通工具时限</w:t>
            </w:r>
          </w:p>
        </w:tc>
        <w:tc>
          <w:tcPr>
            <w:tcW w:w="5386" w:type="dxa"/>
            <w:vAlign w:val="center"/>
          </w:tcPr>
          <w:p>
            <w:pPr>
              <w:pStyle w:val="13"/>
            </w:pPr>
            <w:r>
              <w:t>购置执法交通工具时限</w:t>
            </w:r>
          </w:p>
        </w:tc>
        <w:tc>
          <w:tcPr>
            <w:tcW w:w="2268" w:type="dxa"/>
            <w:vAlign w:val="center"/>
          </w:tcPr>
          <w:p>
            <w:pPr>
              <w:pStyle w:val="13"/>
            </w:pPr>
            <w:r>
              <w:t>按计划要求时间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购置车辆执法交通工具成本</w:t>
            </w:r>
          </w:p>
        </w:tc>
        <w:tc>
          <w:tcPr>
            <w:tcW w:w="5386" w:type="dxa"/>
            <w:vAlign w:val="center"/>
          </w:tcPr>
          <w:p>
            <w:pPr>
              <w:pStyle w:val="13"/>
            </w:pPr>
            <w:r>
              <w:t>购置车辆执法交通工具成本</w:t>
            </w:r>
          </w:p>
        </w:tc>
        <w:tc>
          <w:tcPr>
            <w:tcW w:w="2268" w:type="dxa"/>
            <w:vAlign w:val="center"/>
          </w:tcPr>
          <w:p>
            <w:pPr>
              <w:pStyle w:val="13"/>
            </w:pPr>
            <w:r>
              <w:t>≤10万元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万种特种设备死亡率</w:t>
            </w:r>
          </w:p>
        </w:tc>
        <w:tc>
          <w:tcPr>
            <w:tcW w:w="5386" w:type="dxa"/>
            <w:vAlign w:val="center"/>
          </w:tcPr>
          <w:p>
            <w:pPr>
              <w:pStyle w:val="13"/>
            </w:pPr>
            <w:r>
              <w:t>万种特种设备死亡率</w:t>
            </w:r>
          </w:p>
        </w:tc>
        <w:tc>
          <w:tcPr>
            <w:tcW w:w="2268" w:type="dxa"/>
            <w:vAlign w:val="center"/>
          </w:tcPr>
          <w:p>
            <w:pPr>
              <w:pStyle w:val="13"/>
            </w:pPr>
            <w:r>
              <w:t>＜0.36%</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&lt;1次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社会反馈意见及市场监管工作满意度</w:t>
            </w:r>
          </w:p>
        </w:tc>
        <w:tc>
          <w:tcPr>
            <w:tcW w:w="2268" w:type="dxa"/>
            <w:vAlign w:val="center"/>
          </w:tcPr>
          <w:p>
            <w:pPr>
              <w:pStyle w:val="13"/>
            </w:pPr>
            <w:r>
              <w:t>≥85%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6、食药品监督管理经费*绩效目标表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13058224P002U9810005C</w:t>
            </w:r>
          </w:p>
        </w:tc>
        <w:tc>
          <w:tcPr>
            <w:tcW w:w="2835" w:type="dxa"/>
            <w:vAlign w:val="center"/>
          </w:tcPr>
          <w:p>
            <w:pPr>
              <w:pStyle w:val="11"/>
            </w:pPr>
            <w:r>
              <w:t>项目名称</w:t>
            </w:r>
          </w:p>
        </w:tc>
        <w:tc>
          <w:tcPr>
            <w:tcW w:w="6094" w:type="dxa"/>
            <w:gridSpan w:val="3"/>
            <w:vAlign w:val="center"/>
          </w:tcPr>
          <w:p>
            <w:pPr>
              <w:pStyle w:val="13"/>
            </w:pPr>
            <w:r>
              <w:t>食药品监督管理经费*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食品药品监管工作中的办公费、印刷费、抽验耗材、快检试剂等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1.保障日常执法监管工作顺利开展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开展专项监督检查的次数</w:t>
            </w:r>
          </w:p>
        </w:tc>
        <w:tc>
          <w:tcPr>
            <w:tcW w:w="2268" w:type="dxa"/>
            <w:vAlign w:val="center"/>
          </w:tcPr>
          <w:p>
            <w:pPr>
              <w:pStyle w:val="13"/>
            </w:pPr>
            <w:r>
              <w:t>≥5次</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开展执法行动总布置行动数比率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该项目完成时间</w:t>
            </w:r>
          </w:p>
        </w:tc>
        <w:tc>
          <w:tcPr>
            <w:tcW w:w="2268" w:type="dxa"/>
            <w:vAlign w:val="center"/>
          </w:tcPr>
          <w:p>
            <w:pPr>
              <w:pStyle w:val="13"/>
            </w:pPr>
            <w:r>
              <w:t>年底完成</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该项目所需资金</w:t>
            </w:r>
          </w:p>
        </w:tc>
        <w:tc>
          <w:tcPr>
            <w:tcW w:w="2268" w:type="dxa"/>
            <w:vAlign w:val="center"/>
          </w:tcPr>
          <w:p>
            <w:pPr>
              <w:pStyle w:val="13"/>
            </w:pPr>
            <w:r>
              <w:t>20万元</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立案查处率</w:t>
            </w:r>
          </w:p>
        </w:tc>
        <w:tc>
          <w:tcPr>
            <w:tcW w:w="5386" w:type="dxa"/>
            <w:vAlign w:val="center"/>
          </w:tcPr>
          <w:p>
            <w:pPr>
              <w:pStyle w:val="13"/>
            </w:pPr>
            <w:r>
              <w:t>立案查处的问题数量占发现问题数量的比率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违法企业查处率</w:t>
            </w:r>
          </w:p>
        </w:tc>
        <w:tc>
          <w:tcPr>
            <w:tcW w:w="5386" w:type="dxa"/>
            <w:vAlign w:val="center"/>
          </w:tcPr>
          <w:p>
            <w:pPr>
              <w:pStyle w:val="13"/>
            </w:pPr>
            <w:r>
              <w:t>处理违法企业数量占查办违法企业数量的比率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重大事故发生次数</w:t>
            </w:r>
          </w:p>
        </w:tc>
        <w:tc>
          <w:tcPr>
            <w:tcW w:w="5386" w:type="dxa"/>
            <w:vAlign w:val="center"/>
          </w:tcPr>
          <w:p>
            <w:pPr>
              <w:pStyle w:val="13"/>
            </w:pPr>
            <w:r>
              <w:t>质量安全、食药安全等重大安全事故发生次数</w:t>
            </w:r>
          </w:p>
        </w:tc>
        <w:tc>
          <w:tcPr>
            <w:tcW w:w="2268" w:type="dxa"/>
            <w:vAlign w:val="center"/>
          </w:tcPr>
          <w:p>
            <w:pPr>
              <w:pStyle w:val="13"/>
            </w:pPr>
            <w:r>
              <w:t>0次</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社会反馈意见及市场监管工作满意度</w:t>
            </w:r>
          </w:p>
        </w:tc>
        <w:tc>
          <w:tcPr>
            <w:tcW w:w="2268" w:type="dxa"/>
            <w:vAlign w:val="center"/>
          </w:tcPr>
          <w:p>
            <w:pPr>
              <w:pStyle w:val="13"/>
            </w:pPr>
            <w:r>
              <w:t>≥85%</w:t>
            </w:r>
          </w:p>
        </w:tc>
        <w:tc>
          <w:tcPr>
            <w:tcW w:w="1276" w:type="dxa"/>
            <w:vAlign w:val="center"/>
          </w:tcPr>
          <w:p>
            <w:pPr>
              <w:pStyle w:val="13"/>
            </w:pPr>
            <w:r>
              <w:t>单位工作计划</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7、市场监督管理经费*绩效目标表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13058224P000031100028</w:t>
            </w:r>
          </w:p>
        </w:tc>
        <w:tc>
          <w:tcPr>
            <w:tcW w:w="2835" w:type="dxa"/>
            <w:vAlign w:val="center"/>
          </w:tcPr>
          <w:p>
            <w:pPr>
              <w:pStyle w:val="11"/>
            </w:pPr>
            <w:r>
              <w:t>项目名称</w:t>
            </w:r>
          </w:p>
        </w:tc>
        <w:tc>
          <w:tcPr>
            <w:tcW w:w="6094" w:type="dxa"/>
            <w:gridSpan w:val="3"/>
            <w:vAlign w:val="center"/>
          </w:tcPr>
          <w:p>
            <w:pPr>
              <w:pStyle w:val="13"/>
            </w:pPr>
            <w:r>
              <w:t>市场监督管理经费*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日常执法耗材、执法装备购置、办公费、印刷费、检验样品耗材等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45.00</w:t>
            </w:r>
          </w:p>
        </w:tc>
        <w:tc>
          <w:tcPr>
            <w:tcW w:w="2835" w:type="dxa"/>
            <w:vAlign w:val="center"/>
          </w:tcPr>
          <w:p>
            <w:pPr>
              <w:pStyle w:val="14"/>
            </w:pPr>
            <w:r>
              <w:t>90.00</w:t>
            </w:r>
          </w:p>
        </w:tc>
        <w:tc>
          <w:tcPr>
            <w:tcW w:w="2551" w:type="dxa"/>
            <w:vAlign w:val="center"/>
          </w:tcPr>
          <w:p>
            <w:pPr>
              <w:pStyle w:val="14"/>
            </w:pPr>
            <w:r>
              <w:t>135.00</w:t>
            </w:r>
          </w:p>
        </w:tc>
        <w:tc>
          <w:tcPr>
            <w:tcW w:w="3543" w:type="dxa"/>
            <w:gridSpan w:val="2"/>
            <w:vAlign w:val="center"/>
          </w:tcPr>
          <w:p>
            <w:pPr>
              <w:pStyle w:val="14"/>
            </w:pPr>
            <w:r>
              <w:t>180.00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1.保障日常市场监督管理工作顺利开展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开展专项监督检查的次数</w:t>
            </w:r>
          </w:p>
        </w:tc>
        <w:tc>
          <w:tcPr>
            <w:tcW w:w="2268" w:type="dxa"/>
            <w:vAlign w:val="center"/>
          </w:tcPr>
          <w:p>
            <w:pPr>
              <w:pStyle w:val="13"/>
            </w:pPr>
            <w:r>
              <w:t>≥5次</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开展执法行动总布置行动数比率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该项目完成时间</w:t>
            </w:r>
          </w:p>
        </w:tc>
        <w:tc>
          <w:tcPr>
            <w:tcW w:w="2268" w:type="dxa"/>
            <w:vAlign w:val="center"/>
          </w:tcPr>
          <w:p>
            <w:pPr>
              <w:pStyle w:val="13"/>
            </w:pPr>
            <w:r>
              <w:t>年底完成</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该项目所需资金</w:t>
            </w:r>
          </w:p>
        </w:tc>
        <w:tc>
          <w:tcPr>
            <w:tcW w:w="2268" w:type="dxa"/>
            <w:vAlign w:val="center"/>
          </w:tcPr>
          <w:p>
            <w:pPr>
              <w:pStyle w:val="13"/>
            </w:pPr>
            <w:r>
              <w:t>180万元</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立案查处率</w:t>
            </w:r>
          </w:p>
        </w:tc>
        <w:tc>
          <w:tcPr>
            <w:tcW w:w="5386" w:type="dxa"/>
            <w:vAlign w:val="center"/>
          </w:tcPr>
          <w:p>
            <w:pPr>
              <w:pStyle w:val="13"/>
            </w:pPr>
            <w:r>
              <w:t>立案查处的问题数量占发现问题数量的比率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违法企业查处率</w:t>
            </w:r>
          </w:p>
        </w:tc>
        <w:tc>
          <w:tcPr>
            <w:tcW w:w="5386" w:type="dxa"/>
            <w:vAlign w:val="center"/>
          </w:tcPr>
          <w:p>
            <w:pPr>
              <w:pStyle w:val="13"/>
            </w:pPr>
            <w:r>
              <w:t>处理违法企业数量占查办违法企业数量的比率</w:t>
            </w:r>
          </w:p>
        </w:tc>
        <w:tc>
          <w:tcPr>
            <w:tcW w:w="2268" w:type="dxa"/>
            <w:vAlign w:val="center"/>
          </w:tcPr>
          <w:p>
            <w:pPr>
              <w:pStyle w:val="13"/>
            </w:pPr>
            <w:r>
              <w:t>≥90%</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重大事故发生次数</w:t>
            </w:r>
          </w:p>
        </w:tc>
        <w:tc>
          <w:tcPr>
            <w:tcW w:w="5386" w:type="dxa"/>
            <w:vAlign w:val="center"/>
          </w:tcPr>
          <w:p>
            <w:pPr>
              <w:pStyle w:val="13"/>
            </w:pPr>
            <w:r>
              <w:t>质量安全、食药安全等重大安全事故发生次数</w:t>
            </w:r>
          </w:p>
        </w:tc>
        <w:tc>
          <w:tcPr>
            <w:tcW w:w="2268" w:type="dxa"/>
            <w:vAlign w:val="center"/>
          </w:tcPr>
          <w:p>
            <w:pPr>
              <w:pStyle w:val="13"/>
            </w:pPr>
            <w:r>
              <w:t>&lt;0次</w:t>
            </w:r>
          </w:p>
        </w:tc>
        <w:tc>
          <w:tcPr>
            <w:tcW w:w="1276" w:type="dxa"/>
            <w:vAlign w:val="center"/>
          </w:tcPr>
          <w:p>
            <w:pPr>
              <w:pStyle w:val="13"/>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社会反馈意见及市场监管工作满意度</w:t>
            </w:r>
          </w:p>
        </w:tc>
        <w:tc>
          <w:tcPr>
            <w:tcW w:w="2268" w:type="dxa"/>
            <w:vAlign w:val="center"/>
          </w:tcPr>
          <w:p>
            <w:pPr>
              <w:pStyle w:val="13"/>
            </w:pPr>
            <w:r>
              <w:t>≥85%</w:t>
            </w:r>
          </w:p>
        </w:tc>
        <w:tc>
          <w:tcPr>
            <w:tcW w:w="1276" w:type="dxa"/>
            <w:vAlign w:val="center"/>
          </w:tcPr>
          <w:p>
            <w:pPr>
              <w:pStyle w:val="13"/>
            </w:pPr>
            <w:r>
              <w:t>单位工作计划</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194沙河市市场监督管理局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w:t>
            </w:r>
            <w:r>
              <w:rPr>
                <w:rFonts w:hint="eastAsia"/>
                <w:lang w:eastAsia="zh-CN"/>
              </w:rPr>
              <w:t>部门预算</w:t>
            </w:r>
            <w:r>
              <w:t>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沙河市市场监督管理局（含所属单位）上年末固定资产金额为2725.59万元（详见下表）。本年度拟购置固定资产总额为50.00万元，已按要求列入政府采购预算，详见政府采购预算表。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194沙河市市场监督管理局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2725.59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15588.22</w:t>
            </w:r>
          </w:p>
        </w:tc>
        <w:tc>
          <w:tcPr>
            <w:tcW w:w="2835" w:type="dxa"/>
            <w:vAlign w:val="center"/>
          </w:tcPr>
          <w:p>
            <w:pPr>
              <w:pStyle w:val="12"/>
            </w:pPr>
            <w:r>
              <w:t>1276.01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5055</w:t>
            </w:r>
          </w:p>
        </w:tc>
        <w:tc>
          <w:tcPr>
            <w:tcW w:w="2835" w:type="dxa"/>
            <w:vAlign w:val="center"/>
          </w:tcPr>
          <w:p>
            <w:pPr>
              <w:pStyle w:val="12"/>
            </w:pPr>
            <w:r>
              <w:t>413.79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32</w:t>
            </w:r>
          </w:p>
        </w:tc>
        <w:tc>
          <w:tcPr>
            <w:tcW w:w="2835" w:type="dxa"/>
            <w:vAlign w:val="center"/>
          </w:tcPr>
          <w:p>
            <w:pPr>
              <w:pStyle w:val="12"/>
            </w:pPr>
            <w:r>
              <w:t>37.86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169.07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2349</w:t>
            </w:r>
          </w:p>
        </w:tc>
        <w:tc>
          <w:tcPr>
            <w:tcW w:w="2835" w:type="dxa"/>
            <w:vAlign w:val="center"/>
          </w:tcPr>
          <w:p>
            <w:pPr>
              <w:pStyle w:val="12"/>
            </w:pPr>
            <w:r>
              <w:t>1242.65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部门预算</w:t>
      </w:r>
      <w:r>
        <w:rPr>
          <w:rFonts w:ascii="Times New Roman" w:hAnsi="Times New Roman" w:eastAsia="方正仿宋_GBK" w:cs="Times New Roman"/>
          <w:b/>
          <w:color w:val="000000"/>
          <w:sz w:val="28"/>
        </w:rPr>
        <w:t>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部门预算</w:t>
      </w:r>
      <w:r>
        <w:rPr>
          <w:rFonts w:ascii="Times New Roman" w:hAnsi="Times New Roman" w:eastAsia="方正仿宋_GBK" w:cs="Times New Roman"/>
          <w:b w:val="0"/>
          <w:color w:val="000000"/>
          <w:sz w:val="28"/>
        </w:rPr>
        <w:t>中的基本支出；运转类项目中的其他运转类项目支出和特定目标类项目支出对应</w:t>
      </w:r>
      <w:r>
        <w:rPr>
          <w:rFonts w:hint="eastAsia" w:eastAsia="方正仿宋_GBK" w:cs="Times New Roman"/>
          <w:b w:val="0"/>
          <w:color w:val="000000"/>
          <w:sz w:val="28"/>
          <w:lang w:eastAsia="zh-CN"/>
        </w:rPr>
        <w:t>部门预算</w:t>
      </w:r>
      <w:r>
        <w:rPr>
          <w:rFonts w:ascii="Times New Roman" w:hAnsi="Times New Roman" w:eastAsia="方正仿宋_GBK" w:cs="Times New Roman"/>
          <w:b w:val="0"/>
          <w:color w:val="000000"/>
          <w:sz w:val="28"/>
        </w:rPr>
        <w:t>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WE5ZDkzMTNkOTc2YzljZDk4YmE5MzEwM2RmZmIifQ=="/>
  </w:docVars>
  <w:rsids>
    <w:rsidRoot w:val="00000000"/>
    <w:rsid w:val="00172E78"/>
    <w:rsid w:val="015508B7"/>
    <w:rsid w:val="061E4834"/>
    <w:rsid w:val="0B0B0826"/>
    <w:rsid w:val="0F2904D1"/>
    <w:rsid w:val="17805AE8"/>
    <w:rsid w:val="1B065B6B"/>
    <w:rsid w:val="1E8A5BAE"/>
    <w:rsid w:val="1F765677"/>
    <w:rsid w:val="23AB3B90"/>
    <w:rsid w:val="2F8F3F29"/>
    <w:rsid w:val="311961A0"/>
    <w:rsid w:val="341B3C34"/>
    <w:rsid w:val="363D46DF"/>
    <w:rsid w:val="38C20ECB"/>
    <w:rsid w:val="3CC86CCC"/>
    <w:rsid w:val="463A4797"/>
    <w:rsid w:val="46457848"/>
    <w:rsid w:val="4DCB6E2D"/>
    <w:rsid w:val="57DD1426"/>
    <w:rsid w:val="60805044"/>
    <w:rsid w:val="6BC031F5"/>
    <w:rsid w:val="6D5B2C88"/>
    <w:rsid w:val="77A92C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2024-02-06T17:28:28Z</dcterms:created>
  <dcterms:modified xsi:type="dcterms:W3CDTF">2024-02-06T09:28:28Z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2024-02-06T17:28:33Z</dcterms:created>
  <dcterms:modified xsi:type="dcterms:W3CDTF">2024-02-06T09:28:33Z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2024-02-06T17:28:32Z</dcterms:created>
  <dcterms:modified xsi:type="dcterms:W3CDTF">2024-02-06T09:28:32Z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2024-02-06T17:28:32Z</dcterms:created>
  <dcterms:modified xsi:type="dcterms:W3CDTF">2024-02-06T09:28:32Z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2024-02-06T17:28:31Z</dcterms:created>
  <dcterms:modified xsi:type="dcterms:W3CDTF">2024-02-06T09:28:31Z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2024-02-06T17:28:31Z</dcterms:created>
  <dcterms:modified xsi:type="dcterms:W3CDTF">2024-02-06T09:28:31Z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2024-02-06T17:28:30Z</dcterms:created>
  <dcterms:modified xsi:type="dcterms:W3CDTF">2024-02-06T09:28:30Z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2024-02-06T17:28:30Z</dcterms:created>
  <dcterms:modified xsi:type="dcterms:W3CDTF">2024-02-06T09:28:30Z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2024-02-06T17:28:30Z</dcterms:created>
  <dcterms:modified xsi:type="dcterms:W3CDTF">2024-02-06T09:28:30Z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2024-02-06T17:28:29Z</dcterms:created>
  <dcterms:modified xsi:type="dcterms:W3CDTF">2024-02-06T09:28:29Z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2024-02-06T17:28:29Z</dcterms:created>
  <dcterms:modified xsi:type="dcterms:W3CDTF">2024-02-06T09:28:29Z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07acbf8-ec7c-4647-aee1-f0fddf27a26b}">
  <ds:schemaRefs/>
</ds:datastoreItem>
</file>

<file path=customXml/itemProps10.xml><?xml version="1.0" encoding="utf-8"?>
<ds:datastoreItem xmlns:ds="http://schemas.openxmlformats.org/officeDocument/2006/customXml" ds:itemID="{ad6cd819-9749-4871-8b97-7a151d897b66}">
  <ds:schemaRefs/>
</ds:datastoreItem>
</file>

<file path=customXml/itemProps11.xml><?xml version="1.0" encoding="utf-8"?>
<ds:datastoreItem xmlns:ds="http://schemas.openxmlformats.org/officeDocument/2006/customXml" ds:itemID="{b7de37d7-1c49-447e-83ac-29b539ae6017}">
  <ds:schemaRefs/>
</ds:datastoreItem>
</file>

<file path=customXml/itemProps12.xml><?xml version="1.0" encoding="utf-8"?>
<ds:datastoreItem xmlns:ds="http://schemas.openxmlformats.org/officeDocument/2006/customXml" ds:itemID="{0e3d1967-e940-4aa0-bcc7-96b7e116fb46}">
  <ds:schemaRefs/>
</ds:datastoreItem>
</file>

<file path=customXml/itemProps13.xml><?xml version="1.0" encoding="utf-8"?>
<ds:datastoreItem xmlns:ds="http://schemas.openxmlformats.org/officeDocument/2006/customXml" ds:itemID="{bc7a40e5-5896-4f5b-9855-ccdf76a478ac}">
  <ds:schemaRefs/>
</ds:datastoreItem>
</file>

<file path=customXml/itemProps14.xml><?xml version="1.0" encoding="utf-8"?>
<ds:datastoreItem xmlns:ds="http://schemas.openxmlformats.org/officeDocument/2006/customXml" ds:itemID="{a9d6382e-73f9-4d79-9302-2ef280b94548}">
  <ds:schemaRefs/>
</ds:datastoreItem>
</file>

<file path=customXml/itemProps15.xml><?xml version="1.0" encoding="utf-8"?>
<ds:datastoreItem xmlns:ds="http://schemas.openxmlformats.org/officeDocument/2006/customXml" ds:itemID="{c5a2204c-a701-46e6-909a-36be48eb100e}">
  <ds:schemaRefs/>
</ds:datastoreItem>
</file>

<file path=customXml/itemProps16.xml><?xml version="1.0" encoding="utf-8"?>
<ds:datastoreItem xmlns:ds="http://schemas.openxmlformats.org/officeDocument/2006/customXml" ds:itemID="{c1be0dc4-9355-46f5-a6c2-45ce2576c7ef}">
  <ds:schemaRefs/>
</ds:datastoreItem>
</file>

<file path=customXml/itemProps17.xml><?xml version="1.0" encoding="utf-8"?>
<ds:datastoreItem xmlns:ds="http://schemas.openxmlformats.org/officeDocument/2006/customXml" ds:itemID="{ba57d40b-acd2-4e08-bb86-598fb2cb5221}">
  <ds:schemaRefs/>
</ds:datastoreItem>
</file>

<file path=customXml/itemProps18.xml><?xml version="1.0" encoding="utf-8"?>
<ds:datastoreItem xmlns:ds="http://schemas.openxmlformats.org/officeDocument/2006/customXml" ds:itemID="{96c28b3e-1d91-4052-b0bb-0250a1f26025}">
  <ds:schemaRefs/>
</ds:datastoreItem>
</file>

<file path=customXml/itemProps19.xml><?xml version="1.0" encoding="utf-8"?>
<ds:datastoreItem xmlns:ds="http://schemas.openxmlformats.org/officeDocument/2006/customXml" ds:itemID="{94682814-70e1-4b3f-98f1-5c3527f03a97}">
  <ds:schemaRefs/>
</ds:datastoreItem>
</file>

<file path=customXml/itemProps2.xml><?xml version="1.0" encoding="utf-8"?>
<ds:datastoreItem xmlns:ds="http://schemas.openxmlformats.org/officeDocument/2006/customXml" ds:itemID="{c4723aa2-361c-48df-878b-d7ac4eb91dbb}">
  <ds:schemaRefs/>
</ds:datastoreItem>
</file>

<file path=customXml/itemProps20.xml><?xml version="1.0" encoding="utf-8"?>
<ds:datastoreItem xmlns:ds="http://schemas.openxmlformats.org/officeDocument/2006/customXml" ds:itemID="{99740397-4915-4937-95f0-838614992d2f}">
  <ds:schemaRefs/>
</ds:datastoreItem>
</file>

<file path=customXml/itemProps21.xml><?xml version="1.0" encoding="utf-8"?>
<ds:datastoreItem xmlns:ds="http://schemas.openxmlformats.org/officeDocument/2006/customXml" ds:itemID="{f35a6b56-459d-43a5-aff5-47105b2643f9}">
  <ds:schemaRefs/>
</ds:datastoreItem>
</file>

<file path=customXml/itemProps22.xml><?xml version="1.0" encoding="utf-8"?>
<ds:datastoreItem xmlns:ds="http://schemas.openxmlformats.org/officeDocument/2006/customXml" ds:itemID="{61269d19-aabd-42d2-a09e-7e0588ccc6fc}">
  <ds:schemaRefs/>
</ds:datastoreItem>
</file>

<file path=customXml/itemProps3.xml><?xml version="1.0" encoding="utf-8"?>
<ds:datastoreItem xmlns:ds="http://schemas.openxmlformats.org/officeDocument/2006/customXml" ds:itemID="{70b5a7a8-3175-4491-9649-eee5cfe54af5}">
  <ds:schemaRefs/>
</ds:datastoreItem>
</file>

<file path=customXml/itemProps4.xml><?xml version="1.0" encoding="utf-8"?>
<ds:datastoreItem xmlns:ds="http://schemas.openxmlformats.org/officeDocument/2006/customXml" ds:itemID="{43051bed-0f73-4b8c-a263-649b99a8b96c}">
  <ds:schemaRefs/>
</ds:datastoreItem>
</file>

<file path=customXml/itemProps5.xml><?xml version="1.0" encoding="utf-8"?>
<ds:datastoreItem xmlns:ds="http://schemas.openxmlformats.org/officeDocument/2006/customXml" ds:itemID="{7220f140-e33c-486a-91a8-462dd439a7e3}">
  <ds:schemaRefs/>
</ds:datastoreItem>
</file>

<file path=customXml/itemProps6.xml><?xml version="1.0" encoding="utf-8"?>
<ds:datastoreItem xmlns:ds="http://schemas.openxmlformats.org/officeDocument/2006/customXml" ds:itemID="{3c7cc675-f363-4a0c-8e77-972d5c014f19}">
  <ds:schemaRefs/>
</ds:datastoreItem>
</file>

<file path=customXml/itemProps7.xml><?xml version="1.0" encoding="utf-8"?>
<ds:datastoreItem xmlns:ds="http://schemas.openxmlformats.org/officeDocument/2006/customXml" ds:itemID="{b8af69ce-2b0f-4606-8e5e-948c9c6aba81}">
  <ds:schemaRefs/>
</ds:datastoreItem>
</file>

<file path=customXml/itemProps8.xml><?xml version="1.0" encoding="utf-8"?>
<ds:datastoreItem xmlns:ds="http://schemas.openxmlformats.org/officeDocument/2006/customXml" ds:itemID="{471af53b-f0ba-405d-8d7b-e2eaa813d4e8}">
  <ds:schemaRefs/>
</ds:datastoreItem>
</file>

<file path=customXml/itemProps9.xml><?xml version="1.0" encoding="utf-8"?>
<ds:datastoreItem xmlns:ds="http://schemas.openxmlformats.org/officeDocument/2006/customXml" ds:itemID="{86c1f479-024b-44f5-a198-566a9c08b5b2}">
  <ds:schemaRefs/>
</ds:datastoreItem>
</file>

<file path=docProps/app.xml><?xml version="1.0" encoding="utf-8"?>
<Properties xmlns="http://schemas.openxmlformats.org/officeDocument/2006/extended-properties" xmlns:vt="http://schemas.openxmlformats.org/officeDocument/2006/docPropsVTypes">
  <Pages>49</Pages>
  <Words>13602</Words>
  <Characters>15752</Characters>
  <TotalTime>37</TotalTime>
  <ScaleCrop>false</ScaleCrop>
  <LinksUpToDate>false</LinksUpToDate>
  <CharactersWithSpaces>16002</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2024-02-06T17:28:00Z</dcterms:created>
  <dc:creator>Administrator</dc:creator>
  <cp:lastModifiedBy>路</cp:lastModifiedBy>
  <dcterms:modified xsi:type="dcterms:W3CDTF">2024-03-19T01:34:11Z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E2D265A5220F431997FCF5AD46AF9DA4</vt:lpwstr>
  </property>
</Properties>
</file>