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w:t>
      </w:r>
      <w:r>
        <w:rPr>
          <w:rFonts w:hint="eastAsia" w:ascii="黑体" w:hAnsi="黑体" w:eastAsia="黑体" w:cs="黑体"/>
          <w:b/>
          <w:color w:val="auto"/>
          <w:sz w:val="44"/>
          <w:lang w:val="en-US" w:eastAsia="zh-CN"/>
        </w:rPr>
        <w:t>1</w:t>
      </w:r>
      <w:r>
        <w:rPr>
          <w:rFonts w:ascii="黑体" w:hAnsi="黑体" w:eastAsia="黑体" w:cs="黑体"/>
          <w:b/>
          <w:color w:val="auto"/>
          <w:sz w:val="44"/>
        </w:rPr>
        <w:t>年部门预算信息公开目录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spacing w:before="0" w:after="0" w:line="240" w:lineRule="auto"/>
        <w:ind w:firstLine="0"/>
        <w:jc w:val="center"/>
        <w:outlineLvl w:val="9"/>
        <w:rPr>
          <w:color w:val="auto"/>
        </w:rPr>
      </w:pPr>
      <w:r>
        <w:rPr>
          <w:rFonts w:ascii="黑体" w:hAnsi="黑体" w:eastAsia="黑体" w:cs="黑体"/>
          <w:b/>
          <w:color w:val="auto"/>
          <w:sz w:val="30"/>
        </w:rPr>
        <w:t>第一部分  部门预算</w:t>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部门预算公开表</w:t>
      </w:r>
    </w:p>
    <w:p>
      <w:pPr>
        <w:pStyle w:val="5"/>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4</w:t>
      </w:r>
      <w:r>
        <w:rPr>
          <w:color w:val="auto"/>
        </w:rPr>
        <w:fldChar w:fldCharType="end"/>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rFonts w:hint="eastAsia"/>
          <w:color w:val="auto"/>
          <w:lang w:val="en-US" w:eastAsia="zh-CN"/>
        </w:rPr>
        <w:t>7</w:t>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rFonts w:hint="eastAsia"/>
          <w:color w:val="auto"/>
          <w:lang w:val="en-US" w:eastAsia="zh-CN"/>
        </w:rPr>
        <w:t>9</w:t>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end"/>
      </w:r>
      <w:r>
        <w:rPr>
          <w:rFonts w:hint="eastAsia"/>
          <w:color w:val="auto"/>
          <w:lang w:val="en-US" w:eastAsia="zh-CN"/>
        </w:rPr>
        <w:t>20</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pPr>
        <w:rPr>
          <w:color w:val="auto"/>
        </w:rPr>
      </w:pPr>
      <w:r>
        <w:rPr>
          <w:color w:val="auto"/>
        </w:rPr>
        <w:fldChar w:fldCharType="end"/>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部门预算信息公开情况说明</w:t>
      </w:r>
    </w:p>
    <w:p>
      <w:pPr>
        <w:pStyle w:val="5"/>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26</w:t>
      </w:r>
      <w:r>
        <w:rPr>
          <w:color w:val="auto"/>
        </w:rPr>
        <w:fldChar w:fldCharType="end"/>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30</w:t>
      </w:r>
      <w:r>
        <w:rPr>
          <w:color w:val="auto"/>
        </w:rPr>
        <w:fldChar w:fldCharType="end"/>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31</w:t>
      </w:r>
      <w:r>
        <w:rPr>
          <w:color w:val="auto"/>
        </w:rPr>
        <w:fldChar w:fldCharType="end"/>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31</w:t>
      </w:r>
      <w:r>
        <w:rPr>
          <w:color w:val="auto"/>
        </w:rPr>
        <w:fldChar w:fldCharType="end"/>
      </w:r>
      <w:r>
        <w:rPr>
          <w:color w:val="auto"/>
        </w:rPr>
        <w:fldChar w:fldCharType="end"/>
      </w:r>
    </w:p>
    <w:p>
      <w:pPr>
        <w:pStyle w:val="5"/>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31</w:t>
      </w:r>
      <w:r>
        <w:rPr>
          <w:color w:val="auto"/>
        </w:rPr>
        <w:fldChar w:fldCharType="end"/>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rFonts w:hint="eastAsia"/>
          <w:color w:val="auto"/>
          <w:lang w:val="en-US" w:eastAsia="zh-CN"/>
        </w:rPr>
        <w:t>4</w:t>
      </w:r>
      <w:r>
        <w:rPr>
          <w:color w:val="auto"/>
        </w:rPr>
        <w:fldChar w:fldCharType="end"/>
      </w:r>
      <w:r>
        <w:rPr>
          <w:rFonts w:hint="eastAsia"/>
          <w:color w:val="auto"/>
          <w:lang w:val="en-US" w:eastAsia="zh-CN"/>
        </w:rPr>
        <w:t>9</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rFonts w:hint="eastAsia"/>
          <w:color w:val="auto"/>
          <w:lang w:val="en-US" w:eastAsia="zh-CN"/>
        </w:rPr>
        <w:t>4</w:t>
      </w:r>
      <w:r>
        <w:rPr>
          <w:color w:val="auto"/>
        </w:rPr>
        <w:fldChar w:fldCharType="end"/>
      </w:r>
      <w:r>
        <w:rPr>
          <w:rFonts w:hint="eastAsia"/>
          <w:color w:val="auto"/>
          <w:lang w:val="en-US" w:eastAsia="zh-CN"/>
        </w:rPr>
        <w:t>9</w:t>
      </w: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end"/>
      </w:r>
      <w:r>
        <w:rPr>
          <w:rFonts w:hint="eastAsia"/>
          <w:color w:val="auto"/>
          <w:lang w:val="en-US" w:eastAsia="zh-CN"/>
        </w:rPr>
        <w:t>50</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rFonts w:hint="eastAsia"/>
          <w:color w:val="auto"/>
          <w:lang w:val="en-US" w:eastAsia="zh-CN"/>
        </w:rPr>
        <w:t>5</w:t>
      </w:r>
      <w:r>
        <w:rPr>
          <w:color w:val="auto"/>
        </w:rPr>
        <w:fldChar w:fldCharType="end"/>
      </w:r>
      <w:r>
        <w:rPr>
          <w:rFonts w:hint="eastAsia"/>
          <w:color w:val="auto"/>
          <w:lang w:val="en-US" w:eastAsia="zh-CN"/>
        </w:rPr>
        <w:t>1</w:t>
      </w:r>
    </w:p>
    <w:p>
      <w:pPr>
        <w:rPr>
          <w:color w:val="auto"/>
        </w:rPr>
      </w:pPr>
      <w:r>
        <w:rPr>
          <w:color w:val="auto"/>
        </w:rPr>
        <w:fldChar w:fldCharType="end"/>
      </w:r>
    </w:p>
    <w:p>
      <w:pPr>
        <w:spacing w:before="0" w:after="0" w:line="240" w:lineRule="auto"/>
        <w:ind w:firstLine="0"/>
        <w:jc w:val="center"/>
        <w:outlineLvl w:val="9"/>
        <w:rPr>
          <w:color w:val="auto"/>
        </w:rPr>
      </w:pPr>
      <w:r>
        <w:rPr>
          <w:rFonts w:ascii="黑体" w:hAnsi="黑体" w:eastAsia="黑体" w:cs="黑体"/>
          <w:b/>
          <w:color w:val="auto"/>
          <w:sz w:val="30"/>
        </w:rPr>
        <w:t>第二部分  部门所属单位预算</w:t>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b w:val="0"/>
          <w:color w:val="auto"/>
        </w:rPr>
        <w:t>一、沙河市发展和改革局收支预算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53</w:t>
      </w:r>
      <w:r>
        <w:rPr>
          <w:color w:val="auto"/>
        </w:rPr>
        <w:fldChar w:fldCharType="end"/>
      </w:r>
      <w:r>
        <w:rPr>
          <w:color w:val="auto"/>
        </w:rPr>
        <w:fldChar w:fldCharType="end"/>
      </w: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b w:val="0"/>
          <w:color w:val="auto"/>
        </w:rPr>
        <w:t>二、沙河市</w:t>
      </w:r>
      <w:r>
        <w:rPr>
          <w:rFonts w:hint="eastAsia" w:ascii="方正书宋_GBK" w:eastAsia="方正书宋_GBK"/>
          <w:color w:val="auto"/>
        </w:rPr>
        <w:t>节能监察中心</w:t>
      </w:r>
      <w:r>
        <w:rPr>
          <w:b w:val="0"/>
          <w:color w:val="auto"/>
        </w:rPr>
        <w:t>收支预算</w:t>
      </w:r>
      <w:r>
        <w:rPr>
          <w:color w:val="auto"/>
        </w:rPr>
        <w:tab/>
      </w:r>
      <w:r>
        <w:rPr>
          <w:rFonts w:hint="eastAsia"/>
          <w:color w:val="auto"/>
          <w:lang w:val="en-US" w:eastAsia="zh-CN"/>
        </w:rPr>
        <w:t>9</w:t>
      </w:r>
      <w:r>
        <w:rPr>
          <w:color w:val="auto"/>
        </w:rPr>
        <w:fldChar w:fldCharType="end"/>
      </w:r>
      <w:r>
        <w:rPr>
          <w:rFonts w:hint="eastAsia"/>
          <w:color w:val="auto"/>
          <w:lang w:val="en-US" w:eastAsia="zh-CN"/>
        </w:rPr>
        <w:t>7</w:t>
      </w: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rFonts w:hint="eastAsia"/>
          <w:color w:val="auto"/>
          <w:lang w:eastAsia="zh-CN"/>
        </w:rPr>
        <w:t>三</w:t>
      </w:r>
      <w:r>
        <w:rPr>
          <w:b w:val="0"/>
          <w:color w:val="auto"/>
        </w:rPr>
        <w:t>、</w:t>
      </w:r>
      <w:r>
        <w:rPr>
          <w:rFonts w:hint="eastAsia" w:ascii="方正书宋_GBK" w:eastAsia="方正书宋_GBK"/>
          <w:color w:val="auto"/>
        </w:rPr>
        <w:t>沙河市经济信息中心</w:t>
      </w:r>
      <w:r>
        <w:rPr>
          <w:b w:val="0"/>
          <w:color w:val="auto"/>
        </w:rPr>
        <w:t>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19</w:t>
      </w:r>
    </w:p>
    <w:p>
      <w:pPr>
        <w:rPr>
          <w:rFonts w:hint="eastAsia"/>
          <w:color w:val="auto"/>
          <w:lang w:val="en-US" w:eastAsia="zh-CN"/>
        </w:rPr>
      </w:pP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rFonts w:hint="eastAsia"/>
          <w:color w:val="auto"/>
          <w:lang w:eastAsia="zh-CN"/>
        </w:rPr>
        <w:t>四</w:t>
      </w:r>
      <w:r>
        <w:rPr>
          <w:b w:val="0"/>
          <w:color w:val="auto"/>
        </w:rPr>
        <w:t>、沙河市</w:t>
      </w:r>
      <w:r>
        <w:rPr>
          <w:rFonts w:hint="eastAsia" w:ascii="方正书宋_GBK" w:eastAsia="方正书宋_GBK"/>
          <w:color w:val="auto"/>
        </w:rPr>
        <w:t>墙体材料革新办公室</w:t>
      </w:r>
      <w:r>
        <w:rPr>
          <w:b w:val="0"/>
          <w:color w:val="auto"/>
        </w:rPr>
        <w:t>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40</w:t>
      </w:r>
    </w:p>
    <w:p>
      <w:pPr>
        <w:rPr>
          <w:rFonts w:hint="eastAsia"/>
          <w:color w:val="auto"/>
          <w:lang w:val="en-US" w:eastAsia="zh-CN"/>
        </w:rPr>
      </w:pPr>
    </w:p>
    <w:p>
      <w:pPr>
        <w:pStyle w:val="5"/>
        <w:tabs>
          <w:tab w:val="right" w:leader="dot" w:pos="14562"/>
        </w:tabs>
        <w:rPr>
          <w:rFonts w:hint="default"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rFonts w:hint="eastAsia"/>
          <w:color w:val="auto"/>
          <w:lang w:eastAsia="zh-CN"/>
        </w:rPr>
        <w:t>五</w:t>
      </w:r>
      <w:r>
        <w:rPr>
          <w:b w:val="0"/>
          <w:color w:val="auto"/>
        </w:rPr>
        <w:t>、沙河市</w:t>
      </w:r>
      <w:r>
        <w:rPr>
          <w:rFonts w:hint="eastAsia" w:ascii="方正书宋_GBK" w:eastAsia="方正书宋_GBK"/>
          <w:color w:val="auto"/>
        </w:rPr>
        <w:t>散装水泥办公室</w:t>
      </w:r>
      <w:r>
        <w:rPr>
          <w:b w:val="0"/>
          <w:color w:val="auto"/>
        </w:rPr>
        <w:t>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62</w:t>
      </w:r>
    </w:p>
    <w:p>
      <w:pPr>
        <w:rPr>
          <w:rFonts w:hint="eastAsia"/>
          <w:color w:val="auto"/>
          <w:lang w:val="en-US" w:eastAsia="zh-CN"/>
        </w:rPr>
      </w:pPr>
    </w:p>
    <w:p>
      <w:pPr>
        <w:pStyle w:val="5"/>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rFonts w:hint="eastAsia"/>
          <w:color w:val="auto"/>
          <w:lang w:eastAsia="zh-CN"/>
        </w:rPr>
        <w:t>六</w:t>
      </w:r>
      <w:r>
        <w:rPr>
          <w:b w:val="0"/>
          <w:color w:val="auto"/>
        </w:rPr>
        <w:t>、沙河市价格认证中心收支预算</w:t>
      </w:r>
      <w:r>
        <w:rPr>
          <w:color w:val="auto"/>
        </w:rPr>
        <w:tab/>
      </w:r>
      <w:r>
        <w:rPr>
          <w:rFonts w:hint="eastAsia"/>
          <w:color w:val="auto"/>
          <w:lang w:val="en-US" w:eastAsia="zh-CN"/>
        </w:rPr>
        <w:t>18</w:t>
      </w:r>
      <w:r>
        <w:rPr>
          <w:color w:val="auto"/>
        </w:rPr>
        <w:fldChar w:fldCharType="end"/>
      </w:r>
      <w:r>
        <w:rPr>
          <w:rFonts w:hint="eastAsia"/>
          <w:color w:val="auto"/>
          <w:lang w:val="en-US" w:eastAsia="zh-CN"/>
        </w:rPr>
        <w:t>4</w:t>
      </w:r>
    </w:p>
    <w:p>
      <w:pPr>
        <w:pStyle w:val="2"/>
        <w:ind w:left="0" w:leftChars="0" w:firstLine="480" w:firstLineChars="200"/>
        <w:rPr>
          <w:rFonts w:hint="eastAsia"/>
          <w:color w:val="auto"/>
          <w:lang w:val="en-US" w:eastAsia="zh-CN"/>
        </w:rPr>
      </w:pPr>
    </w:p>
    <w:p>
      <w:pPr>
        <w:rPr>
          <w:color w:val="auto"/>
        </w:rPr>
      </w:pPr>
      <w:r>
        <w:rPr>
          <w:color w:val="auto"/>
        </w:rPr>
        <w:fldChar w:fldCharType="end"/>
      </w:r>
    </w:p>
    <w:p>
      <w:pPr>
        <w:rPr>
          <w:color w:val="auto"/>
        </w:r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0"/>
        <w:rPr>
          <w:color w:val="auto"/>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auto"/>
          <w:sz w:val="72"/>
        </w:rPr>
        <w:t>第一部分  部门预算</w:t>
      </w:r>
    </w:p>
    <w:p>
      <w:pPr>
        <w:spacing w:before="0" w:after="0" w:line="240" w:lineRule="auto"/>
        <w:ind w:firstLine="0"/>
        <w:jc w:val="center"/>
        <w:outlineLvl w:val="1"/>
        <w:rPr>
          <w:color w:val="auto"/>
        </w:rPr>
      </w:pPr>
      <w:bookmarkStart w:id="0" w:name="_Toc_2_2_0000000001"/>
      <w:r>
        <w:rPr>
          <w:rFonts w:ascii="方正小标宋_GBK" w:hAnsi="方正小标宋_GBK" w:eastAsia="方正小标宋_GBK" w:cs="方正小标宋_GBK"/>
          <w:color w:val="auto"/>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1143.59</w:t>
            </w:r>
          </w:p>
        </w:tc>
        <w:tc>
          <w:tcPr>
            <w:tcW w:w="4535" w:type="dxa"/>
            <w:vAlign w:val="center"/>
          </w:tcPr>
          <w:p>
            <w:pPr>
              <w:pStyle w:val="16"/>
              <w:rPr>
                <w:color w:val="auto"/>
              </w:rPr>
            </w:pPr>
            <w:r>
              <w:rPr>
                <w:color w:val="auto"/>
              </w:rPr>
              <w:t>一、一般公共服务支出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986.09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rFonts w:hint="default" w:eastAsia="方正书宋_GBK"/>
                <w:color w:val="auto"/>
                <w:lang w:val="en-US" w:eastAsia="zh-CN"/>
              </w:rPr>
            </w:pPr>
            <w:r>
              <w:rPr>
                <w:rFonts w:hint="eastAsia"/>
                <w:color w:val="auto"/>
              </w:rPr>
              <w:t>90</w:t>
            </w:r>
            <w:r>
              <w:rPr>
                <w:rFonts w:hint="eastAsia"/>
                <w:color w:val="auto"/>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4535" w:type="dxa"/>
            <w:vAlign w:val="center"/>
          </w:tcPr>
          <w:p>
            <w:pPr>
              <w:pStyle w:val="18"/>
              <w:rPr>
                <w:color w:val="auto"/>
              </w:rPr>
            </w:pPr>
            <w:r>
              <w:rPr>
                <w:color w:val="auto"/>
              </w:rPr>
              <w:t>本年支出合计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tabs>
                <w:tab w:val="center" w:pos="877"/>
                <w:tab w:val="right" w:pos="1875"/>
              </w:tabs>
              <w:jc w:val="left"/>
              <w:rPr>
                <w:rFonts w:hint="default" w:eastAsia="方正书宋_GBK"/>
                <w:color w:val="auto"/>
                <w:lang w:val="en-US" w:eastAsia="zh-CN"/>
              </w:rPr>
            </w:pPr>
            <w:r>
              <w:rPr>
                <w:rFonts w:hint="eastAsia"/>
                <w:color w:val="auto"/>
                <w:lang w:val="en-US" w:eastAsia="zh-CN"/>
              </w:rPr>
              <w:tab/>
            </w:r>
            <w:r>
              <w:rPr>
                <w:rFonts w:hint="eastAsia"/>
                <w:color w:val="auto"/>
                <w:lang w:val="en-US" w:eastAsia="zh-CN"/>
              </w:rPr>
              <w:t xml:space="preserve">              1143.59</w:t>
            </w:r>
          </w:p>
        </w:tc>
        <w:tc>
          <w:tcPr>
            <w:tcW w:w="4535" w:type="dxa"/>
            <w:vAlign w:val="center"/>
          </w:tcPr>
          <w:p>
            <w:pPr>
              <w:pStyle w:val="18"/>
              <w:rPr>
                <w:color w:val="auto"/>
              </w:rPr>
            </w:pPr>
            <w:r>
              <w:rPr>
                <w:color w:val="auto"/>
              </w:rPr>
              <w:t>支出总计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100"/>
        <w:gridCol w:w="1200"/>
        <w:gridCol w:w="1109"/>
        <w:gridCol w:w="1077"/>
        <w:gridCol w:w="1080"/>
        <w:gridCol w:w="650"/>
        <w:gridCol w:w="730"/>
        <w:gridCol w:w="790"/>
        <w:gridCol w:w="820"/>
        <w:gridCol w:w="820"/>
        <w:gridCol w:w="750"/>
        <w:gridCol w:w="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7"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46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3995"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restart"/>
            <w:vAlign w:val="center"/>
          </w:tcPr>
          <w:p>
            <w:pPr>
              <w:pStyle w:val="14"/>
              <w:rPr>
                <w:color w:val="auto"/>
              </w:rPr>
            </w:pPr>
            <w:r>
              <w:rPr>
                <w:color w:val="auto"/>
              </w:rPr>
              <w:t>序号</w:t>
            </w:r>
          </w:p>
        </w:tc>
        <w:tc>
          <w:tcPr>
            <w:tcW w:w="2300" w:type="dxa"/>
            <w:gridSpan w:val="2"/>
            <w:vAlign w:val="center"/>
          </w:tcPr>
          <w:p>
            <w:pPr>
              <w:pStyle w:val="14"/>
              <w:rPr>
                <w:color w:val="auto"/>
              </w:rPr>
            </w:pPr>
            <w:r>
              <w:rPr>
                <w:color w:val="auto"/>
              </w:rPr>
              <w:t>功能分类科目</w:t>
            </w:r>
          </w:p>
        </w:tc>
        <w:tc>
          <w:tcPr>
            <w:tcW w:w="1109" w:type="dxa"/>
            <w:vMerge w:val="restart"/>
            <w:vAlign w:val="center"/>
          </w:tcPr>
          <w:p>
            <w:pPr>
              <w:pStyle w:val="14"/>
              <w:rPr>
                <w:color w:val="auto"/>
              </w:rPr>
            </w:pPr>
            <w:r>
              <w:rPr>
                <w:color w:val="auto"/>
              </w:rPr>
              <w:t>合计</w:t>
            </w:r>
          </w:p>
        </w:tc>
        <w:tc>
          <w:tcPr>
            <w:tcW w:w="6717" w:type="dxa"/>
            <w:gridSpan w:val="8"/>
            <w:vAlign w:val="center"/>
          </w:tcPr>
          <w:p>
            <w:pPr>
              <w:pStyle w:val="14"/>
              <w:rPr>
                <w:color w:val="auto"/>
              </w:rPr>
            </w:pPr>
            <w:r>
              <w:rPr>
                <w:color w:val="auto"/>
              </w:rPr>
              <w:t>本年收入</w:t>
            </w:r>
          </w:p>
        </w:tc>
        <w:tc>
          <w:tcPr>
            <w:tcW w:w="815"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continue"/>
          </w:tcPr>
          <w:p>
            <w:pPr>
              <w:rPr>
                <w:color w:val="auto"/>
              </w:rPr>
            </w:pPr>
          </w:p>
        </w:tc>
        <w:tc>
          <w:tcPr>
            <w:tcW w:w="1100" w:type="dxa"/>
            <w:vAlign w:val="center"/>
          </w:tcPr>
          <w:p>
            <w:pPr>
              <w:pStyle w:val="14"/>
              <w:rPr>
                <w:color w:val="auto"/>
              </w:rPr>
            </w:pPr>
            <w:r>
              <w:rPr>
                <w:color w:val="auto"/>
              </w:rPr>
              <w:t>科目    编码</w:t>
            </w:r>
          </w:p>
        </w:tc>
        <w:tc>
          <w:tcPr>
            <w:tcW w:w="1200" w:type="dxa"/>
            <w:vAlign w:val="center"/>
          </w:tcPr>
          <w:p>
            <w:pPr>
              <w:pStyle w:val="14"/>
              <w:rPr>
                <w:color w:val="auto"/>
              </w:rPr>
            </w:pPr>
            <w:r>
              <w:rPr>
                <w:color w:val="auto"/>
              </w:rPr>
              <w:t>科目名称</w:t>
            </w:r>
          </w:p>
        </w:tc>
        <w:tc>
          <w:tcPr>
            <w:tcW w:w="1109" w:type="dxa"/>
            <w:vMerge w:val="continue"/>
          </w:tcPr>
          <w:p>
            <w:pPr>
              <w:rPr>
                <w:color w:val="auto"/>
              </w:rPr>
            </w:pPr>
          </w:p>
        </w:tc>
        <w:tc>
          <w:tcPr>
            <w:tcW w:w="1077" w:type="dxa"/>
            <w:vAlign w:val="center"/>
          </w:tcPr>
          <w:p>
            <w:pPr>
              <w:pStyle w:val="14"/>
              <w:rPr>
                <w:color w:val="auto"/>
              </w:rPr>
            </w:pPr>
            <w:r>
              <w:rPr>
                <w:color w:val="auto"/>
              </w:rPr>
              <w:t>小计</w:t>
            </w:r>
          </w:p>
        </w:tc>
        <w:tc>
          <w:tcPr>
            <w:tcW w:w="1080" w:type="dxa"/>
            <w:vAlign w:val="center"/>
          </w:tcPr>
          <w:p>
            <w:pPr>
              <w:pStyle w:val="14"/>
              <w:rPr>
                <w:color w:val="auto"/>
              </w:rPr>
            </w:pPr>
            <w:r>
              <w:rPr>
                <w:color w:val="auto"/>
              </w:rPr>
              <w:t>财政拨款 收入</w:t>
            </w:r>
          </w:p>
        </w:tc>
        <w:tc>
          <w:tcPr>
            <w:tcW w:w="650" w:type="dxa"/>
            <w:vAlign w:val="center"/>
          </w:tcPr>
          <w:p>
            <w:pPr>
              <w:pStyle w:val="14"/>
              <w:rPr>
                <w:color w:val="auto"/>
              </w:rPr>
            </w:pPr>
            <w:r>
              <w:rPr>
                <w:color w:val="auto"/>
              </w:rPr>
              <w:t>财政专户 收入</w:t>
            </w:r>
          </w:p>
        </w:tc>
        <w:tc>
          <w:tcPr>
            <w:tcW w:w="730" w:type="dxa"/>
            <w:vAlign w:val="center"/>
          </w:tcPr>
          <w:p>
            <w:pPr>
              <w:pStyle w:val="14"/>
              <w:rPr>
                <w:color w:val="auto"/>
              </w:rPr>
            </w:pPr>
            <w:r>
              <w:rPr>
                <w:color w:val="auto"/>
              </w:rPr>
              <w:t>事业收入</w:t>
            </w:r>
          </w:p>
        </w:tc>
        <w:tc>
          <w:tcPr>
            <w:tcW w:w="790" w:type="dxa"/>
            <w:vAlign w:val="center"/>
          </w:tcPr>
          <w:p>
            <w:pPr>
              <w:pStyle w:val="14"/>
              <w:rPr>
                <w:color w:val="auto"/>
              </w:rPr>
            </w:pPr>
            <w:r>
              <w:rPr>
                <w:color w:val="auto"/>
              </w:rPr>
              <w:t>经营收入</w:t>
            </w:r>
          </w:p>
        </w:tc>
        <w:tc>
          <w:tcPr>
            <w:tcW w:w="820" w:type="dxa"/>
            <w:vAlign w:val="center"/>
          </w:tcPr>
          <w:p>
            <w:pPr>
              <w:pStyle w:val="14"/>
              <w:rPr>
                <w:color w:val="auto"/>
              </w:rPr>
            </w:pPr>
            <w:r>
              <w:rPr>
                <w:color w:val="auto"/>
              </w:rPr>
              <w:t>上级补助收入</w:t>
            </w:r>
          </w:p>
        </w:tc>
        <w:tc>
          <w:tcPr>
            <w:tcW w:w="820" w:type="dxa"/>
            <w:vAlign w:val="center"/>
          </w:tcPr>
          <w:p>
            <w:pPr>
              <w:pStyle w:val="14"/>
              <w:rPr>
                <w:color w:val="auto"/>
              </w:rPr>
            </w:pPr>
            <w:r>
              <w:rPr>
                <w:color w:val="auto"/>
              </w:rPr>
              <w:t>附属单位上缴收入</w:t>
            </w:r>
          </w:p>
        </w:tc>
        <w:tc>
          <w:tcPr>
            <w:tcW w:w="750" w:type="dxa"/>
            <w:vAlign w:val="center"/>
          </w:tcPr>
          <w:p>
            <w:pPr>
              <w:pStyle w:val="14"/>
              <w:rPr>
                <w:color w:val="auto"/>
              </w:rPr>
            </w:pPr>
            <w:r>
              <w:rPr>
                <w:color w:val="auto"/>
              </w:rPr>
              <w:t>其他收入</w:t>
            </w:r>
          </w:p>
        </w:tc>
        <w:tc>
          <w:tcPr>
            <w:tcW w:w="815"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Align w:val="center"/>
          </w:tcPr>
          <w:p>
            <w:pPr>
              <w:pStyle w:val="14"/>
              <w:rPr>
                <w:color w:val="auto"/>
              </w:rPr>
            </w:pPr>
            <w:r>
              <w:rPr>
                <w:color w:val="auto"/>
              </w:rPr>
              <w:t>栏次</w:t>
            </w:r>
          </w:p>
        </w:tc>
        <w:tc>
          <w:tcPr>
            <w:tcW w:w="1100" w:type="dxa"/>
            <w:vAlign w:val="center"/>
          </w:tcPr>
          <w:p>
            <w:pPr>
              <w:pStyle w:val="14"/>
              <w:rPr>
                <w:color w:val="auto"/>
              </w:rPr>
            </w:pPr>
            <w:r>
              <w:rPr>
                <w:color w:val="auto"/>
              </w:rPr>
              <w:t>1</w:t>
            </w:r>
          </w:p>
        </w:tc>
        <w:tc>
          <w:tcPr>
            <w:tcW w:w="1200" w:type="dxa"/>
            <w:vAlign w:val="center"/>
          </w:tcPr>
          <w:p>
            <w:pPr>
              <w:pStyle w:val="14"/>
              <w:rPr>
                <w:color w:val="auto"/>
              </w:rPr>
            </w:pPr>
            <w:r>
              <w:rPr>
                <w:color w:val="auto"/>
              </w:rPr>
              <w:t>2</w:t>
            </w:r>
          </w:p>
        </w:tc>
        <w:tc>
          <w:tcPr>
            <w:tcW w:w="1109" w:type="dxa"/>
            <w:vAlign w:val="center"/>
          </w:tcPr>
          <w:p>
            <w:pPr>
              <w:pStyle w:val="14"/>
              <w:rPr>
                <w:color w:val="auto"/>
              </w:rPr>
            </w:pPr>
            <w:r>
              <w:rPr>
                <w:color w:val="auto"/>
              </w:rPr>
              <w:t>3</w:t>
            </w:r>
          </w:p>
        </w:tc>
        <w:tc>
          <w:tcPr>
            <w:tcW w:w="1077" w:type="dxa"/>
            <w:vAlign w:val="center"/>
          </w:tcPr>
          <w:p>
            <w:pPr>
              <w:pStyle w:val="14"/>
              <w:rPr>
                <w:color w:val="auto"/>
              </w:rPr>
            </w:pPr>
            <w:r>
              <w:rPr>
                <w:color w:val="auto"/>
              </w:rPr>
              <w:t>4</w:t>
            </w:r>
          </w:p>
        </w:tc>
        <w:tc>
          <w:tcPr>
            <w:tcW w:w="1080" w:type="dxa"/>
            <w:vAlign w:val="center"/>
          </w:tcPr>
          <w:p>
            <w:pPr>
              <w:pStyle w:val="14"/>
              <w:rPr>
                <w:color w:val="auto"/>
              </w:rPr>
            </w:pPr>
            <w:r>
              <w:rPr>
                <w:color w:val="auto"/>
              </w:rPr>
              <w:t>5</w:t>
            </w:r>
          </w:p>
        </w:tc>
        <w:tc>
          <w:tcPr>
            <w:tcW w:w="650" w:type="dxa"/>
            <w:vAlign w:val="center"/>
          </w:tcPr>
          <w:p>
            <w:pPr>
              <w:pStyle w:val="14"/>
              <w:rPr>
                <w:color w:val="auto"/>
              </w:rPr>
            </w:pPr>
            <w:r>
              <w:rPr>
                <w:color w:val="auto"/>
              </w:rPr>
              <w:t>6</w:t>
            </w:r>
          </w:p>
        </w:tc>
        <w:tc>
          <w:tcPr>
            <w:tcW w:w="730" w:type="dxa"/>
            <w:vAlign w:val="center"/>
          </w:tcPr>
          <w:p>
            <w:pPr>
              <w:pStyle w:val="14"/>
              <w:rPr>
                <w:color w:val="auto"/>
              </w:rPr>
            </w:pPr>
            <w:r>
              <w:rPr>
                <w:color w:val="auto"/>
              </w:rPr>
              <w:t>7</w:t>
            </w:r>
          </w:p>
        </w:tc>
        <w:tc>
          <w:tcPr>
            <w:tcW w:w="790" w:type="dxa"/>
            <w:vAlign w:val="center"/>
          </w:tcPr>
          <w:p>
            <w:pPr>
              <w:pStyle w:val="14"/>
              <w:rPr>
                <w:color w:val="auto"/>
              </w:rPr>
            </w:pPr>
            <w:r>
              <w:rPr>
                <w:color w:val="auto"/>
              </w:rPr>
              <w:t>8</w:t>
            </w:r>
          </w:p>
        </w:tc>
        <w:tc>
          <w:tcPr>
            <w:tcW w:w="820" w:type="dxa"/>
            <w:vAlign w:val="center"/>
          </w:tcPr>
          <w:p>
            <w:pPr>
              <w:pStyle w:val="14"/>
              <w:rPr>
                <w:color w:val="auto"/>
              </w:rPr>
            </w:pPr>
            <w:r>
              <w:rPr>
                <w:color w:val="auto"/>
              </w:rPr>
              <w:t>9</w:t>
            </w:r>
          </w:p>
        </w:tc>
        <w:tc>
          <w:tcPr>
            <w:tcW w:w="820" w:type="dxa"/>
            <w:vAlign w:val="center"/>
          </w:tcPr>
          <w:p>
            <w:pPr>
              <w:pStyle w:val="14"/>
              <w:rPr>
                <w:color w:val="auto"/>
              </w:rPr>
            </w:pPr>
            <w:r>
              <w:rPr>
                <w:color w:val="auto"/>
              </w:rPr>
              <w:t>10</w:t>
            </w:r>
          </w:p>
        </w:tc>
        <w:tc>
          <w:tcPr>
            <w:tcW w:w="750" w:type="dxa"/>
            <w:vAlign w:val="center"/>
          </w:tcPr>
          <w:p>
            <w:pPr>
              <w:pStyle w:val="14"/>
              <w:rPr>
                <w:color w:val="auto"/>
              </w:rPr>
            </w:pPr>
            <w:r>
              <w:rPr>
                <w:color w:val="auto"/>
              </w:rPr>
              <w:t>11</w:t>
            </w:r>
          </w:p>
        </w:tc>
        <w:tc>
          <w:tcPr>
            <w:tcW w:w="815"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1</w:t>
            </w:r>
          </w:p>
        </w:tc>
        <w:tc>
          <w:tcPr>
            <w:tcW w:w="1100" w:type="dxa"/>
            <w:vAlign w:val="center"/>
          </w:tcPr>
          <w:p>
            <w:pPr>
              <w:pStyle w:val="20"/>
              <w:rPr>
                <w:color w:val="auto"/>
              </w:rPr>
            </w:pPr>
          </w:p>
        </w:tc>
        <w:tc>
          <w:tcPr>
            <w:tcW w:w="1200" w:type="dxa"/>
            <w:vAlign w:val="center"/>
          </w:tcPr>
          <w:p>
            <w:pPr>
              <w:pStyle w:val="18"/>
              <w:rPr>
                <w:color w:val="auto"/>
              </w:rPr>
            </w:pPr>
            <w:r>
              <w:rPr>
                <w:color w:val="auto"/>
              </w:rPr>
              <w:t>合计</w:t>
            </w:r>
          </w:p>
        </w:tc>
        <w:tc>
          <w:tcPr>
            <w:tcW w:w="1109"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077" w:type="dxa"/>
            <w:vAlign w:val="center"/>
          </w:tcPr>
          <w:p>
            <w:pPr>
              <w:pStyle w:val="19"/>
              <w:rPr>
                <w:color w:val="auto"/>
              </w:rPr>
            </w:pPr>
            <w:r>
              <w:rPr>
                <w:rFonts w:hint="eastAsia"/>
                <w:color w:val="auto"/>
                <w:lang w:val="en-US" w:eastAsia="zh-CN"/>
              </w:rPr>
              <w:t>1143.59</w:t>
            </w:r>
          </w:p>
        </w:tc>
        <w:tc>
          <w:tcPr>
            <w:tcW w:w="1080" w:type="dxa"/>
            <w:vAlign w:val="center"/>
          </w:tcPr>
          <w:p>
            <w:pPr>
              <w:pStyle w:val="19"/>
              <w:rPr>
                <w:color w:val="auto"/>
              </w:rPr>
            </w:pPr>
            <w:r>
              <w:rPr>
                <w:rFonts w:hint="eastAsia"/>
                <w:color w:val="auto"/>
                <w:lang w:val="en-US" w:eastAsia="zh-CN"/>
              </w:rPr>
              <w:t>1143.59</w:t>
            </w:r>
          </w:p>
        </w:tc>
        <w:tc>
          <w:tcPr>
            <w:tcW w:w="650" w:type="dxa"/>
            <w:vAlign w:val="center"/>
          </w:tcPr>
          <w:p>
            <w:pPr>
              <w:pStyle w:val="19"/>
              <w:rPr>
                <w:color w:val="auto"/>
              </w:rPr>
            </w:pPr>
          </w:p>
        </w:tc>
        <w:tc>
          <w:tcPr>
            <w:tcW w:w="730" w:type="dxa"/>
            <w:vAlign w:val="center"/>
          </w:tcPr>
          <w:p>
            <w:pPr>
              <w:pStyle w:val="19"/>
              <w:rPr>
                <w:color w:val="auto"/>
              </w:rPr>
            </w:pPr>
          </w:p>
        </w:tc>
        <w:tc>
          <w:tcPr>
            <w:tcW w:w="790" w:type="dxa"/>
            <w:vAlign w:val="center"/>
          </w:tcPr>
          <w:p>
            <w:pPr>
              <w:pStyle w:val="19"/>
              <w:rPr>
                <w:color w:val="auto"/>
              </w:rPr>
            </w:pPr>
          </w:p>
        </w:tc>
        <w:tc>
          <w:tcPr>
            <w:tcW w:w="820" w:type="dxa"/>
            <w:vAlign w:val="center"/>
          </w:tcPr>
          <w:p>
            <w:pPr>
              <w:pStyle w:val="19"/>
              <w:rPr>
                <w:color w:val="auto"/>
              </w:rPr>
            </w:pPr>
          </w:p>
        </w:tc>
        <w:tc>
          <w:tcPr>
            <w:tcW w:w="820" w:type="dxa"/>
            <w:vAlign w:val="center"/>
          </w:tcPr>
          <w:p>
            <w:pPr>
              <w:pStyle w:val="19"/>
              <w:rPr>
                <w:color w:val="auto"/>
              </w:rPr>
            </w:pPr>
          </w:p>
        </w:tc>
        <w:tc>
          <w:tcPr>
            <w:tcW w:w="750" w:type="dxa"/>
            <w:vAlign w:val="center"/>
          </w:tcPr>
          <w:p>
            <w:pPr>
              <w:pStyle w:val="19"/>
              <w:rPr>
                <w:color w:val="auto"/>
              </w:rPr>
            </w:pPr>
          </w:p>
        </w:tc>
        <w:tc>
          <w:tcPr>
            <w:tcW w:w="815"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2</w:t>
            </w:r>
          </w:p>
        </w:tc>
        <w:tc>
          <w:tcPr>
            <w:tcW w:w="1100" w:type="dxa"/>
            <w:vAlign w:val="center"/>
          </w:tcPr>
          <w:p>
            <w:pPr>
              <w:pStyle w:val="16"/>
              <w:rPr>
                <w:color w:val="auto"/>
              </w:rPr>
            </w:pPr>
            <w:r>
              <w:rPr>
                <w:color w:val="auto"/>
              </w:rPr>
              <w:t>201</w:t>
            </w:r>
          </w:p>
        </w:tc>
        <w:tc>
          <w:tcPr>
            <w:tcW w:w="1200" w:type="dxa"/>
            <w:vAlign w:val="center"/>
          </w:tcPr>
          <w:p>
            <w:pPr>
              <w:pStyle w:val="16"/>
              <w:rPr>
                <w:color w:val="auto"/>
              </w:rPr>
            </w:pPr>
            <w:r>
              <w:rPr>
                <w:color w:val="auto"/>
              </w:rPr>
              <w:t>一般公共服务支出</w:t>
            </w:r>
          </w:p>
        </w:tc>
        <w:tc>
          <w:tcPr>
            <w:tcW w:w="1109" w:type="dxa"/>
            <w:vAlign w:val="center"/>
          </w:tcPr>
          <w:p>
            <w:pPr>
              <w:pStyle w:val="15"/>
              <w:rPr>
                <w:color w:val="auto"/>
              </w:rPr>
            </w:pPr>
            <w:r>
              <w:rPr>
                <w:rFonts w:hint="eastAsia"/>
                <w:color w:val="auto"/>
              </w:rPr>
              <w:t>986.09</w:t>
            </w:r>
          </w:p>
        </w:tc>
        <w:tc>
          <w:tcPr>
            <w:tcW w:w="1077"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986.09</w:t>
            </w:r>
          </w:p>
        </w:tc>
        <w:tc>
          <w:tcPr>
            <w:tcW w:w="1080"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986.09</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3</w:t>
            </w:r>
          </w:p>
        </w:tc>
        <w:tc>
          <w:tcPr>
            <w:tcW w:w="1100" w:type="dxa"/>
            <w:vAlign w:val="center"/>
          </w:tcPr>
          <w:p>
            <w:pPr>
              <w:pStyle w:val="16"/>
              <w:rPr>
                <w:color w:val="auto"/>
              </w:rPr>
            </w:pPr>
            <w:r>
              <w:rPr>
                <w:color w:val="auto"/>
              </w:rPr>
              <w:t>20104</w:t>
            </w:r>
          </w:p>
        </w:tc>
        <w:tc>
          <w:tcPr>
            <w:tcW w:w="1200" w:type="dxa"/>
            <w:vAlign w:val="center"/>
          </w:tcPr>
          <w:p>
            <w:pPr>
              <w:pStyle w:val="16"/>
              <w:rPr>
                <w:color w:val="auto"/>
              </w:rPr>
            </w:pPr>
            <w:r>
              <w:rPr>
                <w:color w:val="auto"/>
              </w:rPr>
              <w:t>发展与改革事务</w:t>
            </w:r>
          </w:p>
        </w:tc>
        <w:tc>
          <w:tcPr>
            <w:tcW w:w="1109" w:type="dxa"/>
            <w:vAlign w:val="center"/>
          </w:tcPr>
          <w:p>
            <w:pPr>
              <w:pStyle w:val="15"/>
              <w:rPr>
                <w:color w:val="auto"/>
              </w:rPr>
            </w:pPr>
            <w:r>
              <w:rPr>
                <w:rFonts w:hint="eastAsia"/>
                <w:color w:val="auto"/>
              </w:rPr>
              <w:t>986.09</w:t>
            </w:r>
          </w:p>
        </w:tc>
        <w:tc>
          <w:tcPr>
            <w:tcW w:w="1077"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986.09</w:t>
            </w:r>
          </w:p>
        </w:tc>
        <w:tc>
          <w:tcPr>
            <w:tcW w:w="1080"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986.09</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4</w:t>
            </w:r>
          </w:p>
        </w:tc>
        <w:tc>
          <w:tcPr>
            <w:tcW w:w="1100" w:type="dxa"/>
            <w:vAlign w:val="center"/>
          </w:tcPr>
          <w:p>
            <w:pPr>
              <w:pStyle w:val="16"/>
              <w:rPr>
                <w:color w:val="auto"/>
              </w:rPr>
            </w:pPr>
            <w:r>
              <w:rPr>
                <w:color w:val="auto"/>
              </w:rPr>
              <w:t>2010401</w:t>
            </w:r>
          </w:p>
        </w:tc>
        <w:tc>
          <w:tcPr>
            <w:tcW w:w="1200" w:type="dxa"/>
            <w:vAlign w:val="center"/>
          </w:tcPr>
          <w:p>
            <w:pPr>
              <w:pStyle w:val="16"/>
              <w:rPr>
                <w:color w:val="auto"/>
              </w:rPr>
            </w:pPr>
            <w:r>
              <w:rPr>
                <w:color w:val="auto"/>
              </w:rPr>
              <w:t>行政运行</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920.34</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920.34</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920.34</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5</w:t>
            </w:r>
          </w:p>
        </w:tc>
        <w:tc>
          <w:tcPr>
            <w:tcW w:w="1100" w:type="dxa"/>
            <w:vAlign w:val="center"/>
          </w:tcPr>
          <w:p>
            <w:pPr>
              <w:pStyle w:val="16"/>
              <w:rPr>
                <w:color w:val="auto"/>
              </w:rPr>
            </w:pPr>
            <w:r>
              <w:rPr>
                <w:color w:val="auto"/>
              </w:rPr>
              <w:t>2010407</w:t>
            </w:r>
          </w:p>
        </w:tc>
        <w:tc>
          <w:tcPr>
            <w:tcW w:w="1200" w:type="dxa"/>
            <w:vAlign w:val="center"/>
          </w:tcPr>
          <w:p>
            <w:pPr>
              <w:pStyle w:val="16"/>
              <w:rPr>
                <w:color w:val="auto"/>
              </w:rPr>
            </w:pPr>
            <w:r>
              <w:rPr>
                <w:color w:val="auto"/>
              </w:rPr>
              <w:t>经济体制改革研究</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31.39</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31.39</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31.39</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6</w:t>
            </w:r>
          </w:p>
        </w:tc>
        <w:tc>
          <w:tcPr>
            <w:tcW w:w="1100" w:type="dxa"/>
            <w:vAlign w:val="center"/>
          </w:tcPr>
          <w:p>
            <w:pPr>
              <w:pStyle w:val="16"/>
              <w:rPr>
                <w:color w:val="auto"/>
              </w:rPr>
            </w:pPr>
            <w:r>
              <w:rPr>
                <w:color w:val="auto"/>
              </w:rPr>
              <w:t>2010408</w:t>
            </w:r>
          </w:p>
        </w:tc>
        <w:tc>
          <w:tcPr>
            <w:tcW w:w="1200" w:type="dxa"/>
            <w:vAlign w:val="center"/>
          </w:tcPr>
          <w:p>
            <w:pPr>
              <w:pStyle w:val="16"/>
              <w:rPr>
                <w:color w:val="auto"/>
              </w:rPr>
            </w:pPr>
            <w:r>
              <w:rPr>
                <w:color w:val="auto"/>
              </w:rPr>
              <w:t>物价管理</w:t>
            </w:r>
          </w:p>
        </w:tc>
        <w:tc>
          <w:tcPr>
            <w:tcW w:w="1109" w:type="dxa"/>
            <w:vAlign w:val="center"/>
          </w:tcPr>
          <w:p>
            <w:pPr>
              <w:pStyle w:val="15"/>
              <w:jc w:val="both"/>
              <w:rPr>
                <w:rFonts w:hint="default" w:eastAsia="方正书宋_GBK"/>
                <w:color w:val="auto"/>
                <w:lang w:val="en-US" w:eastAsia="zh-CN"/>
              </w:rPr>
            </w:pPr>
            <w:r>
              <w:rPr>
                <w:rFonts w:hint="eastAsia"/>
                <w:color w:val="auto"/>
                <w:lang w:val="en-US" w:eastAsia="zh-CN"/>
              </w:rPr>
              <w:t xml:space="preserve">   12.52</w:t>
            </w:r>
          </w:p>
        </w:tc>
        <w:tc>
          <w:tcPr>
            <w:tcW w:w="1077" w:type="dxa"/>
            <w:vAlign w:val="center"/>
          </w:tcPr>
          <w:p>
            <w:pPr>
              <w:pStyle w:val="15"/>
              <w:ind w:firstLine="0" w:firstLineChars="0"/>
              <w:jc w:val="both"/>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 xml:space="preserve">   12.52</w:t>
            </w:r>
          </w:p>
        </w:tc>
        <w:tc>
          <w:tcPr>
            <w:tcW w:w="1080" w:type="dxa"/>
            <w:vAlign w:val="center"/>
          </w:tcPr>
          <w:p>
            <w:pPr>
              <w:pStyle w:val="15"/>
              <w:ind w:firstLine="0" w:firstLineChars="0"/>
              <w:jc w:val="both"/>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 xml:space="preserve">   12.52</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7</w:t>
            </w:r>
          </w:p>
        </w:tc>
        <w:tc>
          <w:tcPr>
            <w:tcW w:w="1100" w:type="dxa"/>
            <w:vAlign w:val="center"/>
          </w:tcPr>
          <w:p>
            <w:pPr>
              <w:pStyle w:val="16"/>
              <w:rPr>
                <w:color w:val="auto"/>
              </w:rPr>
            </w:pPr>
            <w:r>
              <w:rPr>
                <w:color w:val="auto"/>
              </w:rPr>
              <w:t>2010499</w:t>
            </w:r>
          </w:p>
        </w:tc>
        <w:tc>
          <w:tcPr>
            <w:tcW w:w="1200" w:type="dxa"/>
            <w:vAlign w:val="center"/>
          </w:tcPr>
          <w:p>
            <w:pPr>
              <w:pStyle w:val="16"/>
              <w:rPr>
                <w:color w:val="auto"/>
              </w:rPr>
            </w:pPr>
            <w:r>
              <w:rPr>
                <w:color w:val="auto"/>
              </w:rPr>
              <w:t>其他发展与改革事务支出</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22.04</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8</w:t>
            </w:r>
          </w:p>
        </w:tc>
        <w:tc>
          <w:tcPr>
            <w:tcW w:w="1100" w:type="dxa"/>
            <w:vAlign w:val="center"/>
          </w:tcPr>
          <w:p>
            <w:pPr>
              <w:pStyle w:val="16"/>
              <w:rPr>
                <w:color w:val="auto"/>
              </w:rPr>
            </w:pPr>
            <w:r>
              <w:rPr>
                <w:color w:val="auto"/>
              </w:rPr>
              <w:t>208</w:t>
            </w:r>
          </w:p>
        </w:tc>
        <w:tc>
          <w:tcPr>
            <w:tcW w:w="1200" w:type="dxa"/>
            <w:vAlign w:val="center"/>
          </w:tcPr>
          <w:p>
            <w:pPr>
              <w:pStyle w:val="16"/>
              <w:rPr>
                <w:color w:val="auto"/>
              </w:rPr>
            </w:pPr>
            <w:r>
              <w:rPr>
                <w:color w:val="auto"/>
              </w:rPr>
              <w:t>社会保障和就业支出</w:t>
            </w:r>
          </w:p>
        </w:tc>
        <w:tc>
          <w:tcPr>
            <w:tcW w:w="1109"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77"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9</w:t>
            </w:r>
          </w:p>
        </w:tc>
        <w:tc>
          <w:tcPr>
            <w:tcW w:w="1100" w:type="dxa"/>
            <w:vAlign w:val="center"/>
          </w:tcPr>
          <w:p>
            <w:pPr>
              <w:pStyle w:val="16"/>
              <w:rPr>
                <w:color w:val="auto"/>
              </w:rPr>
            </w:pPr>
            <w:r>
              <w:rPr>
                <w:color w:val="auto"/>
              </w:rPr>
              <w:t>20805</w:t>
            </w:r>
          </w:p>
        </w:tc>
        <w:tc>
          <w:tcPr>
            <w:tcW w:w="1200" w:type="dxa"/>
            <w:vAlign w:val="center"/>
          </w:tcPr>
          <w:p>
            <w:pPr>
              <w:pStyle w:val="16"/>
              <w:rPr>
                <w:color w:val="auto"/>
              </w:rPr>
            </w:pPr>
            <w:r>
              <w:rPr>
                <w:color w:val="auto"/>
              </w:rPr>
              <w:t>行政事业单位养老支出</w:t>
            </w:r>
          </w:p>
        </w:tc>
        <w:tc>
          <w:tcPr>
            <w:tcW w:w="1109"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77"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10</w:t>
            </w:r>
          </w:p>
        </w:tc>
        <w:tc>
          <w:tcPr>
            <w:tcW w:w="1100" w:type="dxa"/>
            <w:vAlign w:val="center"/>
          </w:tcPr>
          <w:p>
            <w:pPr>
              <w:pStyle w:val="16"/>
              <w:rPr>
                <w:color w:val="auto"/>
              </w:rPr>
            </w:pPr>
            <w:r>
              <w:rPr>
                <w:color w:val="auto"/>
              </w:rPr>
              <w:t>2080505</w:t>
            </w:r>
          </w:p>
        </w:tc>
        <w:tc>
          <w:tcPr>
            <w:tcW w:w="1200" w:type="dxa"/>
            <w:vAlign w:val="center"/>
          </w:tcPr>
          <w:p>
            <w:pPr>
              <w:pStyle w:val="16"/>
              <w:rPr>
                <w:color w:val="auto"/>
              </w:rPr>
            </w:pPr>
            <w:r>
              <w:rPr>
                <w:color w:val="auto"/>
              </w:rPr>
              <w:t>机关事业单位基本养老保险缴费支出</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90</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11</w:t>
            </w:r>
          </w:p>
        </w:tc>
        <w:tc>
          <w:tcPr>
            <w:tcW w:w="1100" w:type="dxa"/>
            <w:vAlign w:val="center"/>
          </w:tcPr>
          <w:p>
            <w:pPr>
              <w:pStyle w:val="16"/>
              <w:rPr>
                <w:color w:val="auto"/>
              </w:rPr>
            </w:pPr>
            <w:r>
              <w:rPr>
                <w:color w:val="auto"/>
              </w:rPr>
              <w:t>221</w:t>
            </w:r>
          </w:p>
        </w:tc>
        <w:tc>
          <w:tcPr>
            <w:tcW w:w="1200" w:type="dxa"/>
            <w:vAlign w:val="center"/>
          </w:tcPr>
          <w:p>
            <w:pPr>
              <w:pStyle w:val="16"/>
              <w:rPr>
                <w:color w:val="auto"/>
              </w:rPr>
            </w:pPr>
            <w:r>
              <w:rPr>
                <w:color w:val="auto"/>
              </w:rPr>
              <w:t>住房保障支出</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67.5</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12</w:t>
            </w:r>
          </w:p>
        </w:tc>
        <w:tc>
          <w:tcPr>
            <w:tcW w:w="1100" w:type="dxa"/>
            <w:vAlign w:val="center"/>
          </w:tcPr>
          <w:p>
            <w:pPr>
              <w:pStyle w:val="16"/>
              <w:rPr>
                <w:color w:val="auto"/>
              </w:rPr>
            </w:pPr>
            <w:r>
              <w:rPr>
                <w:color w:val="auto"/>
              </w:rPr>
              <w:t>22102</w:t>
            </w:r>
          </w:p>
        </w:tc>
        <w:tc>
          <w:tcPr>
            <w:tcW w:w="1200" w:type="dxa"/>
            <w:vAlign w:val="center"/>
          </w:tcPr>
          <w:p>
            <w:pPr>
              <w:pStyle w:val="16"/>
              <w:rPr>
                <w:color w:val="auto"/>
              </w:rPr>
            </w:pPr>
            <w:r>
              <w:rPr>
                <w:color w:val="auto"/>
              </w:rPr>
              <w:t>住房改革支出</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67.5</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17"/>
              <w:rPr>
                <w:color w:val="auto"/>
              </w:rPr>
            </w:pPr>
            <w:r>
              <w:rPr>
                <w:color w:val="auto"/>
              </w:rPr>
              <w:t>13</w:t>
            </w:r>
          </w:p>
        </w:tc>
        <w:tc>
          <w:tcPr>
            <w:tcW w:w="1100" w:type="dxa"/>
            <w:vAlign w:val="center"/>
          </w:tcPr>
          <w:p>
            <w:pPr>
              <w:pStyle w:val="16"/>
              <w:rPr>
                <w:color w:val="auto"/>
              </w:rPr>
            </w:pPr>
            <w:r>
              <w:rPr>
                <w:color w:val="auto"/>
              </w:rPr>
              <w:t>2210201</w:t>
            </w:r>
          </w:p>
        </w:tc>
        <w:tc>
          <w:tcPr>
            <w:tcW w:w="1200" w:type="dxa"/>
            <w:vAlign w:val="center"/>
          </w:tcPr>
          <w:p>
            <w:pPr>
              <w:pStyle w:val="16"/>
              <w:rPr>
                <w:color w:val="auto"/>
              </w:rPr>
            </w:pPr>
            <w:r>
              <w:rPr>
                <w:color w:val="auto"/>
              </w:rPr>
              <w:t>住房公积金</w:t>
            </w:r>
          </w:p>
        </w:tc>
        <w:tc>
          <w:tcPr>
            <w:tcW w:w="1109" w:type="dxa"/>
            <w:vAlign w:val="center"/>
          </w:tcPr>
          <w:p>
            <w:pPr>
              <w:pStyle w:val="15"/>
              <w:jc w:val="center"/>
              <w:rPr>
                <w:rFonts w:hint="default" w:eastAsia="方正书宋_GBK"/>
                <w:color w:val="auto"/>
                <w:lang w:val="en-US" w:eastAsia="zh-CN"/>
              </w:rPr>
            </w:pPr>
            <w:r>
              <w:rPr>
                <w:rFonts w:hint="eastAsia"/>
                <w:color w:val="auto"/>
                <w:lang w:val="en-US" w:eastAsia="zh-CN"/>
              </w:rPr>
              <w:t>67.5</w:t>
            </w:r>
          </w:p>
        </w:tc>
        <w:tc>
          <w:tcPr>
            <w:tcW w:w="1077"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80" w:type="dxa"/>
            <w:vAlign w:val="center"/>
          </w:tcPr>
          <w:p>
            <w:pPr>
              <w:pStyle w:val="15"/>
              <w:ind w:firstLine="0" w:firstLineChars="0"/>
              <w:jc w:val="center"/>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650" w:type="dxa"/>
            <w:vAlign w:val="center"/>
          </w:tcPr>
          <w:p>
            <w:pPr>
              <w:pStyle w:val="15"/>
              <w:rPr>
                <w:color w:val="auto"/>
              </w:rPr>
            </w:pPr>
          </w:p>
        </w:tc>
        <w:tc>
          <w:tcPr>
            <w:tcW w:w="730" w:type="dxa"/>
            <w:vAlign w:val="center"/>
          </w:tcPr>
          <w:p>
            <w:pPr>
              <w:pStyle w:val="15"/>
              <w:rPr>
                <w:color w:val="auto"/>
              </w:rPr>
            </w:pPr>
          </w:p>
        </w:tc>
        <w:tc>
          <w:tcPr>
            <w:tcW w:w="790" w:type="dxa"/>
            <w:vAlign w:val="center"/>
          </w:tcPr>
          <w:p>
            <w:pPr>
              <w:pStyle w:val="15"/>
              <w:rPr>
                <w:color w:val="auto"/>
              </w:rPr>
            </w:pPr>
          </w:p>
        </w:tc>
        <w:tc>
          <w:tcPr>
            <w:tcW w:w="820" w:type="dxa"/>
            <w:vAlign w:val="center"/>
          </w:tcPr>
          <w:p>
            <w:pPr>
              <w:pStyle w:val="15"/>
              <w:rPr>
                <w:color w:val="auto"/>
              </w:rPr>
            </w:pPr>
          </w:p>
        </w:tc>
        <w:tc>
          <w:tcPr>
            <w:tcW w:w="820" w:type="dxa"/>
            <w:vAlign w:val="center"/>
          </w:tcPr>
          <w:p>
            <w:pPr>
              <w:pStyle w:val="15"/>
              <w:rPr>
                <w:color w:val="auto"/>
              </w:rPr>
            </w:pPr>
          </w:p>
        </w:tc>
        <w:tc>
          <w:tcPr>
            <w:tcW w:w="750" w:type="dxa"/>
            <w:vAlign w:val="center"/>
          </w:tcPr>
          <w:p>
            <w:pPr>
              <w:pStyle w:val="15"/>
              <w:rPr>
                <w:color w:val="auto"/>
              </w:rPr>
            </w:pPr>
          </w:p>
        </w:tc>
        <w:tc>
          <w:tcPr>
            <w:tcW w:w="815"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380"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rPr>
                <w:color w:val="auto"/>
              </w:rPr>
            </w:pPr>
            <w:r>
              <w:rPr>
                <w:color w:val="auto"/>
              </w:rPr>
              <w:t>序号</w:t>
            </w:r>
          </w:p>
        </w:tc>
        <w:tc>
          <w:tcPr>
            <w:tcW w:w="2190" w:type="dxa"/>
            <w:gridSpan w:val="2"/>
            <w:vAlign w:val="center"/>
          </w:tcPr>
          <w:p>
            <w:pPr>
              <w:pStyle w:val="14"/>
              <w:rPr>
                <w:color w:val="auto"/>
              </w:rPr>
            </w:pPr>
            <w:r>
              <w:rPr>
                <w:color w:val="auto"/>
              </w:rPr>
              <w:t>功能分类科目</w:t>
            </w:r>
          </w:p>
        </w:tc>
        <w:tc>
          <w:tcPr>
            <w:tcW w:w="1095" w:type="dxa"/>
            <w:vMerge w:val="restart"/>
            <w:vAlign w:val="center"/>
          </w:tcPr>
          <w:p>
            <w:pPr>
              <w:pStyle w:val="14"/>
              <w:rPr>
                <w:color w:val="auto"/>
              </w:rPr>
            </w:pPr>
            <w:r>
              <w:rPr>
                <w:color w:val="auto"/>
              </w:rPr>
              <w:t>合计</w:t>
            </w:r>
          </w:p>
        </w:tc>
        <w:tc>
          <w:tcPr>
            <w:tcW w:w="1095" w:type="dxa"/>
            <w:vMerge w:val="restart"/>
            <w:vAlign w:val="center"/>
          </w:tcPr>
          <w:p>
            <w:pPr>
              <w:pStyle w:val="14"/>
              <w:rPr>
                <w:color w:val="auto"/>
              </w:rPr>
            </w:pPr>
            <w:r>
              <w:rPr>
                <w:color w:val="auto"/>
              </w:rPr>
              <w:t>基本支出</w:t>
            </w:r>
          </w:p>
        </w:tc>
        <w:tc>
          <w:tcPr>
            <w:tcW w:w="1095" w:type="dxa"/>
            <w:vMerge w:val="restart"/>
            <w:vAlign w:val="center"/>
          </w:tcPr>
          <w:p>
            <w:pPr>
              <w:pStyle w:val="14"/>
              <w:rPr>
                <w:color w:val="auto"/>
              </w:rPr>
            </w:pPr>
            <w:r>
              <w:rPr>
                <w:color w:val="auto"/>
              </w:rPr>
              <w:t>项目支出</w:t>
            </w:r>
          </w:p>
        </w:tc>
        <w:tc>
          <w:tcPr>
            <w:tcW w:w="1095" w:type="dxa"/>
            <w:vMerge w:val="restart"/>
            <w:vAlign w:val="center"/>
          </w:tcPr>
          <w:p>
            <w:pPr>
              <w:pStyle w:val="14"/>
              <w:rPr>
                <w:color w:val="auto"/>
              </w:rPr>
            </w:pPr>
            <w:r>
              <w:rPr>
                <w:color w:val="auto"/>
              </w:rPr>
              <w:t>经营支出</w:t>
            </w:r>
          </w:p>
        </w:tc>
        <w:tc>
          <w:tcPr>
            <w:tcW w:w="1095" w:type="dxa"/>
            <w:vMerge w:val="restart"/>
            <w:vAlign w:val="center"/>
          </w:tcPr>
          <w:p>
            <w:pPr>
              <w:pStyle w:val="14"/>
              <w:rPr>
                <w:color w:val="auto"/>
              </w:rPr>
            </w:pPr>
            <w:r>
              <w:rPr>
                <w:color w:val="auto"/>
              </w:rPr>
              <w:t>上解上级     支出</w:t>
            </w:r>
          </w:p>
        </w:tc>
        <w:tc>
          <w:tcPr>
            <w:tcW w:w="1095"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pPr>
              <w:rPr>
                <w:color w:val="auto"/>
              </w:rPr>
            </w:pPr>
          </w:p>
        </w:tc>
        <w:tc>
          <w:tcPr>
            <w:tcW w:w="1095" w:type="dxa"/>
            <w:vAlign w:val="center"/>
          </w:tcPr>
          <w:p>
            <w:pPr>
              <w:pStyle w:val="14"/>
              <w:rPr>
                <w:color w:val="auto"/>
              </w:rPr>
            </w:pPr>
            <w:r>
              <w:rPr>
                <w:color w:val="auto"/>
              </w:rPr>
              <w:t>科目    编码</w:t>
            </w:r>
          </w:p>
        </w:tc>
        <w:tc>
          <w:tcPr>
            <w:tcW w:w="1095" w:type="dxa"/>
            <w:vAlign w:val="center"/>
          </w:tcPr>
          <w:p>
            <w:pPr>
              <w:pStyle w:val="14"/>
              <w:rPr>
                <w:color w:val="auto"/>
              </w:rPr>
            </w:pPr>
            <w:r>
              <w:rPr>
                <w:color w:val="auto"/>
              </w:rPr>
              <w:t>科目名称</w:t>
            </w: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rPr>
                <w:color w:val="auto"/>
              </w:rPr>
            </w:pPr>
            <w:r>
              <w:rPr>
                <w:color w:val="auto"/>
              </w:rPr>
              <w:t>栏次</w:t>
            </w:r>
          </w:p>
        </w:tc>
        <w:tc>
          <w:tcPr>
            <w:tcW w:w="1095" w:type="dxa"/>
            <w:vAlign w:val="center"/>
          </w:tcPr>
          <w:p>
            <w:pPr>
              <w:pStyle w:val="14"/>
              <w:rPr>
                <w:color w:val="auto"/>
              </w:rPr>
            </w:pPr>
            <w:r>
              <w:rPr>
                <w:color w:val="auto"/>
              </w:rPr>
              <w:t>1</w:t>
            </w:r>
          </w:p>
        </w:tc>
        <w:tc>
          <w:tcPr>
            <w:tcW w:w="1095" w:type="dxa"/>
            <w:vAlign w:val="center"/>
          </w:tcPr>
          <w:p>
            <w:pPr>
              <w:pStyle w:val="14"/>
              <w:rPr>
                <w:color w:val="auto"/>
              </w:rPr>
            </w:pPr>
            <w:r>
              <w:rPr>
                <w:color w:val="auto"/>
              </w:rPr>
              <w:t>2</w:t>
            </w:r>
          </w:p>
        </w:tc>
        <w:tc>
          <w:tcPr>
            <w:tcW w:w="1095" w:type="dxa"/>
            <w:vAlign w:val="center"/>
          </w:tcPr>
          <w:p>
            <w:pPr>
              <w:pStyle w:val="14"/>
              <w:rPr>
                <w:color w:val="auto"/>
              </w:rPr>
            </w:pPr>
            <w:r>
              <w:rPr>
                <w:color w:val="auto"/>
              </w:rPr>
              <w:t>3</w:t>
            </w:r>
          </w:p>
        </w:tc>
        <w:tc>
          <w:tcPr>
            <w:tcW w:w="1095" w:type="dxa"/>
            <w:vAlign w:val="center"/>
          </w:tcPr>
          <w:p>
            <w:pPr>
              <w:pStyle w:val="14"/>
              <w:rPr>
                <w:color w:val="auto"/>
              </w:rPr>
            </w:pPr>
            <w:r>
              <w:rPr>
                <w:color w:val="auto"/>
              </w:rPr>
              <w:t>4</w:t>
            </w:r>
          </w:p>
        </w:tc>
        <w:tc>
          <w:tcPr>
            <w:tcW w:w="1095" w:type="dxa"/>
            <w:vAlign w:val="center"/>
          </w:tcPr>
          <w:p>
            <w:pPr>
              <w:pStyle w:val="14"/>
              <w:rPr>
                <w:color w:val="auto"/>
              </w:rPr>
            </w:pPr>
            <w:r>
              <w:rPr>
                <w:color w:val="auto"/>
              </w:rPr>
              <w:t>5</w:t>
            </w:r>
          </w:p>
        </w:tc>
        <w:tc>
          <w:tcPr>
            <w:tcW w:w="1095" w:type="dxa"/>
            <w:vAlign w:val="center"/>
          </w:tcPr>
          <w:p>
            <w:pPr>
              <w:pStyle w:val="14"/>
              <w:rPr>
                <w:color w:val="auto"/>
              </w:rPr>
            </w:pPr>
            <w:r>
              <w:rPr>
                <w:color w:val="auto"/>
              </w:rPr>
              <w:t>6</w:t>
            </w:r>
          </w:p>
        </w:tc>
        <w:tc>
          <w:tcPr>
            <w:tcW w:w="1095" w:type="dxa"/>
            <w:vAlign w:val="center"/>
          </w:tcPr>
          <w:p>
            <w:pPr>
              <w:pStyle w:val="14"/>
              <w:rPr>
                <w:color w:val="auto"/>
              </w:rPr>
            </w:pPr>
            <w:r>
              <w:rPr>
                <w:color w:val="auto"/>
              </w:rPr>
              <w:t>7</w:t>
            </w:r>
          </w:p>
        </w:tc>
        <w:tc>
          <w:tcPr>
            <w:tcW w:w="1095"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w:t>
            </w:r>
          </w:p>
        </w:tc>
        <w:tc>
          <w:tcPr>
            <w:tcW w:w="1095" w:type="dxa"/>
            <w:vAlign w:val="center"/>
          </w:tcPr>
          <w:p>
            <w:pPr>
              <w:pStyle w:val="20"/>
              <w:rPr>
                <w:color w:val="auto"/>
              </w:rPr>
            </w:pPr>
          </w:p>
        </w:tc>
        <w:tc>
          <w:tcPr>
            <w:tcW w:w="1095" w:type="dxa"/>
            <w:vAlign w:val="center"/>
          </w:tcPr>
          <w:p>
            <w:pPr>
              <w:pStyle w:val="18"/>
              <w:rPr>
                <w:color w:val="auto"/>
              </w:rPr>
            </w:pPr>
            <w:r>
              <w:rPr>
                <w:color w:val="auto"/>
              </w:rPr>
              <w:t>合计</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793.06</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350.53</w:t>
            </w:r>
          </w:p>
        </w:tc>
        <w:tc>
          <w:tcPr>
            <w:tcW w:w="1095" w:type="dxa"/>
            <w:vAlign w:val="center"/>
          </w:tcPr>
          <w:p>
            <w:pPr>
              <w:pStyle w:val="19"/>
              <w:rPr>
                <w:color w:val="auto"/>
              </w:rPr>
            </w:pPr>
          </w:p>
        </w:tc>
        <w:tc>
          <w:tcPr>
            <w:tcW w:w="1095" w:type="dxa"/>
            <w:vAlign w:val="center"/>
          </w:tcPr>
          <w:p>
            <w:pPr>
              <w:pStyle w:val="19"/>
              <w:rPr>
                <w:color w:val="auto"/>
              </w:rPr>
            </w:pPr>
          </w:p>
        </w:tc>
        <w:tc>
          <w:tcPr>
            <w:tcW w:w="1095"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2</w:t>
            </w:r>
          </w:p>
        </w:tc>
        <w:tc>
          <w:tcPr>
            <w:tcW w:w="1095" w:type="dxa"/>
            <w:vAlign w:val="center"/>
          </w:tcPr>
          <w:p>
            <w:pPr>
              <w:pStyle w:val="16"/>
              <w:rPr>
                <w:color w:val="auto"/>
              </w:rPr>
            </w:pPr>
            <w:r>
              <w:rPr>
                <w:color w:val="auto"/>
              </w:rPr>
              <w:t>201</w:t>
            </w:r>
          </w:p>
        </w:tc>
        <w:tc>
          <w:tcPr>
            <w:tcW w:w="1095" w:type="dxa"/>
            <w:vAlign w:val="center"/>
          </w:tcPr>
          <w:p>
            <w:pPr>
              <w:pStyle w:val="16"/>
              <w:rPr>
                <w:color w:val="auto"/>
              </w:rPr>
            </w:pPr>
            <w:r>
              <w:rPr>
                <w:color w:val="auto"/>
              </w:rPr>
              <w:t>一般公共服务支出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color w:val="auto"/>
              </w:rPr>
            </w:pPr>
            <w:r>
              <w:rPr>
                <w:rFonts w:hint="eastAsia"/>
                <w:color w:val="auto"/>
                <w:lang w:val="en-US" w:eastAsia="zh-CN"/>
              </w:rPr>
              <w:t>350.53</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3</w:t>
            </w:r>
          </w:p>
        </w:tc>
        <w:tc>
          <w:tcPr>
            <w:tcW w:w="1095" w:type="dxa"/>
            <w:vAlign w:val="center"/>
          </w:tcPr>
          <w:p>
            <w:pPr>
              <w:pStyle w:val="16"/>
              <w:rPr>
                <w:color w:val="auto"/>
              </w:rPr>
            </w:pPr>
            <w:r>
              <w:rPr>
                <w:color w:val="auto"/>
              </w:rPr>
              <w:t>20104</w:t>
            </w:r>
          </w:p>
        </w:tc>
        <w:tc>
          <w:tcPr>
            <w:tcW w:w="1095" w:type="dxa"/>
            <w:vAlign w:val="center"/>
          </w:tcPr>
          <w:p>
            <w:pPr>
              <w:pStyle w:val="16"/>
              <w:rPr>
                <w:color w:val="auto"/>
              </w:rPr>
            </w:pPr>
            <w:r>
              <w:rPr>
                <w:color w:val="auto"/>
              </w:rPr>
              <w:t>发展与改革事务</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color w:val="auto"/>
              </w:rPr>
            </w:pPr>
            <w:r>
              <w:rPr>
                <w:rFonts w:hint="eastAsia"/>
                <w:color w:val="auto"/>
                <w:lang w:val="en-US" w:eastAsia="zh-CN"/>
              </w:rPr>
              <w:t>350.53</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4</w:t>
            </w:r>
          </w:p>
        </w:tc>
        <w:tc>
          <w:tcPr>
            <w:tcW w:w="1095" w:type="dxa"/>
            <w:vAlign w:val="center"/>
          </w:tcPr>
          <w:p>
            <w:pPr>
              <w:pStyle w:val="16"/>
              <w:rPr>
                <w:color w:val="auto"/>
              </w:rPr>
            </w:pPr>
            <w:r>
              <w:rPr>
                <w:color w:val="auto"/>
              </w:rPr>
              <w:t>2010401</w:t>
            </w:r>
          </w:p>
        </w:tc>
        <w:tc>
          <w:tcPr>
            <w:tcW w:w="1095" w:type="dxa"/>
            <w:vAlign w:val="center"/>
          </w:tcPr>
          <w:p>
            <w:pPr>
              <w:pStyle w:val="16"/>
              <w:rPr>
                <w:color w:val="auto"/>
              </w:rPr>
            </w:pPr>
            <w:r>
              <w:rPr>
                <w:color w:val="auto"/>
              </w:rPr>
              <w:t>行政运行</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920.34</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284.78</w:t>
            </w:r>
          </w:p>
        </w:tc>
        <w:tc>
          <w:tcPr>
            <w:tcW w:w="1095" w:type="dxa"/>
            <w:vAlign w:val="center"/>
          </w:tcPr>
          <w:p>
            <w:pPr>
              <w:pStyle w:val="15"/>
              <w:rPr>
                <w:rFonts w:hint="default"/>
                <w:color w:val="auto"/>
                <w:lang w:val="en-US"/>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5</w:t>
            </w:r>
          </w:p>
        </w:tc>
        <w:tc>
          <w:tcPr>
            <w:tcW w:w="1095" w:type="dxa"/>
            <w:vAlign w:val="center"/>
          </w:tcPr>
          <w:p>
            <w:pPr>
              <w:pStyle w:val="16"/>
              <w:rPr>
                <w:color w:val="auto"/>
              </w:rPr>
            </w:pPr>
            <w:r>
              <w:rPr>
                <w:color w:val="auto"/>
              </w:rPr>
              <w:t>2010407</w:t>
            </w:r>
          </w:p>
        </w:tc>
        <w:tc>
          <w:tcPr>
            <w:tcW w:w="1095" w:type="dxa"/>
            <w:vAlign w:val="center"/>
          </w:tcPr>
          <w:p>
            <w:pPr>
              <w:pStyle w:val="16"/>
              <w:rPr>
                <w:color w:val="auto"/>
              </w:rPr>
            </w:pPr>
            <w:r>
              <w:rPr>
                <w:color w:val="auto"/>
              </w:rPr>
              <w:t>经济体制改革研究</w:t>
            </w:r>
          </w:p>
        </w:tc>
        <w:tc>
          <w:tcPr>
            <w:tcW w:w="1095" w:type="dxa"/>
            <w:vAlign w:val="center"/>
          </w:tcPr>
          <w:p>
            <w:pPr>
              <w:pStyle w:val="15"/>
              <w:tabs>
                <w:tab w:val="left" w:pos="291"/>
                <w:tab w:val="right" w:pos="999"/>
              </w:tabs>
              <w:jc w:val="left"/>
              <w:rPr>
                <w:color w:val="auto"/>
              </w:rPr>
            </w:pPr>
            <w:r>
              <w:rPr>
                <w:rFonts w:hint="eastAsia"/>
                <w:color w:val="auto"/>
                <w:lang w:eastAsia="zh-CN"/>
              </w:rPr>
              <w:tab/>
            </w:r>
            <w:r>
              <w:rPr>
                <w:rFonts w:hint="eastAsia"/>
                <w:color w:val="auto"/>
                <w:lang w:val="en-US" w:eastAsia="zh-CN"/>
              </w:rPr>
              <w:t>31.19</w:t>
            </w:r>
          </w:p>
        </w:tc>
        <w:tc>
          <w:tcPr>
            <w:tcW w:w="1095" w:type="dxa"/>
            <w:vAlign w:val="center"/>
          </w:tcPr>
          <w:p>
            <w:pPr>
              <w:pStyle w:val="15"/>
              <w:tabs>
                <w:tab w:val="left" w:pos="291"/>
                <w:tab w:val="right" w:pos="999"/>
              </w:tabs>
              <w:ind w:firstLine="0" w:firstLineChars="0"/>
              <w:jc w:val="left"/>
              <w:rPr>
                <w:rFonts w:ascii="方正书宋_GBK" w:hAnsi="方正书宋_GBK" w:eastAsia="方正书宋_GBK" w:cs="方正书宋_GBK"/>
                <w:color w:val="auto"/>
                <w:sz w:val="21"/>
                <w:szCs w:val="24"/>
                <w:lang w:val="en-US" w:eastAsia="uk-UA" w:bidi="ar-SA"/>
              </w:rPr>
            </w:pPr>
            <w:r>
              <w:rPr>
                <w:rFonts w:hint="eastAsia"/>
                <w:color w:val="auto"/>
                <w:lang w:eastAsia="zh-CN"/>
              </w:rPr>
              <w:tab/>
            </w:r>
          </w:p>
        </w:tc>
        <w:tc>
          <w:tcPr>
            <w:tcW w:w="1095" w:type="dxa"/>
            <w:vAlign w:val="center"/>
          </w:tcPr>
          <w:p>
            <w:pPr>
              <w:pStyle w:val="15"/>
              <w:tabs>
                <w:tab w:val="left" w:pos="291"/>
                <w:tab w:val="right" w:pos="999"/>
              </w:tabs>
              <w:ind w:firstLine="0" w:firstLineChars="0"/>
              <w:jc w:val="left"/>
              <w:rPr>
                <w:rFonts w:ascii="方正书宋_GBK" w:hAnsi="方正书宋_GBK" w:eastAsia="方正书宋_GBK" w:cs="方正书宋_GBK"/>
                <w:color w:val="auto"/>
                <w:sz w:val="21"/>
                <w:szCs w:val="24"/>
                <w:lang w:val="en-US" w:eastAsia="uk-UA" w:bidi="ar-SA"/>
              </w:rPr>
            </w:pPr>
            <w:r>
              <w:rPr>
                <w:rFonts w:hint="eastAsia"/>
                <w:color w:val="auto"/>
                <w:lang w:eastAsia="zh-CN"/>
              </w:rPr>
              <w:tab/>
            </w:r>
            <w:r>
              <w:rPr>
                <w:rFonts w:hint="eastAsia"/>
                <w:color w:val="auto"/>
                <w:lang w:val="en-US" w:eastAsia="zh-CN"/>
              </w:rPr>
              <w:t>31.19</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6</w:t>
            </w:r>
          </w:p>
        </w:tc>
        <w:tc>
          <w:tcPr>
            <w:tcW w:w="1095" w:type="dxa"/>
            <w:vAlign w:val="center"/>
          </w:tcPr>
          <w:p>
            <w:pPr>
              <w:pStyle w:val="16"/>
              <w:rPr>
                <w:color w:val="auto"/>
              </w:rPr>
            </w:pPr>
            <w:r>
              <w:rPr>
                <w:color w:val="auto"/>
              </w:rPr>
              <w:t>2010408</w:t>
            </w:r>
          </w:p>
        </w:tc>
        <w:tc>
          <w:tcPr>
            <w:tcW w:w="1095" w:type="dxa"/>
            <w:vAlign w:val="center"/>
          </w:tcPr>
          <w:p>
            <w:pPr>
              <w:pStyle w:val="16"/>
              <w:rPr>
                <w:color w:val="auto"/>
              </w:rPr>
            </w:pPr>
            <w:r>
              <w:rPr>
                <w:color w:val="auto"/>
              </w:rPr>
              <w:t>物价管理</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12.52</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12.52</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7</w:t>
            </w:r>
          </w:p>
        </w:tc>
        <w:tc>
          <w:tcPr>
            <w:tcW w:w="1095" w:type="dxa"/>
            <w:vAlign w:val="center"/>
          </w:tcPr>
          <w:p>
            <w:pPr>
              <w:pStyle w:val="16"/>
              <w:rPr>
                <w:color w:val="auto"/>
              </w:rPr>
            </w:pPr>
            <w:r>
              <w:rPr>
                <w:color w:val="auto"/>
              </w:rPr>
              <w:t>2010499</w:t>
            </w:r>
          </w:p>
        </w:tc>
        <w:tc>
          <w:tcPr>
            <w:tcW w:w="1095" w:type="dxa"/>
            <w:vAlign w:val="center"/>
          </w:tcPr>
          <w:p>
            <w:pPr>
              <w:pStyle w:val="16"/>
              <w:rPr>
                <w:color w:val="auto"/>
              </w:rPr>
            </w:pPr>
            <w:r>
              <w:rPr>
                <w:color w:val="auto"/>
              </w:rPr>
              <w:t>其他发展与改革事务支出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22.04</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8</w:t>
            </w:r>
          </w:p>
        </w:tc>
        <w:tc>
          <w:tcPr>
            <w:tcW w:w="1095" w:type="dxa"/>
            <w:vAlign w:val="center"/>
          </w:tcPr>
          <w:p>
            <w:pPr>
              <w:pStyle w:val="16"/>
              <w:rPr>
                <w:color w:val="auto"/>
              </w:rPr>
            </w:pPr>
            <w:r>
              <w:rPr>
                <w:color w:val="auto"/>
              </w:rPr>
              <w:t>208</w:t>
            </w:r>
          </w:p>
        </w:tc>
        <w:tc>
          <w:tcPr>
            <w:tcW w:w="1095" w:type="dxa"/>
            <w:vAlign w:val="center"/>
          </w:tcPr>
          <w:p>
            <w:pPr>
              <w:pStyle w:val="16"/>
              <w:rPr>
                <w:color w:val="auto"/>
              </w:rPr>
            </w:pPr>
            <w:r>
              <w:rPr>
                <w:color w:val="auto"/>
              </w:rPr>
              <w:t>社会保障和就业支出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9</w:t>
            </w:r>
          </w:p>
        </w:tc>
        <w:tc>
          <w:tcPr>
            <w:tcW w:w="1095" w:type="dxa"/>
            <w:vAlign w:val="center"/>
          </w:tcPr>
          <w:p>
            <w:pPr>
              <w:pStyle w:val="16"/>
              <w:rPr>
                <w:color w:val="auto"/>
              </w:rPr>
            </w:pPr>
            <w:r>
              <w:rPr>
                <w:color w:val="auto"/>
              </w:rPr>
              <w:t>20805</w:t>
            </w:r>
          </w:p>
        </w:tc>
        <w:tc>
          <w:tcPr>
            <w:tcW w:w="1095" w:type="dxa"/>
            <w:vAlign w:val="center"/>
          </w:tcPr>
          <w:p>
            <w:pPr>
              <w:pStyle w:val="16"/>
              <w:rPr>
                <w:color w:val="auto"/>
              </w:rPr>
            </w:pPr>
            <w:r>
              <w:rPr>
                <w:color w:val="auto"/>
              </w:rPr>
              <w:t>行政事业单位养老支出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10</w:t>
            </w:r>
          </w:p>
        </w:tc>
        <w:tc>
          <w:tcPr>
            <w:tcW w:w="1095" w:type="dxa"/>
            <w:vAlign w:val="center"/>
          </w:tcPr>
          <w:p>
            <w:pPr>
              <w:pStyle w:val="16"/>
              <w:rPr>
                <w:color w:val="auto"/>
              </w:rPr>
            </w:pPr>
            <w:r>
              <w:rPr>
                <w:color w:val="auto"/>
              </w:rPr>
              <w:t>2080505</w:t>
            </w:r>
          </w:p>
        </w:tc>
        <w:tc>
          <w:tcPr>
            <w:tcW w:w="1095" w:type="dxa"/>
            <w:vAlign w:val="center"/>
          </w:tcPr>
          <w:p>
            <w:pPr>
              <w:pStyle w:val="16"/>
              <w:rPr>
                <w:color w:val="auto"/>
              </w:rPr>
            </w:pPr>
            <w:r>
              <w:rPr>
                <w:color w:val="auto"/>
              </w:rPr>
              <w:t>机关事业单位基本养老保险缴费支出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11</w:t>
            </w:r>
          </w:p>
        </w:tc>
        <w:tc>
          <w:tcPr>
            <w:tcW w:w="1095" w:type="dxa"/>
            <w:vAlign w:val="center"/>
          </w:tcPr>
          <w:p>
            <w:pPr>
              <w:pStyle w:val="16"/>
              <w:rPr>
                <w:color w:val="auto"/>
              </w:rPr>
            </w:pPr>
            <w:r>
              <w:rPr>
                <w:color w:val="auto"/>
              </w:rPr>
              <w:t>221</w:t>
            </w:r>
          </w:p>
        </w:tc>
        <w:tc>
          <w:tcPr>
            <w:tcW w:w="1095" w:type="dxa"/>
            <w:vAlign w:val="center"/>
          </w:tcPr>
          <w:p>
            <w:pPr>
              <w:pStyle w:val="16"/>
              <w:rPr>
                <w:color w:val="auto"/>
              </w:rPr>
            </w:pPr>
            <w:r>
              <w:rPr>
                <w:color w:val="auto"/>
              </w:rPr>
              <w:t>住房保障支出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12</w:t>
            </w:r>
          </w:p>
        </w:tc>
        <w:tc>
          <w:tcPr>
            <w:tcW w:w="1095" w:type="dxa"/>
            <w:vAlign w:val="center"/>
          </w:tcPr>
          <w:p>
            <w:pPr>
              <w:pStyle w:val="16"/>
              <w:rPr>
                <w:color w:val="auto"/>
              </w:rPr>
            </w:pPr>
            <w:r>
              <w:rPr>
                <w:color w:val="auto"/>
              </w:rPr>
              <w:t>22102</w:t>
            </w:r>
          </w:p>
        </w:tc>
        <w:tc>
          <w:tcPr>
            <w:tcW w:w="1095" w:type="dxa"/>
            <w:vAlign w:val="center"/>
          </w:tcPr>
          <w:p>
            <w:pPr>
              <w:pStyle w:val="16"/>
              <w:rPr>
                <w:color w:val="auto"/>
              </w:rPr>
            </w:pPr>
            <w:r>
              <w:rPr>
                <w:color w:val="auto"/>
              </w:rPr>
              <w:t>住房改革支出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13</w:t>
            </w:r>
          </w:p>
        </w:tc>
        <w:tc>
          <w:tcPr>
            <w:tcW w:w="1095" w:type="dxa"/>
            <w:vAlign w:val="center"/>
          </w:tcPr>
          <w:p>
            <w:pPr>
              <w:pStyle w:val="16"/>
              <w:rPr>
                <w:color w:val="auto"/>
              </w:rPr>
            </w:pPr>
            <w:r>
              <w:rPr>
                <w:color w:val="auto"/>
              </w:rPr>
              <w:t>2210201</w:t>
            </w:r>
          </w:p>
        </w:tc>
        <w:tc>
          <w:tcPr>
            <w:tcW w:w="1095" w:type="dxa"/>
            <w:vAlign w:val="center"/>
          </w:tcPr>
          <w:p>
            <w:pPr>
              <w:pStyle w:val="16"/>
              <w:rPr>
                <w:color w:val="auto"/>
              </w:rPr>
            </w:pPr>
            <w:r>
              <w:rPr>
                <w:color w:val="auto"/>
              </w:rPr>
              <w:t>住房公积金</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6"/>
              <w:rPr>
                <w:color w:val="auto"/>
              </w:rPr>
            </w:pPr>
            <w:r>
              <w:rPr>
                <w:color w:val="auto"/>
              </w:rPr>
              <w:t>一、一般公共服务支出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8"/>
              <w:rPr>
                <w:color w:val="auto"/>
              </w:rPr>
            </w:pPr>
            <w:r>
              <w:rPr>
                <w:color w:val="auto"/>
              </w:rPr>
              <w:t>本年支出合计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8"/>
              <w:rPr>
                <w:color w:val="auto"/>
              </w:rPr>
            </w:pPr>
            <w:r>
              <w:rPr>
                <w:color w:val="auto"/>
              </w:rPr>
              <w:t>支出总计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color w:val="auto"/>
              </w:rPr>
            </w:pPr>
          </w:p>
        </w:tc>
        <w:tc>
          <w:tcPr>
            <w:tcW w:w="1474" w:type="dxa"/>
            <w:vAlign w:val="center"/>
          </w:tcPr>
          <w:p>
            <w:pPr>
              <w:pStyle w:val="19"/>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4" w:name="_Toc_2_2_0000000005"/>
      <w:r>
        <w:rPr>
          <w:rFonts w:ascii="方正小标宋_GBK" w:hAnsi="方正小标宋_GBK" w:eastAsia="方正小标宋_GBK" w:cs="方正小标宋_GBK"/>
          <w:color w:val="auto"/>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1191" w:type="dxa"/>
            <w:vAlign w:val="center"/>
          </w:tcPr>
          <w:p>
            <w:pPr>
              <w:pStyle w:val="20"/>
              <w:rPr>
                <w:color w:val="auto"/>
              </w:rPr>
            </w:pPr>
          </w:p>
        </w:tc>
        <w:tc>
          <w:tcPr>
            <w:tcW w:w="4535" w:type="dxa"/>
            <w:vAlign w:val="center"/>
          </w:tcPr>
          <w:p>
            <w:pPr>
              <w:pStyle w:val="18"/>
              <w:rPr>
                <w:color w:val="auto"/>
              </w:rPr>
            </w:pPr>
            <w:r>
              <w:rPr>
                <w:color w:val="auto"/>
              </w:rPr>
              <w:t>合计</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793.06</w:t>
            </w:r>
          </w:p>
        </w:tc>
        <w:tc>
          <w:tcPr>
            <w:tcW w:w="2551" w:type="dxa"/>
            <w:vAlign w:val="center"/>
          </w:tcPr>
          <w:p>
            <w:pPr>
              <w:pStyle w:val="19"/>
              <w:rPr>
                <w:rFonts w:hint="default" w:ascii="方正书宋_GBK" w:hAnsi="方正书宋_GBK" w:eastAsia="方正书宋_GBK" w:cs="方正书宋_GBK"/>
                <w:b w:val="0"/>
                <w:color w:val="auto"/>
                <w:sz w:val="21"/>
                <w:szCs w:val="24"/>
                <w:lang w:val="en-US" w:eastAsia="zh-CN" w:bidi="ar-SA"/>
              </w:rPr>
            </w:pPr>
            <w:r>
              <w:rPr>
                <w:rFonts w:hint="eastAsia" w:ascii="方正书宋_GBK" w:hAnsi="方正书宋_GBK" w:eastAsia="方正书宋_GBK" w:cs="方正书宋_GBK"/>
                <w:b w:val="0"/>
                <w:color w:val="auto"/>
                <w:sz w:val="21"/>
                <w:szCs w:val="24"/>
                <w:lang w:val="en-US" w:eastAsia="zh-CN" w:bidi="ar-SA"/>
              </w:rP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1191" w:type="dxa"/>
            <w:vAlign w:val="center"/>
          </w:tcPr>
          <w:p>
            <w:pPr>
              <w:pStyle w:val="16"/>
              <w:rPr>
                <w:color w:val="auto"/>
              </w:rPr>
            </w:pPr>
            <w:r>
              <w:rPr>
                <w:color w:val="auto"/>
              </w:rPr>
              <w:t>201</w:t>
            </w:r>
          </w:p>
        </w:tc>
        <w:tc>
          <w:tcPr>
            <w:tcW w:w="4535" w:type="dxa"/>
            <w:vAlign w:val="center"/>
          </w:tcPr>
          <w:p>
            <w:pPr>
              <w:pStyle w:val="16"/>
              <w:rPr>
                <w:color w:val="auto"/>
              </w:rPr>
            </w:pPr>
            <w:r>
              <w:rPr>
                <w:color w:val="auto"/>
              </w:rPr>
              <w:t>一般公共服务支出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2551" w:type="dxa"/>
            <w:vAlign w:val="center"/>
          </w:tcPr>
          <w:p>
            <w:pPr>
              <w:pStyle w:val="15"/>
              <w:rPr>
                <w:color w:val="auto"/>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1191" w:type="dxa"/>
            <w:vAlign w:val="center"/>
          </w:tcPr>
          <w:p>
            <w:pPr>
              <w:pStyle w:val="16"/>
              <w:rPr>
                <w:color w:val="auto"/>
              </w:rPr>
            </w:pPr>
            <w:r>
              <w:rPr>
                <w:color w:val="auto"/>
              </w:rPr>
              <w:t>20104</w:t>
            </w:r>
          </w:p>
        </w:tc>
        <w:tc>
          <w:tcPr>
            <w:tcW w:w="4535" w:type="dxa"/>
            <w:vAlign w:val="center"/>
          </w:tcPr>
          <w:p>
            <w:pPr>
              <w:pStyle w:val="16"/>
              <w:rPr>
                <w:color w:val="auto"/>
              </w:rPr>
            </w:pPr>
            <w:r>
              <w:rPr>
                <w:color w:val="auto"/>
              </w:rPr>
              <w:t>发展与改革事务</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1191" w:type="dxa"/>
            <w:vAlign w:val="center"/>
          </w:tcPr>
          <w:p>
            <w:pPr>
              <w:pStyle w:val="16"/>
              <w:rPr>
                <w:color w:val="auto"/>
              </w:rPr>
            </w:pPr>
            <w:r>
              <w:rPr>
                <w:color w:val="auto"/>
              </w:rPr>
              <w:t>2010401</w:t>
            </w:r>
          </w:p>
        </w:tc>
        <w:tc>
          <w:tcPr>
            <w:tcW w:w="4535" w:type="dxa"/>
            <w:vAlign w:val="center"/>
          </w:tcPr>
          <w:p>
            <w:pPr>
              <w:pStyle w:val="16"/>
              <w:rPr>
                <w:color w:val="auto"/>
              </w:rPr>
            </w:pPr>
            <w:r>
              <w:rPr>
                <w:color w:val="auto"/>
              </w:rPr>
              <w:t>行政运行</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920.34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1191" w:type="dxa"/>
            <w:vAlign w:val="center"/>
          </w:tcPr>
          <w:p>
            <w:pPr>
              <w:pStyle w:val="16"/>
              <w:rPr>
                <w:color w:val="auto"/>
              </w:rPr>
            </w:pPr>
            <w:r>
              <w:rPr>
                <w:color w:val="auto"/>
              </w:rPr>
              <w:t>2010407</w:t>
            </w:r>
          </w:p>
        </w:tc>
        <w:tc>
          <w:tcPr>
            <w:tcW w:w="4535" w:type="dxa"/>
            <w:vAlign w:val="center"/>
          </w:tcPr>
          <w:p>
            <w:pPr>
              <w:pStyle w:val="16"/>
              <w:rPr>
                <w:color w:val="auto"/>
              </w:rPr>
            </w:pPr>
            <w:r>
              <w:rPr>
                <w:color w:val="auto"/>
              </w:rPr>
              <w:t>经济体制改革研究</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31.19</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1191" w:type="dxa"/>
            <w:vAlign w:val="center"/>
          </w:tcPr>
          <w:p>
            <w:pPr>
              <w:pStyle w:val="16"/>
              <w:rPr>
                <w:color w:val="auto"/>
              </w:rPr>
            </w:pPr>
            <w:r>
              <w:rPr>
                <w:color w:val="auto"/>
              </w:rPr>
              <w:t>2010408</w:t>
            </w:r>
          </w:p>
        </w:tc>
        <w:tc>
          <w:tcPr>
            <w:tcW w:w="4535" w:type="dxa"/>
            <w:vAlign w:val="center"/>
          </w:tcPr>
          <w:p>
            <w:pPr>
              <w:pStyle w:val="16"/>
              <w:rPr>
                <w:color w:val="auto"/>
              </w:rPr>
            </w:pPr>
            <w:r>
              <w:rPr>
                <w:color w:val="auto"/>
              </w:rPr>
              <w:t>物价管理</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12.52</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1191" w:type="dxa"/>
            <w:vAlign w:val="center"/>
          </w:tcPr>
          <w:p>
            <w:pPr>
              <w:pStyle w:val="16"/>
              <w:rPr>
                <w:color w:val="auto"/>
              </w:rPr>
            </w:pPr>
            <w:r>
              <w:rPr>
                <w:color w:val="auto"/>
              </w:rPr>
              <w:t>2010499</w:t>
            </w:r>
          </w:p>
        </w:tc>
        <w:tc>
          <w:tcPr>
            <w:tcW w:w="4535" w:type="dxa"/>
            <w:vAlign w:val="center"/>
          </w:tcPr>
          <w:p>
            <w:pPr>
              <w:pStyle w:val="16"/>
              <w:rPr>
                <w:color w:val="auto"/>
              </w:rPr>
            </w:pPr>
            <w:r>
              <w:rPr>
                <w:color w:val="auto"/>
              </w:rPr>
              <w:t>其他发展与改革事务支出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22.04</w:t>
            </w:r>
          </w:p>
        </w:tc>
        <w:tc>
          <w:tcPr>
            <w:tcW w:w="2551" w:type="dxa"/>
            <w:vAlign w:val="center"/>
          </w:tcPr>
          <w:p>
            <w:pPr>
              <w:pStyle w:val="15"/>
              <w:rPr>
                <w:rFonts w:hint="default"/>
                <w:color w:val="auto"/>
                <w:lang w:val="en-US"/>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1191" w:type="dxa"/>
            <w:vAlign w:val="center"/>
          </w:tcPr>
          <w:p>
            <w:pPr>
              <w:pStyle w:val="16"/>
              <w:rPr>
                <w:color w:val="auto"/>
              </w:rPr>
            </w:pPr>
            <w:r>
              <w:rPr>
                <w:color w:val="auto"/>
              </w:rPr>
              <w:t>208</w:t>
            </w:r>
          </w:p>
        </w:tc>
        <w:tc>
          <w:tcPr>
            <w:tcW w:w="4535" w:type="dxa"/>
            <w:vAlign w:val="center"/>
          </w:tcPr>
          <w:p>
            <w:pPr>
              <w:pStyle w:val="16"/>
              <w:rPr>
                <w:color w:val="auto"/>
              </w:rPr>
            </w:pPr>
            <w:r>
              <w:rPr>
                <w:color w:val="auto"/>
              </w:rPr>
              <w:t>社会保障和就业支出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1191" w:type="dxa"/>
            <w:vAlign w:val="center"/>
          </w:tcPr>
          <w:p>
            <w:pPr>
              <w:pStyle w:val="16"/>
              <w:rPr>
                <w:color w:val="auto"/>
              </w:rPr>
            </w:pPr>
            <w:r>
              <w:rPr>
                <w:color w:val="auto"/>
              </w:rPr>
              <w:t>20805</w:t>
            </w:r>
          </w:p>
        </w:tc>
        <w:tc>
          <w:tcPr>
            <w:tcW w:w="4535" w:type="dxa"/>
            <w:vAlign w:val="center"/>
          </w:tcPr>
          <w:p>
            <w:pPr>
              <w:pStyle w:val="16"/>
              <w:rPr>
                <w:color w:val="auto"/>
              </w:rPr>
            </w:pPr>
            <w:r>
              <w:rPr>
                <w:color w:val="auto"/>
              </w:rPr>
              <w:t>行政事业单位养老支出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1191" w:type="dxa"/>
            <w:vAlign w:val="center"/>
          </w:tcPr>
          <w:p>
            <w:pPr>
              <w:pStyle w:val="16"/>
              <w:rPr>
                <w:color w:val="auto"/>
              </w:rPr>
            </w:pPr>
            <w:r>
              <w:rPr>
                <w:color w:val="auto"/>
              </w:rPr>
              <w:t>2080505</w:t>
            </w:r>
          </w:p>
        </w:tc>
        <w:tc>
          <w:tcPr>
            <w:tcW w:w="4535" w:type="dxa"/>
            <w:vAlign w:val="center"/>
          </w:tcPr>
          <w:p>
            <w:pPr>
              <w:pStyle w:val="16"/>
              <w:rPr>
                <w:color w:val="auto"/>
              </w:rPr>
            </w:pPr>
            <w:r>
              <w:rPr>
                <w:color w:val="auto"/>
              </w:rPr>
              <w:t>机关事业单位基本养老保险缴费支出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1191" w:type="dxa"/>
            <w:vAlign w:val="center"/>
          </w:tcPr>
          <w:p>
            <w:pPr>
              <w:pStyle w:val="16"/>
              <w:rPr>
                <w:color w:val="auto"/>
              </w:rPr>
            </w:pPr>
            <w:r>
              <w:rPr>
                <w:color w:val="auto"/>
              </w:rPr>
              <w:t>221</w:t>
            </w:r>
          </w:p>
        </w:tc>
        <w:tc>
          <w:tcPr>
            <w:tcW w:w="4535" w:type="dxa"/>
            <w:vAlign w:val="center"/>
          </w:tcPr>
          <w:p>
            <w:pPr>
              <w:pStyle w:val="16"/>
              <w:rPr>
                <w:color w:val="auto"/>
              </w:rPr>
            </w:pPr>
            <w:r>
              <w:rPr>
                <w:color w:val="auto"/>
              </w:rPr>
              <w:t>住房保障支出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1191" w:type="dxa"/>
            <w:vAlign w:val="center"/>
          </w:tcPr>
          <w:p>
            <w:pPr>
              <w:pStyle w:val="16"/>
              <w:rPr>
                <w:color w:val="auto"/>
              </w:rPr>
            </w:pPr>
            <w:r>
              <w:rPr>
                <w:color w:val="auto"/>
              </w:rPr>
              <w:t>22102</w:t>
            </w:r>
          </w:p>
        </w:tc>
        <w:tc>
          <w:tcPr>
            <w:tcW w:w="4535" w:type="dxa"/>
            <w:vAlign w:val="center"/>
          </w:tcPr>
          <w:p>
            <w:pPr>
              <w:pStyle w:val="16"/>
              <w:rPr>
                <w:color w:val="auto"/>
              </w:rPr>
            </w:pPr>
            <w:r>
              <w:rPr>
                <w:color w:val="auto"/>
              </w:rPr>
              <w:t>住房改革支出</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1191" w:type="dxa"/>
            <w:vAlign w:val="center"/>
          </w:tcPr>
          <w:p>
            <w:pPr>
              <w:pStyle w:val="16"/>
              <w:rPr>
                <w:color w:val="auto"/>
              </w:rPr>
            </w:pPr>
            <w:r>
              <w:rPr>
                <w:color w:val="auto"/>
              </w:rPr>
              <w:t>2210201</w:t>
            </w:r>
          </w:p>
        </w:tc>
        <w:tc>
          <w:tcPr>
            <w:tcW w:w="4535" w:type="dxa"/>
            <w:vAlign w:val="center"/>
          </w:tcPr>
          <w:p>
            <w:pPr>
              <w:pStyle w:val="16"/>
              <w:rPr>
                <w:color w:val="auto"/>
              </w:rPr>
            </w:pPr>
            <w:r>
              <w:rPr>
                <w:color w:val="auto"/>
              </w:rPr>
              <w:t>住房公积金</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5" w:name="_Toc_2_2_0000000006"/>
      <w:r>
        <w:rPr>
          <w:rFonts w:ascii="方正小标宋_GBK" w:hAnsi="方正小标宋_GBK" w:eastAsia="方正小标宋_GBK" w:cs="方正小标宋_GBK"/>
          <w:color w:val="auto"/>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rPr>
                <w:color w:val="auto"/>
              </w:rPr>
            </w:pPr>
            <w:r>
              <w:rPr>
                <w:color w:val="auto"/>
              </w:rPr>
              <w:t>序号</w:t>
            </w:r>
          </w:p>
        </w:tc>
        <w:tc>
          <w:tcPr>
            <w:tcW w:w="3286" w:type="dxa"/>
            <w:gridSpan w:val="2"/>
            <w:vAlign w:val="center"/>
          </w:tcPr>
          <w:p>
            <w:pPr>
              <w:pStyle w:val="14"/>
              <w:rPr>
                <w:color w:val="auto"/>
              </w:rPr>
            </w:pPr>
            <w:r>
              <w:rPr>
                <w:color w:val="auto"/>
              </w:rPr>
              <w:t>支出部门经济分类科目</w:t>
            </w:r>
          </w:p>
        </w:tc>
        <w:tc>
          <w:tcPr>
            <w:tcW w:w="4929"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color w:val="auto"/>
              </w:rPr>
            </w:pPr>
          </w:p>
        </w:tc>
        <w:tc>
          <w:tcPr>
            <w:tcW w:w="1643" w:type="dxa"/>
            <w:vAlign w:val="center"/>
          </w:tcPr>
          <w:p>
            <w:pPr>
              <w:pStyle w:val="14"/>
              <w:rPr>
                <w:color w:val="auto"/>
              </w:rPr>
            </w:pPr>
            <w:r>
              <w:rPr>
                <w:color w:val="auto"/>
              </w:rPr>
              <w:t>科目编码</w:t>
            </w:r>
          </w:p>
        </w:tc>
        <w:tc>
          <w:tcPr>
            <w:tcW w:w="1643" w:type="dxa"/>
            <w:vAlign w:val="center"/>
          </w:tcPr>
          <w:p>
            <w:pPr>
              <w:pStyle w:val="14"/>
              <w:rPr>
                <w:color w:val="auto"/>
              </w:rPr>
            </w:pPr>
            <w:r>
              <w:rPr>
                <w:color w:val="auto"/>
              </w:rPr>
              <w:t>科目名称</w:t>
            </w:r>
          </w:p>
        </w:tc>
        <w:tc>
          <w:tcPr>
            <w:tcW w:w="1643" w:type="dxa"/>
            <w:vAlign w:val="center"/>
          </w:tcPr>
          <w:p>
            <w:pPr>
              <w:pStyle w:val="14"/>
              <w:rPr>
                <w:color w:val="auto"/>
              </w:rPr>
            </w:pPr>
            <w:r>
              <w:rPr>
                <w:color w:val="auto"/>
              </w:rPr>
              <w:t>合计</w:t>
            </w:r>
          </w:p>
        </w:tc>
        <w:tc>
          <w:tcPr>
            <w:tcW w:w="1643" w:type="dxa"/>
            <w:vAlign w:val="center"/>
          </w:tcPr>
          <w:p>
            <w:pPr>
              <w:pStyle w:val="14"/>
              <w:rPr>
                <w:color w:val="auto"/>
              </w:rPr>
            </w:pPr>
            <w:r>
              <w:rPr>
                <w:color w:val="auto"/>
              </w:rPr>
              <w:t>人员经费</w:t>
            </w:r>
          </w:p>
        </w:tc>
        <w:tc>
          <w:tcPr>
            <w:tcW w:w="1643"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rPr>
                <w:color w:val="auto"/>
              </w:rPr>
            </w:pPr>
            <w:r>
              <w:rPr>
                <w:color w:val="auto"/>
              </w:rPr>
              <w:t>栏次</w:t>
            </w:r>
          </w:p>
        </w:tc>
        <w:tc>
          <w:tcPr>
            <w:tcW w:w="1643" w:type="dxa"/>
            <w:vAlign w:val="center"/>
          </w:tcPr>
          <w:p>
            <w:pPr>
              <w:pStyle w:val="14"/>
              <w:rPr>
                <w:color w:val="auto"/>
              </w:rPr>
            </w:pPr>
            <w:r>
              <w:rPr>
                <w:color w:val="auto"/>
              </w:rPr>
              <w:t>1</w:t>
            </w:r>
          </w:p>
        </w:tc>
        <w:tc>
          <w:tcPr>
            <w:tcW w:w="1643" w:type="dxa"/>
            <w:vAlign w:val="center"/>
          </w:tcPr>
          <w:p>
            <w:pPr>
              <w:pStyle w:val="14"/>
              <w:rPr>
                <w:color w:val="auto"/>
              </w:rPr>
            </w:pPr>
            <w:r>
              <w:rPr>
                <w:color w:val="auto"/>
              </w:rPr>
              <w:t>2</w:t>
            </w:r>
          </w:p>
        </w:tc>
        <w:tc>
          <w:tcPr>
            <w:tcW w:w="1643" w:type="dxa"/>
            <w:vAlign w:val="center"/>
          </w:tcPr>
          <w:p>
            <w:pPr>
              <w:pStyle w:val="14"/>
              <w:rPr>
                <w:color w:val="auto"/>
              </w:rPr>
            </w:pPr>
            <w:r>
              <w:rPr>
                <w:color w:val="auto"/>
              </w:rPr>
              <w:t>3</w:t>
            </w:r>
          </w:p>
        </w:tc>
        <w:tc>
          <w:tcPr>
            <w:tcW w:w="1643" w:type="dxa"/>
            <w:vAlign w:val="center"/>
          </w:tcPr>
          <w:p>
            <w:pPr>
              <w:pStyle w:val="14"/>
              <w:rPr>
                <w:color w:val="auto"/>
              </w:rPr>
            </w:pPr>
            <w:r>
              <w:rPr>
                <w:color w:val="auto"/>
              </w:rPr>
              <w:t>4</w:t>
            </w:r>
          </w:p>
        </w:tc>
        <w:tc>
          <w:tcPr>
            <w:tcW w:w="1643"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w:t>
            </w:r>
          </w:p>
        </w:tc>
        <w:tc>
          <w:tcPr>
            <w:tcW w:w="1643" w:type="dxa"/>
            <w:vAlign w:val="center"/>
          </w:tcPr>
          <w:p>
            <w:pPr>
              <w:pStyle w:val="20"/>
              <w:rPr>
                <w:color w:val="auto"/>
              </w:rPr>
            </w:pPr>
          </w:p>
        </w:tc>
        <w:tc>
          <w:tcPr>
            <w:tcW w:w="1643" w:type="dxa"/>
            <w:vAlign w:val="center"/>
          </w:tcPr>
          <w:p>
            <w:pPr>
              <w:pStyle w:val="18"/>
              <w:rPr>
                <w:color w:val="auto"/>
              </w:rPr>
            </w:pPr>
            <w:r>
              <w:rPr>
                <w:color w:val="auto"/>
              </w:rPr>
              <w:t>合计</w:t>
            </w:r>
          </w:p>
        </w:tc>
        <w:tc>
          <w:tcPr>
            <w:tcW w:w="1643" w:type="dxa"/>
            <w:vAlign w:val="center"/>
          </w:tcPr>
          <w:p>
            <w:pPr>
              <w:pStyle w:val="19"/>
              <w:rPr>
                <w:rFonts w:hint="default" w:eastAsia="方正书宋_GBK"/>
                <w:color w:val="auto"/>
                <w:lang w:val="en-US" w:eastAsia="zh-CN"/>
              </w:rPr>
            </w:pPr>
            <w:r>
              <w:rPr>
                <w:rFonts w:hint="eastAsia"/>
                <w:color w:val="auto"/>
                <w:lang w:val="en-US" w:eastAsia="zh-CN"/>
              </w:rPr>
              <w:t>1077.84</w:t>
            </w:r>
          </w:p>
        </w:tc>
        <w:tc>
          <w:tcPr>
            <w:tcW w:w="1643" w:type="dxa"/>
            <w:vAlign w:val="center"/>
          </w:tcPr>
          <w:p>
            <w:pPr>
              <w:pStyle w:val="19"/>
              <w:rPr>
                <w:rFonts w:hint="default" w:eastAsia="方正书宋_GBK"/>
                <w:color w:val="auto"/>
                <w:lang w:val="en-US" w:eastAsia="zh-CN"/>
              </w:rPr>
            </w:pPr>
            <w:r>
              <w:rPr>
                <w:rFonts w:hint="eastAsia"/>
                <w:color w:val="auto"/>
                <w:lang w:val="en-US" w:eastAsia="zh-CN"/>
              </w:rPr>
              <w:t>1026.06</w:t>
            </w:r>
          </w:p>
        </w:tc>
        <w:tc>
          <w:tcPr>
            <w:tcW w:w="1643" w:type="dxa"/>
            <w:vAlign w:val="center"/>
          </w:tcPr>
          <w:p>
            <w:pPr>
              <w:pStyle w:val="19"/>
              <w:rPr>
                <w:color w:val="auto"/>
              </w:rPr>
            </w:pPr>
            <w:r>
              <w:rPr>
                <w:rFonts w:hint="eastAsia"/>
                <w:color w:val="auto"/>
                <w:lang w:val="en-US" w:eastAsia="zh-CN"/>
              </w:rPr>
              <w:t>51.78</w:t>
            </w: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643" w:type="dxa"/>
            <w:vAlign w:val="center"/>
          </w:tcPr>
          <w:p>
            <w:pPr>
              <w:pStyle w:val="17"/>
              <w:rPr>
                <w:color w:val="auto"/>
              </w:rPr>
            </w:pPr>
            <w:r>
              <w:rPr>
                <w:color w:val="auto"/>
              </w:rPr>
              <w:t>2</w:t>
            </w:r>
          </w:p>
        </w:tc>
        <w:tc>
          <w:tcPr>
            <w:tcW w:w="1643" w:type="dxa"/>
            <w:vAlign w:val="center"/>
          </w:tcPr>
          <w:p>
            <w:pPr>
              <w:pStyle w:val="16"/>
              <w:rPr>
                <w:color w:val="auto"/>
              </w:rPr>
            </w:pPr>
            <w:r>
              <w:rPr>
                <w:color w:val="auto"/>
              </w:rPr>
              <w:t>301</w:t>
            </w:r>
          </w:p>
        </w:tc>
        <w:tc>
          <w:tcPr>
            <w:tcW w:w="1643" w:type="dxa"/>
            <w:vAlign w:val="center"/>
          </w:tcPr>
          <w:p>
            <w:pPr>
              <w:pStyle w:val="16"/>
              <w:rPr>
                <w:color w:val="auto"/>
              </w:rPr>
            </w:pPr>
            <w:r>
              <w:rPr>
                <w:color w:val="auto"/>
              </w:rPr>
              <w:t>工资福利支出</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625.34</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625.34</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3</w:t>
            </w:r>
          </w:p>
        </w:tc>
        <w:tc>
          <w:tcPr>
            <w:tcW w:w="1643" w:type="dxa"/>
            <w:vAlign w:val="center"/>
          </w:tcPr>
          <w:p>
            <w:pPr>
              <w:pStyle w:val="16"/>
              <w:rPr>
                <w:color w:val="auto"/>
              </w:rPr>
            </w:pPr>
            <w:r>
              <w:rPr>
                <w:color w:val="auto"/>
              </w:rPr>
              <w:t>30101</w:t>
            </w:r>
          </w:p>
        </w:tc>
        <w:tc>
          <w:tcPr>
            <w:tcW w:w="1643" w:type="dxa"/>
            <w:vAlign w:val="center"/>
          </w:tcPr>
          <w:p>
            <w:pPr>
              <w:pStyle w:val="16"/>
              <w:rPr>
                <w:color w:val="auto"/>
              </w:rPr>
            </w:pPr>
            <w:r>
              <w:rPr>
                <w:color w:val="auto"/>
              </w:rPr>
              <w:t>基本工资</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272.4</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272.4</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4</w:t>
            </w:r>
          </w:p>
        </w:tc>
        <w:tc>
          <w:tcPr>
            <w:tcW w:w="1643" w:type="dxa"/>
            <w:vAlign w:val="center"/>
          </w:tcPr>
          <w:p>
            <w:pPr>
              <w:pStyle w:val="16"/>
              <w:rPr>
                <w:color w:val="auto"/>
              </w:rPr>
            </w:pPr>
            <w:r>
              <w:rPr>
                <w:color w:val="auto"/>
              </w:rPr>
              <w:t>30102</w:t>
            </w:r>
          </w:p>
        </w:tc>
        <w:tc>
          <w:tcPr>
            <w:tcW w:w="1643" w:type="dxa"/>
            <w:vAlign w:val="center"/>
          </w:tcPr>
          <w:p>
            <w:pPr>
              <w:pStyle w:val="16"/>
              <w:rPr>
                <w:color w:val="auto"/>
              </w:rPr>
            </w:pPr>
            <w:r>
              <w:rPr>
                <w:color w:val="auto"/>
              </w:rPr>
              <w:t>津贴补贴</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84.7</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84.7</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5</w:t>
            </w:r>
          </w:p>
        </w:tc>
        <w:tc>
          <w:tcPr>
            <w:tcW w:w="1643" w:type="dxa"/>
            <w:vAlign w:val="center"/>
          </w:tcPr>
          <w:p>
            <w:pPr>
              <w:pStyle w:val="16"/>
              <w:rPr>
                <w:color w:val="auto"/>
              </w:rPr>
            </w:pPr>
            <w:r>
              <w:rPr>
                <w:color w:val="auto"/>
              </w:rPr>
              <w:t>30103</w:t>
            </w:r>
          </w:p>
        </w:tc>
        <w:tc>
          <w:tcPr>
            <w:tcW w:w="1643" w:type="dxa"/>
            <w:vAlign w:val="center"/>
          </w:tcPr>
          <w:p>
            <w:pPr>
              <w:pStyle w:val="16"/>
              <w:rPr>
                <w:color w:val="auto"/>
              </w:rPr>
            </w:pPr>
            <w:r>
              <w:rPr>
                <w:color w:val="auto"/>
              </w:rPr>
              <w:t>奖金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10.27</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10.27</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6</w:t>
            </w:r>
          </w:p>
        </w:tc>
        <w:tc>
          <w:tcPr>
            <w:tcW w:w="1643" w:type="dxa"/>
            <w:vAlign w:val="center"/>
          </w:tcPr>
          <w:p>
            <w:pPr>
              <w:pStyle w:val="16"/>
              <w:rPr>
                <w:color w:val="auto"/>
              </w:rPr>
            </w:pPr>
            <w:r>
              <w:rPr>
                <w:color w:val="auto"/>
              </w:rPr>
              <w:t>30107</w:t>
            </w:r>
          </w:p>
        </w:tc>
        <w:tc>
          <w:tcPr>
            <w:tcW w:w="1643" w:type="dxa"/>
            <w:vAlign w:val="center"/>
          </w:tcPr>
          <w:p>
            <w:pPr>
              <w:pStyle w:val="16"/>
              <w:rPr>
                <w:color w:val="auto"/>
              </w:rPr>
            </w:pPr>
            <w:r>
              <w:rPr>
                <w:color w:val="auto"/>
              </w:rPr>
              <w:t>绩效工资</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99.71</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99.71</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7</w:t>
            </w:r>
          </w:p>
        </w:tc>
        <w:tc>
          <w:tcPr>
            <w:tcW w:w="1643" w:type="dxa"/>
            <w:vAlign w:val="center"/>
          </w:tcPr>
          <w:p>
            <w:pPr>
              <w:pStyle w:val="16"/>
              <w:rPr>
                <w:color w:val="auto"/>
              </w:rPr>
            </w:pPr>
            <w:r>
              <w:rPr>
                <w:color w:val="auto"/>
              </w:rPr>
              <w:t>30108</w:t>
            </w:r>
          </w:p>
        </w:tc>
        <w:tc>
          <w:tcPr>
            <w:tcW w:w="1643" w:type="dxa"/>
            <w:vAlign w:val="center"/>
          </w:tcPr>
          <w:p>
            <w:pPr>
              <w:pStyle w:val="16"/>
              <w:rPr>
                <w:color w:val="auto"/>
              </w:rPr>
            </w:pPr>
            <w:r>
              <w:rPr>
                <w:color w:val="auto"/>
              </w:rPr>
              <w:t>机关事业单位基本养老保险缴费</w:t>
            </w:r>
          </w:p>
        </w:tc>
        <w:tc>
          <w:tcPr>
            <w:tcW w:w="1643" w:type="dxa"/>
            <w:vAlign w:val="center"/>
          </w:tcPr>
          <w:p>
            <w:pPr>
              <w:pStyle w:val="15"/>
              <w:rPr>
                <w:rFonts w:hint="eastAsia" w:eastAsia="方正书宋_GBK"/>
                <w:color w:val="auto"/>
                <w:lang w:val="en-US" w:eastAsia="zh-CN"/>
              </w:rPr>
            </w:pPr>
            <w:r>
              <w:rPr>
                <w:color w:val="auto"/>
              </w:rPr>
              <w:t>9</w:t>
            </w:r>
            <w:r>
              <w:rPr>
                <w:rFonts w:hint="eastAsia"/>
                <w:color w:val="auto"/>
                <w:lang w:val="en-US" w:eastAsia="zh-CN"/>
              </w:rPr>
              <w:t>0</w:t>
            </w:r>
          </w:p>
        </w:tc>
        <w:tc>
          <w:tcPr>
            <w:tcW w:w="1643" w:type="dxa"/>
            <w:vAlign w:val="center"/>
          </w:tcPr>
          <w:p>
            <w:pPr>
              <w:pStyle w:val="15"/>
              <w:ind w:firstLine="0" w:firstLineChars="0"/>
              <w:rPr>
                <w:rFonts w:hint="eastAsia" w:ascii="方正书宋_GBK" w:hAnsi="方正书宋_GBK" w:eastAsia="方正书宋_GBK" w:cs="方正书宋_GBK"/>
                <w:color w:val="auto"/>
                <w:sz w:val="21"/>
                <w:szCs w:val="24"/>
                <w:lang w:val="en-US" w:eastAsia="zh-CN" w:bidi="ar-SA"/>
              </w:rPr>
            </w:pPr>
            <w:r>
              <w:rPr>
                <w:color w:val="auto"/>
              </w:rPr>
              <w:t>9</w:t>
            </w:r>
            <w:r>
              <w:rPr>
                <w:rFonts w:hint="eastAsia"/>
                <w:color w:val="auto"/>
                <w:lang w:val="en-US" w:eastAsia="zh-CN"/>
              </w:rPr>
              <w:t>0</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8</w:t>
            </w:r>
          </w:p>
        </w:tc>
        <w:tc>
          <w:tcPr>
            <w:tcW w:w="1643" w:type="dxa"/>
            <w:vAlign w:val="center"/>
          </w:tcPr>
          <w:p>
            <w:pPr>
              <w:pStyle w:val="16"/>
              <w:rPr>
                <w:color w:val="auto"/>
              </w:rPr>
            </w:pPr>
            <w:r>
              <w:rPr>
                <w:color w:val="auto"/>
              </w:rPr>
              <w:t>30113</w:t>
            </w:r>
          </w:p>
        </w:tc>
        <w:tc>
          <w:tcPr>
            <w:tcW w:w="1643" w:type="dxa"/>
            <w:vAlign w:val="center"/>
          </w:tcPr>
          <w:p>
            <w:pPr>
              <w:pStyle w:val="16"/>
              <w:rPr>
                <w:color w:val="auto"/>
              </w:rPr>
            </w:pPr>
            <w:r>
              <w:rPr>
                <w:color w:val="auto"/>
              </w:rPr>
              <w:t>住房公积金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9</w:t>
            </w:r>
          </w:p>
        </w:tc>
        <w:tc>
          <w:tcPr>
            <w:tcW w:w="1643" w:type="dxa"/>
            <w:vAlign w:val="center"/>
          </w:tcPr>
          <w:p>
            <w:pPr>
              <w:pStyle w:val="16"/>
              <w:rPr>
                <w:color w:val="auto"/>
              </w:rPr>
            </w:pPr>
            <w:r>
              <w:rPr>
                <w:color w:val="auto"/>
              </w:rPr>
              <w:t>30199</w:t>
            </w:r>
          </w:p>
        </w:tc>
        <w:tc>
          <w:tcPr>
            <w:tcW w:w="1643" w:type="dxa"/>
            <w:vAlign w:val="center"/>
          </w:tcPr>
          <w:p>
            <w:pPr>
              <w:pStyle w:val="16"/>
              <w:rPr>
                <w:color w:val="auto"/>
              </w:rPr>
            </w:pPr>
            <w:r>
              <w:rPr>
                <w:color w:val="auto"/>
              </w:rPr>
              <w:t>其他工资福利支出</w:t>
            </w:r>
          </w:p>
        </w:tc>
        <w:tc>
          <w:tcPr>
            <w:tcW w:w="1643" w:type="dxa"/>
            <w:vAlign w:val="center"/>
          </w:tcPr>
          <w:p>
            <w:pPr>
              <w:pStyle w:val="15"/>
              <w:rPr>
                <w:color w:val="auto"/>
              </w:rPr>
            </w:pPr>
            <w:r>
              <w:rPr>
                <w:rFonts w:hint="eastAsia"/>
                <w:color w:val="auto"/>
                <w:lang w:val="en-US" w:eastAsia="zh-CN"/>
              </w:rPr>
              <w:t>0.76</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0.76</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10</w:t>
            </w:r>
          </w:p>
        </w:tc>
        <w:tc>
          <w:tcPr>
            <w:tcW w:w="1643" w:type="dxa"/>
            <w:vAlign w:val="center"/>
          </w:tcPr>
          <w:p>
            <w:pPr>
              <w:pStyle w:val="16"/>
              <w:rPr>
                <w:color w:val="auto"/>
              </w:rPr>
            </w:pPr>
            <w:r>
              <w:rPr>
                <w:color w:val="auto"/>
              </w:rPr>
              <w:t>302</w:t>
            </w:r>
          </w:p>
        </w:tc>
        <w:tc>
          <w:tcPr>
            <w:tcW w:w="1643" w:type="dxa"/>
            <w:vAlign w:val="center"/>
          </w:tcPr>
          <w:p>
            <w:pPr>
              <w:pStyle w:val="16"/>
              <w:rPr>
                <w:color w:val="auto"/>
              </w:rPr>
            </w:pPr>
            <w:r>
              <w:rPr>
                <w:color w:val="auto"/>
              </w:rPr>
              <w:t>商品和服务支出</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51.78</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11</w:t>
            </w:r>
          </w:p>
        </w:tc>
        <w:tc>
          <w:tcPr>
            <w:tcW w:w="1643" w:type="dxa"/>
            <w:vAlign w:val="center"/>
          </w:tcPr>
          <w:p>
            <w:pPr>
              <w:pStyle w:val="16"/>
              <w:rPr>
                <w:color w:val="auto"/>
              </w:rPr>
            </w:pPr>
            <w:r>
              <w:rPr>
                <w:color w:val="auto"/>
              </w:rPr>
              <w:t>30201</w:t>
            </w:r>
          </w:p>
        </w:tc>
        <w:tc>
          <w:tcPr>
            <w:tcW w:w="1643" w:type="dxa"/>
            <w:vAlign w:val="center"/>
          </w:tcPr>
          <w:p>
            <w:pPr>
              <w:pStyle w:val="16"/>
              <w:rPr>
                <w:color w:val="auto"/>
              </w:rPr>
            </w:pPr>
            <w:r>
              <w:rPr>
                <w:color w:val="auto"/>
              </w:rPr>
              <w:t>办公费</w:t>
            </w:r>
          </w:p>
        </w:tc>
        <w:tc>
          <w:tcPr>
            <w:tcW w:w="1643" w:type="dxa"/>
            <w:vAlign w:val="center"/>
          </w:tcPr>
          <w:p>
            <w:pPr>
              <w:pStyle w:val="15"/>
              <w:rPr>
                <w:rFonts w:hint="default" w:eastAsia="方正书宋_GBK"/>
                <w:color w:val="auto"/>
                <w:lang w:val="en-US" w:eastAsia="zh-CN"/>
              </w:rPr>
            </w:pPr>
            <w:r>
              <w:rPr>
                <w:rFonts w:hint="eastAsia"/>
                <w:color w:val="auto"/>
                <w:lang w:eastAsia="zh-CN"/>
              </w:rPr>
              <w:t>5</w:t>
            </w:r>
            <w:r>
              <w:rPr>
                <w:rFonts w:hint="eastAsia"/>
                <w:color w:val="auto"/>
                <w:lang w:val="en-US" w:eastAsia="zh-CN"/>
              </w:rPr>
              <w:t>.52</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eastAsia="zh-CN"/>
              </w:rPr>
              <w:t>5</w:t>
            </w:r>
            <w:r>
              <w:rPr>
                <w:rFonts w:hint="eastAsia"/>
                <w:color w:val="auto"/>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12</w:t>
            </w:r>
          </w:p>
        </w:tc>
        <w:tc>
          <w:tcPr>
            <w:tcW w:w="1643" w:type="dxa"/>
            <w:vAlign w:val="center"/>
          </w:tcPr>
          <w:p>
            <w:pPr>
              <w:pStyle w:val="16"/>
              <w:rPr>
                <w:color w:val="auto"/>
              </w:rPr>
            </w:pPr>
            <w:r>
              <w:rPr>
                <w:color w:val="auto"/>
              </w:rPr>
              <w:t>30207</w:t>
            </w:r>
          </w:p>
        </w:tc>
        <w:tc>
          <w:tcPr>
            <w:tcW w:w="1643" w:type="dxa"/>
            <w:vAlign w:val="center"/>
          </w:tcPr>
          <w:p>
            <w:pPr>
              <w:pStyle w:val="16"/>
              <w:rPr>
                <w:color w:val="auto"/>
              </w:rPr>
            </w:pPr>
            <w:r>
              <w:rPr>
                <w:color w:val="auto"/>
              </w:rPr>
              <w:t>邮电费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11.62</w:t>
            </w:r>
          </w:p>
        </w:tc>
        <w:tc>
          <w:tcPr>
            <w:tcW w:w="1643" w:type="dxa"/>
            <w:vAlign w:val="center"/>
          </w:tcPr>
          <w:p>
            <w:pPr>
              <w:pStyle w:val="15"/>
              <w:rPr>
                <w:rFonts w:hint="default"/>
                <w:color w:val="auto"/>
                <w:lang w:val="en-US"/>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13</w:t>
            </w:r>
          </w:p>
        </w:tc>
        <w:tc>
          <w:tcPr>
            <w:tcW w:w="1643" w:type="dxa"/>
            <w:vAlign w:val="center"/>
          </w:tcPr>
          <w:p>
            <w:pPr>
              <w:pStyle w:val="16"/>
              <w:rPr>
                <w:color w:val="auto"/>
              </w:rPr>
            </w:pPr>
            <w:r>
              <w:rPr>
                <w:color w:val="auto"/>
              </w:rPr>
              <w:t>30228</w:t>
            </w:r>
          </w:p>
        </w:tc>
        <w:tc>
          <w:tcPr>
            <w:tcW w:w="1643" w:type="dxa"/>
            <w:vAlign w:val="center"/>
          </w:tcPr>
          <w:p>
            <w:pPr>
              <w:pStyle w:val="16"/>
              <w:rPr>
                <w:color w:val="auto"/>
              </w:rPr>
            </w:pPr>
            <w:r>
              <w:rPr>
                <w:color w:val="auto"/>
              </w:rPr>
              <w:t>工会经费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5.45</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14</w:t>
            </w:r>
          </w:p>
        </w:tc>
        <w:tc>
          <w:tcPr>
            <w:tcW w:w="1643" w:type="dxa"/>
            <w:vAlign w:val="center"/>
          </w:tcPr>
          <w:p>
            <w:pPr>
              <w:pStyle w:val="16"/>
              <w:rPr>
                <w:color w:val="auto"/>
              </w:rPr>
            </w:pPr>
            <w:r>
              <w:rPr>
                <w:color w:val="auto"/>
              </w:rPr>
              <w:t>30229</w:t>
            </w:r>
          </w:p>
        </w:tc>
        <w:tc>
          <w:tcPr>
            <w:tcW w:w="1643" w:type="dxa"/>
            <w:vAlign w:val="center"/>
          </w:tcPr>
          <w:p>
            <w:pPr>
              <w:pStyle w:val="16"/>
              <w:rPr>
                <w:color w:val="auto"/>
              </w:rPr>
            </w:pPr>
            <w:r>
              <w:rPr>
                <w:color w:val="auto"/>
              </w:rPr>
              <w:t>福利费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6.81</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15</w:t>
            </w:r>
          </w:p>
        </w:tc>
        <w:tc>
          <w:tcPr>
            <w:tcW w:w="1643" w:type="dxa"/>
            <w:vAlign w:val="center"/>
          </w:tcPr>
          <w:p>
            <w:pPr>
              <w:pStyle w:val="16"/>
              <w:rPr>
                <w:color w:val="auto"/>
              </w:rPr>
            </w:pPr>
            <w:r>
              <w:rPr>
                <w:color w:val="auto"/>
              </w:rPr>
              <w:t>30239</w:t>
            </w:r>
          </w:p>
        </w:tc>
        <w:tc>
          <w:tcPr>
            <w:tcW w:w="1643" w:type="dxa"/>
            <w:vAlign w:val="center"/>
          </w:tcPr>
          <w:p>
            <w:pPr>
              <w:pStyle w:val="16"/>
              <w:rPr>
                <w:color w:val="auto"/>
              </w:rPr>
            </w:pPr>
            <w:r>
              <w:rPr>
                <w:color w:val="auto"/>
              </w:rPr>
              <w:t>其他交通费用</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22.38</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16</w:t>
            </w:r>
          </w:p>
        </w:tc>
        <w:tc>
          <w:tcPr>
            <w:tcW w:w="1643" w:type="dxa"/>
            <w:vAlign w:val="center"/>
          </w:tcPr>
          <w:p>
            <w:pPr>
              <w:pStyle w:val="16"/>
              <w:rPr>
                <w:color w:val="auto"/>
              </w:rPr>
            </w:pPr>
            <w:r>
              <w:rPr>
                <w:color w:val="auto"/>
              </w:rPr>
              <w:t>303</w:t>
            </w:r>
          </w:p>
        </w:tc>
        <w:tc>
          <w:tcPr>
            <w:tcW w:w="1643" w:type="dxa"/>
            <w:vAlign w:val="center"/>
          </w:tcPr>
          <w:p>
            <w:pPr>
              <w:pStyle w:val="16"/>
              <w:rPr>
                <w:color w:val="auto"/>
              </w:rPr>
            </w:pPr>
            <w:r>
              <w:rPr>
                <w:color w:val="auto"/>
              </w:rPr>
              <w:t>对个人和家庭的补助</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400.72</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400.72</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17</w:t>
            </w:r>
          </w:p>
        </w:tc>
        <w:tc>
          <w:tcPr>
            <w:tcW w:w="1643" w:type="dxa"/>
            <w:vAlign w:val="center"/>
          </w:tcPr>
          <w:p>
            <w:pPr>
              <w:pStyle w:val="16"/>
              <w:rPr>
                <w:color w:val="auto"/>
              </w:rPr>
            </w:pPr>
            <w:r>
              <w:rPr>
                <w:color w:val="auto"/>
              </w:rPr>
              <w:t>30301</w:t>
            </w:r>
          </w:p>
        </w:tc>
        <w:tc>
          <w:tcPr>
            <w:tcW w:w="1643" w:type="dxa"/>
            <w:vAlign w:val="center"/>
          </w:tcPr>
          <w:p>
            <w:pPr>
              <w:pStyle w:val="16"/>
              <w:rPr>
                <w:color w:val="auto"/>
              </w:rPr>
            </w:pPr>
            <w:r>
              <w:rPr>
                <w:color w:val="auto"/>
              </w:rPr>
              <w:t>离休费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9.56</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9.56</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18</w:t>
            </w:r>
          </w:p>
        </w:tc>
        <w:tc>
          <w:tcPr>
            <w:tcW w:w="1643" w:type="dxa"/>
            <w:vAlign w:val="center"/>
          </w:tcPr>
          <w:p>
            <w:pPr>
              <w:pStyle w:val="16"/>
              <w:rPr>
                <w:color w:val="auto"/>
              </w:rPr>
            </w:pPr>
            <w:r>
              <w:rPr>
                <w:color w:val="auto"/>
              </w:rPr>
              <w:t>30302</w:t>
            </w:r>
          </w:p>
        </w:tc>
        <w:tc>
          <w:tcPr>
            <w:tcW w:w="1643" w:type="dxa"/>
            <w:vAlign w:val="center"/>
          </w:tcPr>
          <w:p>
            <w:pPr>
              <w:pStyle w:val="16"/>
              <w:rPr>
                <w:color w:val="auto"/>
              </w:rPr>
            </w:pPr>
            <w:r>
              <w:rPr>
                <w:color w:val="auto"/>
              </w:rPr>
              <w:t>退休费</w:t>
            </w:r>
          </w:p>
        </w:tc>
        <w:tc>
          <w:tcPr>
            <w:tcW w:w="1643" w:type="dxa"/>
            <w:vAlign w:val="center"/>
          </w:tcPr>
          <w:p>
            <w:pPr>
              <w:pStyle w:val="15"/>
              <w:rPr>
                <w:color w:val="auto"/>
              </w:rPr>
            </w:pPr>
            <w:r>
              <w:rPr>
                <w:color w:val="auto"/>
              </w:rPr>
              <w:t>1.79</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1.79</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19</w:t>
            </w:r>
          </w:p>
        </w:tc>
        <w:tc>
          <w:tcPr>
            <w:tcW w:w="1643" w:type="dxa"/>
            <w:vAlign w:val="center"/>
          </w:tcPr>
          <w:p>
            <w:pPr>
              <w:pStyle w:val="16"/>
              <w:rPr>
                <w:color w:val="auto"/>
              </w:rPr>
            </w:pPr>
            <w:r>
              <w:rPr>
                <w:color w:val="auto"/>
              </w:rPr>
              <w:t>30305</w:t>
            </w:r>
          </w:p>
        </w:tc>
        <w:tc>
          <w:tcPr>
            <w:tcW w:w="1643" w:type="dxa"/>
            <w:vAlign w:val="center"/>
          </w:tcPr>
          <w:p>
            <w:pPr>
              <w:pStyle w:val="16"/>
              <w:rPr>
                <w:color w:val="auto"/>
              </w:rPr>
            </w:pPr>
            <w:r>
              <w:rPr>
                <w:color w:val="auto"/>
              </w:rPr>
              <w:t>生活补助</w:t>
            </w:r>
          </w:p>
        </w:tc>
        <w:tc>
          <w:tcPr>
            <w:tcW w:w="1643" w:type="dxa"/>
            <w:vAlign w:val="center"/>
          </w:tcPr>
          <w:p>
            <w:pPr>
              <w:pStyle w:val="15"/>
              <w:rPr>
                <w:color w:val="auto"/>
              </w:rPr>
            </w:pPr>
            <w:r>
              <w:rPr>
                <w:color w:val="auto"/>
              </w:rPr>
              <w:t>5.08</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5.08</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20</w:t>
            </w:r>
          </w:p>
        </w:tc>
        <w:tc>
          <w:tcPr>
            <w:tcW w:w="1643" w:type="dxa"/>
            <w:vAlign w:val="center"/>
          </w:tcPr>
          <w:p>
            <w:pPr>
              <w:pStyle w:val="16"/>
              <w:rPr>
                <w:rFonts w:hint="default" w:eastAsia="方正书宋_GBK"/>
                <w:color w:val="auto"/>
                <w:lang w:val="en-US" w:eastAsia="zh-CN"/>
              </w:rPr>
            </w:pPr>
            <w:r>
              <w:rPr>
                <w:rFonts w:hint="eastAsia"/>
                <w:color w:val="auto"/>
                <w:lang w:val="en-US" w:eastAsia="zh-CN"/>
              </w:rPr>
              <w:t>30309</w:t>
            </w:r>
          </w:p>
        </w:tc>
        <w:tc>
          <w:tcPr>
            <w:tcW w:w="1643" w:type="dxa"/>
            <w:vAlign w:val="center"/>
          </w:tcPr>
          <w:p>
            <w:pPr>
              <w:pStyle w:val="16"/>
              <w:rPr>
                <w:rFonts w:hint="eastAsia" w:eastAsia="方正书宋_GBK"/>
                <w:color w:val="auto"/>
                <w:lang w:val="en-US" w:eastAsia="zh-CN"/>
              </w:rPr>
            </w:pPr>
            <w:r>
              <w:rPr>
                <w:rFonts w:hint="eastAsia"/>
                <w:color w:val="auto"/>
                <w:lang w:val="en-US" w:eastAsia="zh-CN"/>
              </w:rPr>
              <w:t>奖励金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93.49</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93.49</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color w:val="auto"/>
                <w:lang w:val="en-US" w:eastAsia="zh-CN"/>
              </w:rPr>
            </w:pPr>
            <w:r>
              <w:rPr>
                <w:rFonts w:hint="eastAsia"/>
                <w:color w:val="auto"/>
                <w:lang w:val="en-US" w:eastAsia="zh-CN"/>
              </w:rPr>
              <w:t>21</w:t>
            </w:r>
          </w:p>
        </w:tc>
        <w:tc>
          <w:tcPr>
            <w:tcW w:w="1643" w:type="dxa"/>
            <w:vAlign w:val="center"/>
          </w:tcPr>
          <w:p>
            <w:pPr>
              <w:pStyle w:val="16"/>
              <w:ind w:firstLine="0" w:firstLineChars="0"/>
              <w:rPr>
                <w:rFonts w:ascii="方正书宋_GBK" w:hAnsi="方正书宋_GBK" w:eastAsia="方正书宋_GBK" w:cs="方正书宋_GBK"/>
                <w:color w:val="auto"/>
                <w:sz w:val="21"/>
                <w:szCs w:val="24"/>
                <w:lang w:val="en-US" w:eastAsia="uk-UA" w:bidi="ar-SA"/>
              </w:rPr>
            </w:pPr>
            <w:r>
              <w:rPr>
                <w:color w:val="auto"/>
              </w:rPr>
              <w:t>30399</w:t>
            </w:r>
          </w:p>
        </w:tc>
        <w:tc>
          <w:tcPr>
            <w:tcW w:w="1643" w:type="dxa"/>
            <w:vAlign w:val="center"/>
          </w:tcPr>
          <w:p>
            <w:pPr>
              <w:pStyle w:val="16"/>
              <w:ind w:firstLine="0" w:firstLineChars="0"/>
              <w:rPr>
                <w:rFonts w:ascii="方正书宋_GBK" w:hAnsi="方正书宋_GBK" w:eastAsia="方正书宋_GBK" w:cs="方正书宋_GBK"/>
                <w:color w:val="auto"/>
                <w:sz w:val="21"/>
                <w:szCs w:val="24"/>
                <w:lang w:val="en-US" w:eastAsia="uk-UA" w:bidi="ar-SA"/>
              </w:rPr>
            </w:pPr>
            <w:r>
              <w:rPr>
                <w:color w:val="auto"/>
              </w:rPr>
              <w:t>其他对个人和家庭的补助</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290.8</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val="en-US" w:eastAsia="zh-CN"/>
              </w:rPr>
              <w:t>290.8</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6" w:name="_Toc_2_2_0000000007"/>
      <w:r>
        <w:rPr>
          <w:rFonts w:ascii="方正小标宋_GBK" w:hAnsi="方正小标宋_GBK" w:eastAsia="方正小标宋_GBK" w:cs="方正小标宋_GBK"/>
          <w:color w:val="auto"/>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1"/>
        <w:rPr>
          <w:color w:val="auto"/>
        </w:rPr>
      </w:pPr>
      <w:bookmarkStart w:id="7" w:name="_Toc_2_2_0000000008"/>
      <w:r>
        <w:rPr>
          <w:rFonts w:ascii="方正小标宋_GBK" w:hAnsi="方正小标宋_GBK" w:eastAsia="方正小标宋_GBK" w:cs="方正小标宋_GBK"/>
          <w:color w:val="auto"/>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w:t>
            </w:r>
          </w:p>
        </w:tc>
        <w:tc>
          <w:tcPr>
            <w:tcW w:w="3798" w:type="dxa"/>
            <w:vAlign w:val="center"/>
          </w:tcPr>
          <w:p>
            <w:pPr>
              <w:pStyle w:val="18"/>
              <w:rPr>
                <w:color w:val="auto"/>
              </w:rPr>
            </w:pPr>
            <w:r>
              <w:rPr>
                <w:color w:val="auto"/>
              </w:rPr>
              <w:t>合计</w:t>
            </w:r>
          </w:p>
        </w:tc>
        <w:tc>
          <w:tcPr>
            <w:tcW w:w="2381" w:type="dxa"/>
            <w:vAlign w:val="center"/>
          </w:tcPr>
          <w:p>
            <w:pPr>
              <w:pStyle w:val="19"/>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9"/>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9"/>
              <w:rPr>
                <w:color w:val="auto"/>
              </w:rPr>
            </w:pPr>
          </w:p>
        </w:tc>
        <w:tc>
          <w:tcPr>
            <w:tcW w:w="2381"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2</w:t>
            </w:r>
          </w:p>
        </w:tc>
        <w:tc>
          <w:tcPr>
            <w:tcW w:w="3798" w:type="dxa"/>
            <w:vAlign w:val="center"/>
          </w:tcPr>
          <w:p>
            <w:pPr>
              <w:pStyle w:val="16"/>
              <w:rPr>
                <w:color w:val="auto"/>
              </w:rPr>
            </w:pPr>
            <w:r>
              <w:rPr>
                <w:color w:val="auto"/>
              </w:rPr>
              <w:t>“三公”经费小计</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3</w:t>
            </w:r>
          </w:p>
        </w:tc>
        <w:tc>
          <w:tcPr>
            <w:tcW w:w="3798" w:type="dxa"/>
            <w:vAlign w:val="center"/>
          </w:tcPr>
          <w:p>
            <w:pPr>
              <w:pStyle w:val="16"/>
              <w:rPr>
                <w:color w:val="auto"/>
              </w:rPr>
            </w:pPr>
            <w:r>
              <w:rPr>
                <w:color w:val="auto"/>
              </w:rPr>
              <w:t>一、因公出国（境）费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4</w:t>
            </w:r>
          </w:p>
        </w:tc>
        <w:tc>
          <w:tcPr>
            <w:tcW w:w="3798" w:type="dxa"/>
            <w:vAlign w:val="center"/>
          </w:tcPr>
          <w:p>
            <w:pPr>
              <w:pStyle w:val="16"/>
              <w:rPr>
                <w:color w:val="auto"/>
              </w:rPr>
            </w:pPr>
            <w:r>
              <w:rPr>
                <w:color w:val="auto"/>
              </w:rPr>
              <w:t xml:space="preserve">    其中：教学科研人员因公出国（境）费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5</w:t>
            </w:r>
          </w:p>
        </w:tc>
        <w:tc>
          <w:tcPr>
            <w:tcW w:w="3798" w:type="dxa"/>
            <w:vAlign w:val="center"/>
          </w:tcPr>
          <w:p>
            <w:pPr>
              <w:pStyle w:val="16"/>
              <w:rPr>
                <w:color w:val="auto"/>
              </w:rPr>
            </w:pPr>
            <w:r>
              <w:rPr>
                <w:color w:val="auto"/>
              </w:rPr>
              <w:t xml:space="preserve">          其他因公出国（境）费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6</w:t>
            </w:r>
          </w:p>
        </w:tc>
        <w:tc>
          <w:tcPr>
            <w:tcW w:w="3798" w:type="dxa"/>
            <w:vAlign w:val="center"/>
          </w:tcPr>
          <w:p>
            <w:pPr>
              <w:pStyle w:val="16"/>
              <w:rPr>
                <w:color w:val="auto"/>
              </w:rPr>
            </w:pPr>
            <w:r>
              <w:rPr>
                <w:color w:val="auto"/>
              </w:rPr>
              <w:t>二、公务用车购置及运维费</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7</w:t>
            </w:r>
          </w:p>
        </w:tc>
        <w:tc>
          <w:tcPr>
            <w:tcW w:w="3798" w:type="dxa"/>
            <w:vAlign w:val="center"/>
          </w:tcPr>
          <w:p>
            <w:pPr>
              <w:pStyle w:val="16"/>
              <w:rPr>
                <w:color w:val="auto"/>
              </w:rPr>
            </w:pPr>
            <w:r>
              <w:rPr>
                <w:color w:val="auto"/>
              </w:rPr>
              <w:t xml:space="preserve">    其中：公务用车购置费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8</w:t>
            </w:r>
          </w:p>
        </w:tc>
        <w:tc>
          <w:tcPr>
            <w:tcW w:w="3798" w:type="dxa"/>
            <w:vAlign w:val="center"/>
          </w:tcPr>
          <w:p>
            <w:pPr>
              <w:pStyle w:val="16"/>
              <w:rPr>
                <w:color w:val="auto"/>
              </w:rPr>
            </w:pPr>
            <w:r>
              <w:rPr>
                <w:color w:val="auto"/>
              </w:rPr>
              <w:t xml:space="preserve">          公务用车运行维护费</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9</w:t>
            </w:r>
          </w:p>
        </w:tc>
        <w:tc>
          <w:tcPr>
            <w:tcW w:w="3798" w:type="dxa"/>
            <w:vAlign w:val="center"/>
          </w:tcPr>
          <w:p>
            <w:pPr>
              <w:pStyle w:val="16"/>
              <w:rPr>
                <w:color w:val="auto"/>
              </w:rPr>
            </w:pPr>
            <w:r>
              <w:rPr>
                <w:color w:val="auto"/>
              </w:rPr>
              <w:t>三、公务接待费</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1.2</w:t>
            </w:r>
          </w:p>
        </w:tc>
        <w:tc>
          <w:tcPr>
            <w:tcW w:w="2381" w:type="dxa"/>
            <w:vAlign w:val="center"/>
          </w:tcPr>
          <w:p>
            <w:pPr>
              <w:pStyle w:val="15"/>
              <w:rPr>
                <w:color w:val="auto"/>
              </w:rPr>
            </w:pPr>
            <w:r>
              <w:rPr>
                <w:rFonts w:hint="eastAsia"/>
                <w:color w:val="auto"/>
                <w:lang w:val="en-US" w:eastAsia="zh-CN"/>
              </w:rPr>
              <w:t>1.2</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10</w:t>
            </w:r>
          </w:p>
        </w:tc>
        <w:tc>
          <w:tcPr>
            <w:tcW w:w="3798" w:type="dxa"/>
            <w:vAlign w:val="center"/>
          </w:tcPr>
          <w:p>
            <w:pPr>
              <w:pStyle w:val="16"/>
              <w:rPr>
                <w:color w:val="auto"/>
              </w:rPr>
            </w:pPr>
            <w:r>
              <w:rPr>
                <w:color w:val="auto"/>
              </w:rPr>
              <w:t>四、会议费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11</w:t>
            </w:r>
          </w:p>
        </w:tc>
        <w:tc>
          <w:tcPr>
            <w:tcW w:w="3798" w:type="dxa"/>
            <w:vAlign w:val="center"/>
          </w:tcPr>
          <w:p>
            <w:pPr>
              <w:pStyle w:val="16"/>
              <w:rPr>
                <w:color w:val="auto"/>
              </w:rPr>
            </w:pPr>
            <w:r>
              <w:rPr>
                <w:color w:val="auto"/>
              </w:rPr>
              <w:t>五、培训费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0"/>
        <w:jc w:val="center"/>
        <w:outlineLvl w:val="0"/>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第一部分  沙河市发展和改革局</w:t>
      </w:r>
      <w:r>
        <w:rPr>
          <w:rFonts w:hint="eastAsia" w:ascii="方正书宋_GBK" w:hAnsi="方正书宋_GBK" w:eastAsia="方正书宋_GBK" w:cs="方正书宋_GBK"/>
          <w:color w:val="auto"/>
          <w:sz w:val="21"/>
          <w:lang w:eastAsia="zh-CN"/>
        </w:rPr>
        <w:t>2021</w:t>
      </w:r>
      <w:r>
        <w:rPr>
          <w:rFonts w:ascii="方正书宋_GBK" w:hAnsi="方正书宋_GBK" w:eastAsia="方正书宋_GBK" w:cs="方正书宋_GBK"/>
          <w:color w:val="auto"/>
          <w:sz w:val="21"/>
        </w:rPr>
        <w:t>年部门预算信息公开情况说明</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沙河市发展和改革局</w:t>
      </w:r>
      <w:r>
        <w:rPr>
          <w:rFonts w:hint="eastAsia" w:ascii="方正小标宋_GBK" w:hAnsi="方正小标宋_GBK" w:eastAsia="方正小标宋_GBK" w:cs="方正小标宋_GBK"/>
          <w:color w:val="auto"/>
          <w:sz w:val="44"/>
          <w:lang w:eastAsia="zh-CN"/>
        </w:rPr>
        <w:t>2021</w:t>
      </w:r>
      <w:r>
        <w:rPr>
          <w:rFonts w:ascii="方正小标宋_GBK" w:hAnsi="方正小标宋_GBK" w:eastAsia="方正小标宋_GBK" w:cs="方正小标宋_GBK"/>
          <w:color w:val="auto"/>
          <w:sz w:val="44"/>
        </w:rPr>
        <w:t>年部门预算信息公开情况说明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w:t>
      </w:r>
      <w:r>
        <w:rPr>
          <w:rFonts w:hint="eastAsia" w:eastAsia="方正仿宋_GBK" w:cs="Times New Roman"/>
          <w:color w:val="auto"/>
          <w:sz w:val="28"/>
          <w:lang w:eastAsia="zh-CN"/>
        </w:rPr>
        <w:t>中华人民共和国预算法</w:t>
      </w:r>
      <w:r>
        <w:rPr>
          <w:rFonts w:ascii="Times New Roman" w:hAnsi="Times New Roman" w:eastAsia="方正仿宋_GBK" w:cs="Times New Roman"/>
          <w:color w:val="auto"/>
          <w:sz w:val="28"/>
        </w:rPr>
        <w:t>》、《地方预决算公开操作规程》和《关于进一步推进预算公开工作的实施意见》规定，现将沙河市发展和改革局</w:t>
      </w:r>
      <w:r>
        <w:rPr>
          <w:rFonts w:hint="eastAsia" w:eastAsia="方正仿宋_GBK" w:cs="Times New Roman"/>
          <w:color w:val="auto"/>
          <w:sz w:val="28"/>
          <w:lang w:eastAsia="zh-CN"/>
        </w:rPr>
        <w:t>2021</w:t>
      </w:r>
      <w:r>
        <w:rPr>
          <w:rFonts w:ascii="Times New Roman" w:hAnsi="Times New Roman" w:eastAsia="方正仿宋_GBK" w:cs="Times New Roman"/>
          <w:color w:val="auto"/>
          <w:sz w:val="28"/>
        </w:rPr>
        <w:t>年部门预算公开如下：</w:t>
      </w:r>
    </w:p>
    <w:p>
      <w:pPr>
        <w:spacing w:before="10" w:after="10" w:line="360" w:lineRule="auto"/>
        <w:ind w:firstLine="640"/>
        <w:jc w:val="left"/>
        <w:outlineLvl w:val="2"/>
        <w:rPr>
          <w:color w:val="auto"/>
        </w:rPr>
      </w:pPr>
      <w:bookmarkStart w:id="9" w:name="_Toc_3_3_0000000010"/>
      <w:r>
        <w:rPr>
          <w:rFonts w:ascii="黑体" w:hAnsi="黑体" w:eastAsia="黑体" w:cs="黑体"/>
          <w:color w:val="auto"/>
          <w:sz w:val="32"/>
        </w:rPr>
        <w:t>一、部门职责及机构设置情况</w:t>
      </w:r>
      <w:bookmarkEnd w:id="9"/>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部门职责：</w:t>
      </w:r>
    </w:p>
    <w:p>
      <w:pPr>
        <w:pStyle w:val="21"/>
        <w:rPr>
          <w:color w:val="auto"/>
        </w:rPr>
      </w:pPr>
      <w:r>
        <w:rPr>
          <w:color w:val="auto"/>
        </w:rPr>
        <w:t>部门职责：</w:t>
      </w:r>
    </w:p>
    <w:p>
      <w:pPr>
        <w:pStyle w:val="21"/>
        <w:rPr>
          <w:color w:val="auto"/>
        </w:rPr>
      </w:pPr>
      <w:r>
        <w:rPr>
          <w:color w:val="auto"/>
        </w:rPr>
        <w:t>（一）</w:t>
      </w:r>
      <w:r>
        <w:rPr>
          <w:rFonts w:hint="eastAsia"/>
          <w:color w:val="auto"/>
          <w:lang w:eastAsia="zh-CN"/>
        </w:rPr>
        <w:t>拟定</w:t>
      </w:r>
      <w:r>
        <w:rPr>
          <w:color w:val="auto"/>
        </w:rPr>
        <w:t>并组织实施全市国民经济和社会发展战略、中长期规划和年度计划。牵头组织统一规体系建设。负责全市专项规划、区域规划、空间规划与市发展规划的统筹衔接。贯彻落实国民经济和社会发展、经济体制改革和对外开放的有关法规，制定规范性文件。</w:t>
      </w:r>
    </w:p>
    <w:p>
      <w:pPr>
        <w:pStyle w:val="21"/>
        <w:rPr>
          <w:color w:val="auto"/>
        </w:rPr>
      </w:pPr>
      <w:r>
        <w:rPr>
          <w:color w:val="auto"/>
        </w:rPr>
        <w:t>（二）提出加快建设全市现代化经济体系、推动高质量发展的总体目标、重大任务以及相关政策。组织开展重大战略规划、重大政策、重大工程等的评估督导，提出相关调整建议。</w:t>
      </w:r>
    </w:p>
    <w:p>
      <w:pPr>
        <w:pStyle w:val="21"/>
        <w:rPr>
          <w:color w:val="auto"/>
        </w:rPr>
      </w:pPr>
      <w:r>
        <w:rPr>
          <w:color w:val="auto"/>
        </w:rPr>
        <w:t>（三）贯彻落实国家、省和邢台市宏观调控政策，统筹提出全市国民经济和社会发展主要目标，监测预警宏观经济和社会发展态势趋势，提出经济调节政策建议。综合协调经济调节政策，牵头研究应对措施。调节经济运行，协调解决经济运行中的重大问题。</w:t>
      </w:r>
      <w:r>
        <w:rPr>
          <w:rFonts w:hint="eastAsia"/>
          <w:color w:val="auto"/>
          <w:lang w:eastAsia="zh-CN"/>
        </w:rPr>
        <w:t>拟定</w:t>
      </w:r>
      <w:r>
        <w:rPr>
          <w:color w:val="auto"/>
        </w:rPr>
        <w:t>并组织实施有关价格政策，组织制定由我市管理的重要商品、服务价格和重要收费标准。参与贯彻落实国家、省和邢台市财政政策、货币政策和土地政策。</w:t>
      </w:r>
    </w:p>
    <w:p>
      <w:pPr>
        <w:pStyle w:val="21"/>
        <w:rPr>
          <w:color w:val="auto"/>
        </w:rPr>
      </w:pPr>
      <w:r>
        <w:rPr>
          <w:color w:val="auto"/>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推进优化营商环境工作。</w:t>
      </w:r>
    </w:p>
    <w:p>
      <w:pPr>
        <w:pStyle w:val="21"/>
        <w:rPr>
          <w:color w:val="auto"/>
        </w:rPr>
      </w:pPr>
      <w:r>
        <w:rPr>
          <w:color w:val="auto"/>
        </w:rPr>
        <w:t>（五）提出全市利用外资和境外投资的战略、规划、总量平衡和结构优化政策。推进实施全市“一带一路”建设有关工作。承担统筹协调走出去有关工作。配合有关部门贯彻落实国家外商投资准入负面清单。负责全市全口径外债的总量控制、结构优化和监测工作。</w:t>
      </w:r>
    </w:p>
    <w:p>
      <w:pPr>
        <w:pStyle w:val="21"/>
        <w:rPr>
          <w:color w:val="auto"/>
        </w:rPr>
      </w:pPr>
      <w:r>
        <w:rPr>
          <w:color w:val="auto"/>
        </w:rPr>
        <w:t>（六）负责全市投资综合管理。</w:t>
      </w:r>
      <w:r>
        <w:rPr>
          <w:rFonts w:hint="eastAsia"/>
          <w:color w:val="auto"/>
          <w:lang w:eastAsia="zh-CN"/>
        </w:rPr>
        <w:t>拟定</w:t>
      </w:r>
      <w:r>
        <w:rPr>
          <w:color w:val="auto"/>
        </w:rPr>
        <w:t>全市固定资产投资总规模、结构调控目标和政策。安排全市预算内基本建设资金和有关发展性专项资金。规划全市重点建设项目和生产力布局，组织推动重点建设项目。</w:t>
      </w:r>
      <w:r>
        <w:rPr>
          <w:rFonts w:hint="eastAsia"/>
          <w:color w:val="auto"/>
          <w:lang w:eastAsia="zh-CN"/>
        </w:rPr>
        <w:t>拟定</w:t>
      </w:r>
      <w:r>
        <w:rPr>
          <w:color w:val="auto"/>
        </w:rPr>
        <w:t>并推动落实鼓励民间投资政策措施。</w:t>
      </w:r>
    </w:p>
    <w:p>
      <w:pPr>
        <w:pStyle w:val="21"/>
        <w:rPr>
          <w:color w:val="auto"/>
        </w:rPr>
      </w:pPr>
      <w:r>
        <w:rPr>
          <w:color w:val="auto"/>
        </w:rPr>
        <w:t>（七）推进落实区域协调发展战略、新型城镇化战略和重大政策，组织</w:t>
      </w:r>
      <w:r>
        <w:rPr>
          <w:rFonts w:hint="eastAsia"/>
          <w:color w:val="auto"/>
          <w:lang w:eastAsia="zh-CN"/>
        </w:rPr>
        <w:t>拟定</w:t>
      </w:r>
      <w:r>
        <w:rPr>
          <w:color w:val="auto"/>
        </w:rPr>
        <w:t>相关区域规划和政策。推进实施京津冀协同发展等区域发展战略。组织</w:t>
      </w:r>
      <w:r>
        <w:rPr>
          <w:rFonts w:hint="eastAsia"/>
          <w:color w:val="auto"/>
          <w:lang w:eastAsia="zh-CN"/>
        </w:rPr>
        <w:t>拟定</w:t>
      </w:r>
      <w:r>
        <w:rPr>
          <w:color w:val="auto"/>
        </w:rPr>
        <w:t>和实施特殊困难地区发展规划和政策。统筹协调区域合作和对口支援工作。组织编制并推动实施新型城镇化规划。</w:t>
      </w:r>
    </w:p>
    <w:p>
      <w:pPr>
        <w:pStyle w:val="21"/>
        <w:rPr>
          <w:color w:val="auto"/>
        </w:rPr>
      </w:pPr>
      <w:r>
        <w:rPr>
          <w:color w:val="auto"/>
        </w:rPr>
        <w:t>（八）组织贯彻实施国家、省和邢台市产业政策，</w:t>
      </w:r>
      <w:r>
        <w:rPr>
          <w:rFonts w:hint="eastAsia"/>
          <w:color w:val="auto"/>
          <w:lang w:eastAsia="zh-CN"/>
        </w:rPr>
        <w:t>拟定</w:t>
      </w:r>
      <w:r>
        <w:rPr>
          <w:color w:val="auto"/>
        </w:rPr>
        <w:t>全市综合性产业政策。协调一二三产业发展重大问题并统筹衔接相关发展规划和重大政策。协调推进重大基础设施建设发展，组织</w:t>
      </w:r>
      <w:r>
        <w:rPr>
          <w:rFonts w:hint="eastAsia"/>
          <w:color w:val="auto"/>
          <w:lang w:eastAsia="zh-CN"/>
        </w:rPr>
        <w:t>拟定</w:t>
      </w:r>
      <w:r>
        <w:rPr>
          <w:color w:val="auto"/>
        </w:rPr>
        <w:t>并推动实施服务业及现代物流业战略规划和重大政策。综合研判消费变动趋势，</w:t>
      </w:r>
      <w:r>
        <w:rPr>
          <w:rFonts w:hint="eastAsia"/>
          <w:color w:val="auto"/>
          <w:lang w:eastAsia="zh-CN"/>
        </w:rPr>
        <w:t>拟定</w:t>
      </w:r>
      <w:r>
        <w:rPr>
          <w:color w:val="auto"/>
        </w:rPr>
        <w:t>实施促进消费的综合性政策措施。</w:t>
      </w:r>
    </w:p>
    <w:p>
      <w:pPr>
        <w:pStyle w:val="21"/>
        <w:rPr>
          <w:color w:val="auto"/>
        </w:rPr>
      </w:pPr>
      <w:r>
        <w:rPr>
          <w:color w:val="auto"/>
        </w:rPr>
        <w:t>（九）推动实施创新驱动发展战略。会同相关部门</w:t>
      </w:r>
      <w:r>
        <w:rPr>
          <w:rFonts w:hint="eastAsia"/>
          <w:color w:val="auto"/>
          <w:lang w:eastAsia="zh-CN"/>
        </w:rPr>
        <w:t>拟定</w:t>
      </w:r>
      <w:r>
        <w:rPr>
          <w:color w:val="auto"/>
        </w:rPr>
        <w:t>全市推进创新创业的规划和政策，提出创新发展和培育经济发展新动能的政策。会同相关部门规划布局重大科技基础设施。组织</w:t>
      </w:r>
      <w:r>
        <w:rPr>
          <w:rFonts w:hint="eastAsia"/>
          <w:color w:val="auto"/>
          <w:lang w:eastAsia="zh-CN"/>
        </w:rPr>
        <w:t>拟定</w:t>
      </w:r>
      <w:r>
        <w:rPr>
          <w:color w:val="auto"/>
        </w:rPr>
        <w:t>并推动实施高技术产业和战略性新兴产业及数字经济发展规划政策，协调产业升级、重大技术装备推广应用等方面的重大问题。</w:t>
      </w:r>
    </w:p>
    <w:p>
      <w:pPr>
        <w:pStyle w:val="21"/>
        <w:rPr>
          <w:color w:val="auto"/>
        </w:rPr>
      </w:pPr>
      <w:r>
        <w:rPr>
          <w:color w:val="auto"/>
        </w:rPr>
        <w:t>（十）跟踪研判涉及经济安全、生态安全、资源安全、科技安全、社会安全等各类风险隐患，提出相关工作建议。协调落实重要工业品、原材料和重要农产品进出口调控措施。</w:t>
      </w:r>
    </w:p>
    <w:p>
      <w:pPr>
        <w:pStyle w:val="21"/>
        <w:rPr>
          <w:color w:val="auto"/>
        </w:rPr>
      </w:pPr>
      <w:r>
        <w:rPr>
          <w:color w:val="auto"/>
        </w:rPr>
        <w:t>（十一）负责全市社会发展与国民经济发展的政策衔接，协调有关重大问题。组织</w:t>
      </w:r>
      <w:r>
        <w:rPr>
          <w:rFonts w:hint="eastAsia"/>
          <w:color w:val="auto"/>
          <w:lang w:eastAsia="zh-CN"/>
        </w:rPr>
        <w:t>拟定</w:t>
      </w:r>
      <w:r>
        <w:rPr>
          <w:color w:val="auto"/>
        </w:rPr>
        <w:t>社会发展战略、总体规划，统筹推进基本公共服务体系建设和收入分配制度改革，提出促进就业、完善社会保障与经济协调发展的政策建议。</w:t>
      </w:r>
    </w:p>
    <w:p>
      <w:pPr>
        <w:pStyle w:val="21"/>
        <w:rPr>
          <w:color w:val="auto"/>
        </w:rPr>
      </w:pPr>
      <w:r>
        <w:rPr>
          <w:color w:val="auto"/>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21"/>
        <w:rPr>
          <w:color w:val="auto"/>
        </w:rPr>
      </w:pPr>
      <w:r>
        <w:rPr>
          <w:color w:val="auto"/>
        </w:rPr>
        <w:t>（十三）组织编制全市国民经济动员规划、计划，研究国民经济动员与经济建设、国防建设的关系，协调相关重大问题，组织实施全市国民经济动员有关工作。承担市国防动员委员会交办的有关具体工作。组织</w:t>
      </w:r>
      <w:r>
        <w:rPr>
          <w:rFonts w:hint="eastAsia"/>
          <w:color w:val="auto"/>
          <w:lang w:eastAsia="zh-CN"/>
        </w:rPr>
        <w:t>拟定</w:t>
      </w:r>
      <w:r>
        <w:rPr>
          <w:color w:val="auto"/>
        </w:rPr>
        <w:t>推进全市经济建设与国防建设协调发展的战略和规划，组织推进经济建设项目贯彻国防要求。</w:t>
      </w:r>
    </w:p>
    <w:p>
      <w:pPr>
        <w:pStyle w:val="21"/>
        <w:rPr>
          <w:color w:val="auto"/>
        </w:rPr>
      </w:pPr>
      <w:r>
        <w:rPr>
          <w:color w:val="auto"/>
        </w:rPr>
        <w:t>（十四）贯彻落实党中央、省委、邢台市委和沙河市委关于能源管理工作的方针政策和决策部署，坚持和加强党对能源管理工作的集中统一领导，提出能源发展战略的建议，</w:t>
      </w:r>
      <w:r>
        <w:rPr>
          <w:rFonts w:hint="eastAsia"/>
          <w:color w:val="auto"/>
          <w:lang w:eastAsia="zh-CN"/>
        </w:rPr>
        <w:t>拟定</w:t>
      </w:r>
      <w:r>
        <w:rPr>
          <w:color w:val="auto"/>
        </w:rPr>
        <w:t>能源发展规划、产业政策和年度指导计划并组织实施。起草有关能源行业的政策措施。推进能源体制改革，</w:t>
      </w:r>
      <w:r>
        <w:rPr>
          <w:rFonts w:hint="eastAsia"/>
          <w:color w:val="auto"/>
          <w:lang w:eastAsia="zh-CN"/>
        </w:rPr>
        <w:t>拟定</w:t>
      </w:r>
      <w:r>
        <w:rPr>
          <w:color w:val="auto"/>
        </w:rPr>
        <w:t>有关改革方案并组织实施。协调能源发展和改革中的重大问题。组织实施煤炭、石油、天然气、电力（核电）、新能源和可再生能源等能源，以及炼油、煤制燃料和生物质液体等燃料的产业政策和相关标准。指导协调农村能源发展工作。组织推进能源重大设备研发，指导能源科技进步、成套设备的引进消化创新，组织协调相关示范工程和推广应用新产品、新技术、新设备。负责核电管理及相关项目申报。负责能源行业节能和资源综合利用。参与研究能源消费总量控制目标建议，指导、监督能源消费总量控制有关工作，衔接能源生产建设和供需平衡。负责能源</w:t>
      </w:r>
      <w:r>
        <w:rPr>
          <w:rFonts w:hint="eastAsia"/>
          <w:color w:val="auto"/>
          <w:lang w:val="en-US" w:eastAsia="zh-CN"/>
        </w:rPr>
        <w:t>监</w:t>
      </w:r>
      <w:r>
        <w:rPr>
          <w:color w:val="auto"/>
        </w:rPr>
        <w:t>测预警。发布能源信息，参与能源运行调节和应急保障。监管油气、新能源市场运行，规范能源市场秩序。监管油气管网实施的公平开放，参与电力市场的监管。参与组织推进能源国际合作。参与制定与能源相关的资源、财税、环保及应对气候变化等政策，提出能源价格调整建议。</w:t>
      </w:r>
    </w:p>
    <w:p>
      <w:pPr>
        <w:pStyle w:val="21"/>
        <w:rPr>
          <w:color w:val="auto"/>
        </w:rPr>
      </w:pPr>
      <w:r>
        <w:rPr>
          <w:color w:val="auto"/>
        </w:rPr>
        <w:t>（十五）组织落实国家、省、邢台市、沙河市有关粮食流通和物资储备的法律、法规和政策。</w:t>
      </w:r>
      <w:r>
        <w:rPr>
          <w:rFonts w:hint="eastAsia"/>
          <w:color w:val="auto"/>
          <w:lang w:eastAsia="zh-CN"/>
        </w:rPr>
        <w:t>拟定</w:t>
      </w:r>
      <w:r>
        <w:rPr>
          <w:color w:val="auto"/>
        </w:rPr>
        <w:t>全市粮食流通、粮食储备和物资储备的政策和规章制度并组织实施。指导全市粮食流通和物资储备体制改革。落实国家、省和邢台市粮食行业发展规划和政策，制定全市粮食行业发展规划并组织实施。承担全市粮食流通宏观调控，落实国家、省和邢台市粮食购销政策，负责粮食、食糖、食盐等物资管理工作，监测市内粮食、食糖、食盐等物资供求变化并预警。承担粮食安全责任制考核日常工作。研究提出全市粮食和物资储备规划、储备品种目录建议，组织实施全市粮食、食糖、食盐和救灾物资等物资的收储、轮换和日常管理，落实有关动用计划和指令。负责贯彻落实粮食和物资储备仓储管理有关技术标准和规范，负责粮食流通、加工行业安全生产的监督管理，承担粮食、食糖、食盐和救灾物资等物资承储企业以及物资储备承储单位安全生产的监管责任。负责粮食、食糖、食盐和救灾物资等物资储备基础设施建设和管理。</w:t>
      </w:r>
      <w:r>
        <w:rPr>
          <w:rFonts w:hint="eastAsia"/>
          <w:color w:val="auto"/>
          <w:lang w:eastAsia="zh-CN"/>
        </w:rPr>
        <w:t>拟定</w:t>
      </w:r>
      <w:r>
        <w:rPr>
          <w:color w:val="auto"/>
        </w:rPr>
        <w:t>粮食流通设施建设规划并组织实施，管理有关储备基础设施和粮食流通设施投资项目。负责对粮食、食糖、食盐和救灾物资等物资储备的数量、质量和储存安全实施监督管理，对其他部门管理的物资储备进行监督指导。负责粮食流通执法督查，负责粮食收购、储存、运输环节粮食质量安全和原粮卫生的监督管理，组织实施全市粮食库存检查工作。贯彻国家和省粮食流通和物资储备有关标准、粮食质量标准和有关技术规范并监督执行。开展全市粮食和物资储备的对外合作与交流。</w:t>
      </w:r>
    </w:p>
    <w:p>
      <w:pPr>
        <w:pStyle w:val="21"/>
        <w:rPr>
          <w:color w:val="auto"/>
        </w:rPr>
      </w:pPr>
      <w:r>
        <w:rPr>
          <w:color w:val="auto"/>
        </w:rPr>
        <w:t>（十六）负责全市口岸规划、建设、开放和管理工作。</w:t>
      </w:r>
    </w:p>
    <w:p>
      <w:pPr>
        <w:pStyle w:val="21"/>
        <w:rPr>
          <w:color w:val="auto"/>
        </w:rPr>
      </w:pPr>
      <w:r>
        <w:rPr>
          <w:color w:val="auto"/>
        </w:rPr>
        <w:t>（十七）完成市委、市政府交办的其他任务。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rFonts w:ascii="方正小标宋_GBK" w:hAnsi="方正小标宋_GBK" w:eastAsia="方正小标宋_GBK" w:cs="方正小标宋_GBK"/>
          <w:color w:val="auto"/>
          <w:sz w:val="32"/>
        </w:rPr>
      </w:pPr>
      <w:r>
        <w:rPr>
          <w:rFonts w:ascii="方正小标宋_GBK" w:hAnsi="方正小标宋_GBK" w:eastAsia="方正小标宋_GBK" w:cs="方正小标宋_GBK"/>
          <w:color w:val="auto"/>
          <w:sz w:val="32"/>
        </w:rPr>
        <w:t>部门机构设置情况</w:t>
      </w:r>
    </w:p>
    <w:p>
      <w:pPr>
        <w:pStyle w:val="2"/>
        <w:rPr>
          <w:color w:val="auto"/>
        </w:rPr>
      </w:pPr>
    </w:p>
    <w:tbl>
      <w:tblPr>
        <w:tblStyle w:val="8"/>
        <w:tblpPr w:leftFromText="180" w:rightFromText="180" w:vertAnchor="text" w:horzAnchor="page" w:tblpX="2922" w:tblpY="264"/>
        <w:tblOverlap w:val="never"/>
        <w:tblW w:w="1080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736"/>
        <w:gridCol w:w="1200"/>
        <w:gridCol w:w="3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bookmarkStart w:id="10" w:name="_Toc_3_3_0000000011"/>
            <w:r>
              <w:rPr>
                <w:rFonts w:hint="eastAsia" w:ascii="Times New Roman" w:hAnsi="Times New Roman" w:eastAsia="方正书宋_GBK" w:cs="Times New Roman"/>
                <w:b/>
                <w:color w:val="auto"/>
                <w:szCs w:val="24"/>
              </w:rPr>
              <w:t>单位名称</w:t>
            </w:r>
          </w:p>
        </w:tc>
        <w:tc>
          <w:tcPr>
            <w:tcW w:w="1736"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单位性质</w:t>
            </w:r>
          </w:p>
        </w:tc>
        <w:tc>
          <w:tcPr>
            <w:tcW w:w="1200"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单位规格</w:t>
            </w:r>
          </w:p>
        </w:tc>
        <w:tc>
          <w:tcPr>
            <w:tcW w:w="3450"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736" w:type="dxa"/>
            <w:vMerge w:val="continue"/>
            <w:vAlign w:val="center"/>
          </w:tcPr>
          <w:p>
            <w:pPr>
              <w:spacing w:line="300" w:lineRule="exact"/>
              <w:jc w:val="left"/>
              <w:outlineLvl w:val="0"/>
              <w:rPr>
                <w:rFonts w:ascii="Times New Roman" w:hAnsi="Times New Roman" w:cs="Times New Roman"/>
                <w:color w:val="auto"/>
                <w:szCs w:val="24"/>
              </w:rPr>
            </w:pPr>
          </w:p>
        </w:tc>
        <w:tc>
          <w:tcPr>
            <w:tcW w:w="1200" w:type="dxa"/>
            <w:vMerge w:val="continue"/>
            <w:vAlign w:val="center"/>
          </w:tcPr>
          <w:p>
            <w:pPr>
              <w:spacing w:line="300" w:lineRule="exact"/>
              <w:jc w:val="left"/>
              <w:outlineLvl w:val="0"/>
              <w:rPr>
                <w:rFonts w:ascii="Times New Roman" w:hAnsi="Times New Roman" w:cs="Times New Roman"/>
                <w:color w:val="auto"/>
                <w:szCs w:val="24"/>
              </w:rPr>
            </w:pPr>
          </w:p>
        </w:tc>
        <w:tc>
          <w:tcPr>
            <w:tcW w:w="3450"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沙河市发展</w:t>
            </w:r>
            <w:r>
              <w:rPr>
                <w:rFonts w:hint="eastAsia" w:ascii="方正书宋_GBK" w:eastAsia="方正书宋_GBK"/>
                <w:color w:val="auto"/>
                <w:lang w:val="en-US" w:eastAsia="zh-CN"/>
              </w:rPr>
              <w:t>和</w:t>
            </w:r>
            <w:r>
              <w:rPr>
                <w:rFonts w:hint="eastAsia" w:ascii="方正书宋_GBK" w:eastAsia="方正书宋_GBK"/>
                <w:color w:val="auto"/>
              </w:rPr>
              <w:t>改革局</w:t>
            </w:r>
          </w:p>
        </w:tc>
        <w:tc>
          <w:tcPr>
            <w:tcW w:w="173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0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345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沙河市节能监察中心</w:t>
            </w:r>
          </w:p>
        </w:tc>
        <w:tc>
          <w:tcPr>
            <w:tcW w:w="173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0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345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沙河市经济信息中心</w:t>
            </w:r>
          </w:p>
        </w:tc>
        <w:tc>
          <w:tcPr>
            <w:tcW w:w="173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0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345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沙河市墙体材料革新办公室</w:t>
            </w:r>
          </w:p>
        </w:tc>
        <w:tc>
          <w:tcPr>
            <w:tcW w:w="1736"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事业</w:t>
            </w:r>
          </w:p>
        </w:tc>
        <w:tc>
          <w:tcPr>
            <w:tcW w:w="120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正股级</w:t>
            </w:r>
          </w:p>
        </w:tc>
        <w:tc>
          <w:tcPr>
            <w:tcW w:w="345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沙河市散装水泥办公室</w:t>
            </w:r>
          </w:p>
        </w:tc>
        <w:tc>
          <w:tcPr>
            <w:tcW w:w="173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0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345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沙河市价格认证中心</w:t>
            </w:r>
          </w:p>
        </w:tc>
        <w:tc>
          <w:tcPr>
            <w:tcW w:w="1736" w:type="dxa"/>
            <w:vAlign w:val="center"/>
          </w:tcPr>
          <w:p>
            <w:pPr>
              <w:spacing w:line="300" w:lineRule="exact"/>
              <w:jc w:val="center"/>
              <w:rPr>
                <w:rFonts w:ascii="Times New Roman" w:hAnsi="Times New Roman" w:eastAsia="方正书宋_GBK" w:cs="Times New Roman"/>
                <w:color w:val="auto"/>
                <w:szCs w:val="24"/>
              </w:rPr>
            </w:pPr>
            <w:r>
              <w:rPr>
                <w:rFonts w:hint="eastAsia" w:ascii="Times New Roman" w:hAnsi="Times New Roman" w:eastAsia="方正书宋_GBK" w:cs="Times New Roman"/>
                <w:color w:val="auto"/>
                <w:szCs w:val="24"/>
              </w:rPr>
              <w:t>事业</w:t>
            </w:r>
          </w:p>
        </w:tc>
        <w:tc>
          <w:tcPr>
            <w:tcW w:w="120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3450"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财政性资金零补助</w:t>
            </w:r>
          </w:p>
        </w:tc>
      </w:tr>
    </w:tbl>
    <w:p>
      <w:pPr>
        <w:spacing w:before="10" w:after="10" w:line="360" w:lineRule="auto"/>
        <w:ind w:firstLine="640"/>
        <w:jc w:val="left"/>
        <w:outlineLvl w:val="2"/>
        <w:rPr>
          <w:rFonts w:ascii="黑体" w:hAnsi="黑体" w:eastAsia="黑体" w:cs="黑体"/>
          <w:color w:val="auto"/>
          <w:sz w:val="32"/>
        </w:rPr>
      </w:pPr>
    </w:p>
    <w:p>
      <w:pPr>
        <w:spacing w:before="10" w:after="10" w:line="360" w:lineRule="auto"/>
        <w:ind w:firstLine="640"/>
        <w:jc w:val="left"/>
        <w:outlineLvl w:val="2"/>
        <w:rPr>
          <w:rFonts w:ascii="黑体" w:hAnsi="黑体" w:eastAsia="黑体" w:cs="黑体"/>
          <w:color w:val="auto"/>
          <w:sz w:val="32"/>
        </w:rPr>
      </w:pPr>
    </w:p>
    <w:p>
      <w:pPr>
        <w:spacing w:before="10" w:after="10" w:line="360" w:lineRule="auto"/>
        <w:ind w:firstLine="640"/>
        <w:jc w:val="left"/>
        <w:outlineLvl w:val="2"/>
        <w:rPr>
          <w:rFonts w:ascii="黑体" w:hAnsi="黑体" w:eastAsia="黑体" w:cs="黑体"/>
          <w:color w:val="auto"/>
          <w:sz w:val="32"/>
        </w:rPr>
      </w:pPr>
    </w:p>
    <w:p>
      <w:pPr>
        <w:spacing w:before="10" w:after="10" w:line="360" w:lineRule="auto"/>
        <w:ind w:firstLine="640"/>
        <w:jc w:val="left"/>
        <w:outlineLvl w:val="2"/>
        <w:rPr>
          <w:rFonts w:ascii="黑体" w:hAnsi="黑体" w:eastAsia="黑体" w:cs="黑体"/>
          <w:color w:val="auto"/>
          <w:sz w:val="32"/>
        </w:rPr>
      </w:pPr>
    </w:p>
    <w:p>
      <w:pPr>
        <w:spacing w:before="10" w:after="10" w:line="360" w:lineRule="auto"/>
        <w:ind w:firstLine="640"/>
        <w:jc w:val="left"/>
        <w:outlineLvl w:val="2"/>
        <w:rPr>
          <w:rFonts w:ascii="黑体" w:hAnsi="黑体" w:eastAsia="黑体" w:cs="黑体"/>
          <w:color w:val="auto"/>
          <w:sz w:val="32"/>
        </w:rPr>
      </w:pPr>
    </w:p>
    <w:p>
      <w:pPr>
        <w:spacing w:before="10" w:after="10" w:line="360" w:lineRule="auto"/>
        <w:ind w:firstLine="640"/>
        <w:jc w:val="left"/>
        <w:outlineLvl w:val="2"/>
        <w:rPr>
          <w:color w:val="auto"/>
        </w:rPr>
      </w:pPr>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按照预算管理有关规定，目前</w:t>
      </w:r>
      <w:r>
        <w:rPr>
          <w:rFonts w:hint="eastAsia" w:eastAsia="方正仿宋_GBK" w:cs="Times New Roman"/>
          <w:color w:val="auto"/>
          <w:sz w:val="28"/>
          <w:lang w:eastAsia="zh-CN"/>
        </w:rPr>
        <w:t>我局</w:t>
      </w:r>
      <w:r>
        <w:rPr>
          <w:rFonts w:ascii="Times New Roman" w:hAnsi="Times New Roman" w:eastAsia="方正仿宋_GBK" w:cs="Times New Roman"/>
          <w:color w:val="auto"/>
          <w:sz w:val="28"/>
        </w:rPr>
        <w:t>部门预算的编制实行综合预算管理，即全部收入和支出都反映在预算中。沙河市发展和改革局机关及所属事业单位的收支包含在部门预算中。</w:t>
      </w:r>
    </w:p>
    <w:p>
      <w:pPr>
        <w:pStyle w:val="22"/>
        <w:rPr>
          <w:color w:val="auto"/>
        </w:rPr>
      </w:pPr>
      <w:r>
        <w:rPr>
          <w:color w:val="auto"/>
        </w:rPr>
        <w:t>1、收入说明</w:t>
      </w:r>
    </w:p>
    <w:p>
      <w:pPr>
        <w:spacing w:line="610" w:lineRule="exact"/>
        <w:ind w:firstLine="640"/>
        <w:rPr>
          <w:rFonts w:ascii="??_GB2312" w:eastAsia="Times New Roman"/>
          <w:color w:val="auto"/>
          <w:sz w:val="32"/>
          <w:szCs w:val="32"/>
        </w:rPr>
      </w:pPr>
      <w:r>
        <w:rPr>
          <w:rFonts w:ascii="??_GB2312" w:eastAsia="Times New Roman"/>
          <w:color w:val="auto"/>
          <w:sz w:val="32"/>
          <w:szCs w:val="32"/>
        </w:rPr>
        <w:t>反映本部门当年全部收入。20</w:t>
      </w:r>
      <w:r>
        <w:rPr>
          <w:rFonts w:hint="eastAsia" w:ascii="??_GB2312"/>
          <w:color w:val="auto"/>
          <w:sz w:val="32"/>
          <w:szCs w:val="32"/>
          <w:lang w:val="en-US" w:eastAsia="zh-CN"/>
        </w:rPr>
        <w:t>21</w:t>
      </w:r>
      <w:r>
        <w:rPr>
          <w:rFonts w:ascii="??_GB2312" w:eastAsia="Times New Roman"/>
          <w:color w:val="auto"/>
          <w:sz w:val="32"/>
          <w:szCs w:val="32"/>
        </w:rPr>
        <w:t>年预算收入</w:t>
      </w:r>
      <w:r>
        <w:rPr>
          <w:rFonts w:hint="eastAsia" w:ascii="??_GB2312"/>
          <w:color w:val="auto"/>
          <w:sz w:val="32"/>
          <w:szCs w:val="32"/>
          <w:lang w:val="en-US" w:eastAsia="zh-CN"/>
        </w:rPr>
        <w:t>1143.59</w:t>
      </w:r>
      <w:r>
        <w:rPr>
          <w:rFonts w:ascii="??_GB2312" w:eastAsia="Times New Roman"/>
          <w:color w:val="auto"/>
          <w:sz w:val="32"/>
          <w:szCs w:val="32"/>
        </w:rPr>
        <w:t>万元，其中：一般公共预算收入</w:t>
      </w:r>
      <w:r>
        <w:rPr>
          <w:rFonts w:hint="eastAsia" w:ascii="??_GB2312"/>
          <w:color w:val="auto"/>
          <w:sz w:val="32"/>
          <w:szCs w:val="32"/>
          <w:lang w:val="en-US" w:eastAsia="zh-CN"/>
        </w:rPr>
        <w:t>1143.59</w:t>
      </w:r>
      <w:r>
        <w:rPr>
          <w:rFonts w:ascii="??_GB2312" w:eastAsia="Times New Roman"/>
          <w:color w:val="auto"/>
          <w:sz w:val="32"/>
          <w:szCs w:val="32"/>
        </w:rPr>
        <w:t>万元。</w:t>
      </w:r>
    </w:p>
    <w:p>
      <w:pPr>
        <w:pStyle w:val="22"/>
        <w:rPr>
          <w:color w:val="auto"/>
        </w:rPr>
      </w:pPr>
      <w:r>
        <w:rPr>
          <w:color w:val="auto"/>
        </w:rPr>
        <w:t>2、支出说明</w:t>
      </w:r>
    </w:p>
    <w:p>
      <w:pPr>
        <w:spacing w:line="610" w:lineRule="exact"/>
        <w:ind w:firstLine="640"/>
        <w:rPr>
          <w:color w:val="auto"/>
        </w:rPr>
      </w:pPr>
      <w:r>
        <w:rPr>
          <w:rFonts w:hint="eastAsia" w:ascii="??_GB2312" w:hAnsi="??_GB2312" w:cs="??_GB2312"/>
          <w:color w:val="auto"/>
          <w:sz w:val="32"/>
          <w:szCs w:val="32"/>
          <w:lang w:val="en-US" w:eastAsia="zh-CN"/>
        </w:rPr>
        <w:t>2021</w:t>
      </w:r>
      <w:r>
        <w:rPr>
          <w:rFonts w:hint="eastAsia" w:ascii="宋体" w:hAnsi="宋体" w:cs="宋体"/>
          <w:color w:val="auto"/>
          <w:sz w:val="32"/>
          <w:szCs w:val="32"/>
        </w:rPr>
        <w:t>年支出预算</w:t>
      </w:r>
      <w:r>
        <w:rPr>
          <w:rFonts w:hint="eastAsia" w:ascii="??_GB2312" w:hAnsi="??_GB2312" w:cs="??_GB2312"/>
          <w:color w:val="auto"/>
          <w:sz w:val="32"/>
          <w:szCs w:val="32"/>
          <w:lang w:val="en-US" w:eastAsia="zh-CN"/>
        </w:rPr>
        <w:t>1143.59</w:t>
      </w:r>
      <w:r>
        <w:rPr>
          <w:rFonts w:hint="eastAsia" w:ascii="宋体" w:hAnsi="宋体" w:cs="宋体"/>
          <w:color w:val="auto"/>
          <w:sz w:val="32"/>
          <w:szCs w:val="32"/>
        </w:rPr>
        <w:t>万元，其中基本支出</w:t>
      </w:r>
      <w:r>
        <w:rPr>
          <w:rFonts w:hint="eastAsia" w:ascii="宋体" w:hAnsi="宋体" w:cs="宋体"/>
          <w:color w:val="auto"/>
          <w:sz w:val="32"/>
          <w:szCs w:val="32"/>
          <w:lang w:val="en-US" w:eastAsia="zh-CN"/>
        </w:rPr>
        <w:t>1077.84</w:t>
      </w:r>
      <w:r>
        <w:rPr>
          <w:rFonts w:hint="eastAsia" w:ascii="宋体" w:hAnsi="宋体" w:cs="宋体"/>
          <w:color w:val="auto"/>
          <w:sz w:val="32"/>
          <w:szCs w:val="32"/>
        </w:rPr>
        <w:t>万元，包括人员经费和日常公用经费；项目支出</w:t>
      </w:r>
      <w:r>
        <w:rPr>
          <w:rFonts w:hint="eastAsia" w:ascii="??_GB2312" w:hAnsi="??_GB2312" w:cs="??_GB2312"/>
          <w:color w:val="auto"/>
          <w:sz w:val="32"/>
          <w:szCs w:val="32"/>
          <w:lang w:val="en-US" w:eastAsia="zh-CN"/>
        </w:rPr>
        <w:t>65.75</w:t>
      </w:r>
      <w:r>
        <w:rPr>
          <w:rFonts w:hint="eastAsia" w:ascii="宋体" w:hAnsi="宋体" w:cs="宋体"/>
          <w:color w:val="auto"/>
          <w:sz w:val="32"/>
          <w:szCs w:val="32"/>
        </w:rPr>
        <w:t>万元，主要是本级支出的机关运转经费。</w:t>
      </w:r>
    </w:p>
    <w:p>
      <w:pPr>
        <w:pStyle w:val="22"/>
        <w:rPr>
          <w:color w:val="auto"/>
        </w:rPr>
      </w:pPr>
      <w:r>
        <w:rPr>
          <w:color w:val="auto"/>
        </w:rPr>
        <w:t>3、比上年增减情况</w:t>
      </w:r>
    </w:p>
    <w:p>
      <w:pPr>
        <w:pStyle w:val="22"/>
        <w:rPr>
          <w:color w:val="auto"/>
        </w:rPr>
      </w:pPr>
      <w:r>
        <w:rPr>
          <w:rFonts w:hint="eastAsia" w:ascii="宋体" w:hAnsi="宋体" w:eastAsia="Times New Roman" w:cs="宋体"/>
          <w:color w:val="auto"/>
          <w:sz w:val="32"/>
          <w:szCs w:val="32"/>
          <w:lang w:val="en-US" w:eastAsia="uk-UA" w:bidi="ar-SA"/>
        </w:rPr>
        <w:t>20</w:t>
      </w:r>
      <w:r>
        <w:rPr>
          <w:rFonts w:hint="eastAsia" w:ascii="宋体" w:hAnsi="宋体" w:eastAsia="Times New Roman" w:cs="宋体"/>
          <w:color w:val="auto"/>
          <w:sz w:val="32"/>
          <w:szCs w:val="32"/>
          <w:lang w:val="en-US" w:eastAsia="zh-CN" w:bidi="ar-SA"/>
        </w:rPr>
        <w:t>21</w:t>
      </w:r>
      <w:r>
        <w:rPr>
          <w:rFonts w:hint="eastAsia" w:ascii="宋体" w:hAnsi="宋体" w:eastAsia="Times New Roman" w:cs="宋体"/>
          <w:color w:val="auto"/>
          <w:sz w:val="32"/>
          <w:szCs w:val="32"/>
          <w:lang w:val="en-US" w:eastAsia="uk-UA" w:bidi="ar-SA"/>
        </w:rPr>
        <w:t>年预算收支安排</w:t>
      </w:r>
      <w:r>
        <w:rPr>
          <w:rFonts w:hint="eastAsia" w:ascii="宋体" w:hAnsi="宋体" w:eastAsia="Times New Roman" w:cs="宋体"/>
          <w:color w:val="auto"/>
          <w:sz w:val="32"/>
          <w:szCs w:val="32"/>
          <w:lang w:val="en-US" w:eastAsia="zh-CN" w:bidi="ar-SA"/>
        </w:rPr>
        <w:t>1143.59</w:t>
      </w:r>
      <w:r>
        <w:rPr>
          <w:rFonts w:hint="eastAsia" w:ascii="宋体" w:hAnsi="宋体" w:eastAsia="Times New Roman" w:cs="宋体"/>
          <w:color w:val="auto"/>
          <w:sz w:val="32"/>
          <w:szCs w:val="32"/>
          <w:lang w:val="en-US" w:eastAsia="uk-UA" w:bidi="ar-SA"/>
        </w:rPr>
        <w:t>万元，较</w:t>
      </w:r>
      <w:r>
        <w:rPr>
          <w:rFonts w:hint="eastAsia" w:ascii="宋体" w:hAnsi="宋体" w:eastAsia="Times New Roman" w:cs="宋体"/>
          <w:color w:val="auto"/>
          <w:sz w:val="32"/>
          <w:szCs w:val="32"/>
          <w:lang w:val="en-US" w:eastAsia="zh-CN" w:bidi="ar-SA"/>
        </w:rPr>
        <w:t>2020</w:t>
      </w:r>
      <w:r>
        <w:rPr>
          <w:rFonts w:hint="eastAsia" w:ascii="宋体" w:hAnsi="宋体" w:eastAsia="Times New Roman" w:cs="宋体"/>
          <w:color w:val="auto"/>
          <w:sz w:val="32"/>
          <w:szCs w:val="32"/>
          <w:lang w:val="en-US" w:eastAsia="uk-UA" w:bidi="ar-SA"/>
        </w:rPr>
        <w:t>年预算</w:t>
      </w:r>
      <w:r>
        <w:rPr>
          <w:rFonts w:hint="eastAsia" w:ascii="宋体" w:hAnsi="宋体" w:eastAsia="Times New Roman" w:cs="宋体"/>
          <w:color w:val="auto"/>
          <w:sz w:val="32"/>
          <w:szCs w:val="32"/>
          <w:lang w:val="en-US" w:eastAsia="zh-CN" w:bidi="ar-SA"/>
        </w:rPr>
        <w:t>减少了20.71万元。</w:t>
      </w:r>
      <w:r>
        <w:rPr>
          <w:rFonts w:hint="eastAsia" w:ascii="宋体" w:hAnsi="宋体" w:eastAsia="Times New Roman" w:cs="宋体"/>
          <w:color w:val="auto"/>
          <w:sz w:val="32"/>
          <w:szCs w:val="32"/>
          <w:lang w:val="en-US" w:eastAsia="uk-UA" w:bidi="ar-SA"/>
        </w:rPr>
        <w:t>其中基本支出</w:t>
      </w:r>
      <w:r>
        <w:rPr>
          <w:rFonts w:hint="eastAsia" w:ascii="宋体" w:hAnsi="宋体" w:eastAsia="Times New Roman" w:cs="宋体"/>
          <w:color w:val="auto"/>
          <w:sz w:val="32"/>
          <w:szCs w:val="32"/>
          <w:lang w:val="en-US" w:eastAsia="zh-CN" w:bidi="ar-SA"/>
        </w:rPr>
        <w:t>减少了14.14万元，</w:t>
      </w:r>
      <w:r>
        <w:rPr>
          <w:rFonts w:hint="eastAsia" w:ascii="宋体" w:hAnsi="宋体" w:eastAsia="Times New Roman" w:cs="宋体"/>
          <w:color w:val="auto"/>
          <w:sz w:val="32"/>
          <w:szCs w:val="32"/>
          <w:lang w:val="en-US" w:eastAsia="uk-UA" w:bidi="ar-SA"/>
        </w:rPr>
        <w:t>主要</w:t>
      </w:r>
      <w:r>
        <w:rPr>
          <w:rFonts w:hint="eastAsia" w:ascii="宋体" w:hAnsi="宋体" w:eastAsia="Times New Roman" w:cs="宋体"/>
          <w:color w:val="auto"/>
          <w:sz w:val="32"/>
          <w:szCs w:val="32"/>
          <w:lang w:val="en-US" w:eastAsia="zh-CN" w:bidi="ar-SA"/>
        </w:rPr>
        <w:t>原因是有退休人员和调离，人员经费减少</w:t>
      </w:r>
      <w:r>
        <w:rPr>
          <w:rFonts w:hint="eastAsia" w:ascii="宋体" w:hAnsi="宋体" w:eastAsia="Times New Roman" w:cs="宋体"/>
          <w:color w:val="auto"/>
          <w:sz w:val="32"/>
          <w:szCs w:val="32"/>
          <w:lang w:val="en-US" w:eastAsia="uk-UA" w:bidi="ar-SA"/>
        </w:rPr>
        <w:t>；项目</w:t>
      </w:r>
      <w:r>
        <w:rPr>
          <w:rFonts w:hint="eastAsia" w:ascii="宋体" w:hAnsi="宋体" w:eastAsia="Times New Roman" w:cs="宋体"/>
          <w:color w:val="auto"/>
          <w:sz w:val="32"/>
          <w:szCs w:val="32"/>
          <w:lang w:val="en-US" w:eastAsia="zh-CN" w:bidi="ar-SA"/>
        </w:rPr>
        <w:t>支出减少6.57</w:t>
      </w:r>
      <w:r>
        <w:rPr>
          <w:rFonts w:hint="eastAsia" w:ascii="宋体" w:hAnsi="宋体" w:eastAsia="Times New Roman" w:cs="宋体"/>
          <w:color w:val="auto"/>
          <w:sz w:val="32"/>
          <w:szCs w:val="32"/>
          <w:lang w:val="en-US" w:eastAsia="uk-UA" w:bidi="ar-SA"/>
        </w:rPr>
        <w:t>万元，主要</w:t>
      </w:r>
      <w:r>
        <w:rPr>
          <w:rFonts w:hint="eastAsia" w:ascii="宋体" w:hAnsi="宋体" w:eastAsia="Times New Roman" w:cs="宋体"/>
          <w:color w:val="auto"/>
          <w:sz w:val="32"/>
          <w:szCs w:val="32"/>
          <w:lang w:val="en-US" w:eastAsia="zh-CN" w:bidi="ar-SA"/>
        </w:rPr>
        <w:t>原因</w:t>
      </w:r>
      <w:r>
        <w:rPr>
          <w:rFonts w:hint="eastAsia" w:ascii="宋体" w:hAnsi="宋体" w:eastAsia="Times New Roman" w:cs="宋体"/>
          <w:color w:val="auto"/>
          <w:sz w:val="32"/>
          <w:szCs w:val="32"/>
          <w:lang w:val="en-US" w:eastAsia="uk-UA" w:bidi="ar-SA"/>
        </w:rPr>
        <w:t>是</w:t>
      </w:r>
      <w:r>
        <w:rPr>
          <w:rFonts w:hint="eastAsia" w:ascii="宋体" w:hAnsi="宋体" w:eastAsia="Times New Roman" w:cs="宋体"/>
          <w:color w:val="auto"/>
          <w:sz w:val="32"/>
          <w:szCs w:val="32"/>
          <w:lang w:val="en-US" w:eastAsia="zh-CN" w:bidi="ar-SA"/>
        </w:rPr>
        <w:t>积极响应国家政策，厉行节约，项目经费有所减少。</w:t>
      </w:r>
    </w:p>
    <w:p>
      <w:pPr>
        <w:numPr>
          <w:ilvl w:val="0"/>
          <w:numId w:val="1"/>
        </w:numPr>
        <w:spacing w:before="10" w:after="10" w:line="360" w:lineRule="auto"/>
        <w:ind w:firstLine="640"/>
        <w:jc w:val="left"/>
        <w:outlineLvl w:val="2"/>
        <w:rPr>
          <w:rFonts w:ascii="黑体" w:hAnsi="黑体" w:eastAsia="黑体" w:cs="黑体"/>
          <w:color w:val="auto"/>
          <w:sz w:val="32"/>
        </w:rPr>
      </w:pPr>
      <w:bookmarkStart w:id="11" w:name="_Toc_3_3_0000000012"/>
      <w:r>
        <w:rPr>
          <w:rFonts w:ascii="黑体" w:hAnsi="黑体" w:eastAsia="黑体" w:cs="黑体"/>
          <w:color w:val="auto"/>
          <w:sz w:val="32"/>
        </w:rPr>
        <w:t>机关运行经费安排情况</w:t>
      </w:r>
      <w:bookmarkEnd w:id="11"/>
    </w:p>
    <w:p>
      <w:pPr>
        <w:numPr>
          <w:ilvl w:val="0"/>
          <w:numId w:val="0"/>
        </w:numPr>
        <w:spacing w:before="10" w:after="10" w:line="360" w:lineRule="auto"/>
        <w:ind w:firstLine="640" w:firstLineChars="200"/>
        <w:jc w:val="left"/>
        <w:outlineLvl w:val="2"/>
        <w:rPr>
          <w:rFonts w:hint="default" w:eastAsia="方正仿宋_GBK"/>
          <w:color w:val="auto"/>
          <w:lang w:val="en-US" w:eastAsia="zh-CN"/>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51.78</w:t>
      </w:r>
      <w:r>
        <w:rPr>
          <w:rFonts w:hint="eastAsia" w:ascii="宋体" w:hAnsi="宋体" w:cs="宋体"/>
          <w:color w:val="auto"/>
          <w:sz w:val="32"/>
          <w:szCs w:val="32"/>
        </w:rPr>
        <w:t>万元，</w:t>
      </w:r>
      <w:r>
        <w:rPr>
          <w:rFonts w:hint="eastAsia" w:ascii="宋体" w:hAnsi="宋体" w:cs="宋体"/>
          <w:color w:val="auto"/>
          <w:sz w:val="32"/>
          <w:szCs w:val="32"/>
          <w:lang w:val="en-US" w:eastAsia="zh-CN"/>
        </w:rPr>
        <w:t>较去年减少了2.51万元。</w:t>
      </w:r>
      <w:r>
        <w:rPr>
          <w:rFonts w:hint="eastAsia" w:ascii="宋体" w:hAnsi="宋体" w:cs="宋体"/>
          <w:color w:val="auto"/>
          <w:sz w:val="32"/>
          <w:szCs w:val="32"/>
        </w:rPr>
        <w:t>主要用于办公费、公务用车运行维护费、公务交通补贴、工会经费及福利费等日常运转支出。</w:t>
      </w: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spacing w:line="610" w:lineRule="exact"/>
        <w:ind w:firstLine="640"/>
        <w:rPr>
          <w:rFonts w:ascii="??_GB2312" w:hAnsi="??_GB2312" w:cs="??_GB2312"/>
          <w:color w:val="auto"/>
          <w:sz w:val="32"/>
          <w:szCs w:val="32"/>
        </w:rPr>
      </w:pPr>
      <w:bookmarkStart w:id="13" w:name="_Toc_3_3_0000000014"/>
      <w:r>
        <w:rPr>
          <w:rFonts w:ascii="??_GB2312" w:hAnsi="??_GB2312" w:cs="??_GB2312"/>
          <w:color w:val="auto"/>
          <w:sz w:val="32"/>
          <w:szCs w:val="32"/>
        </w:rPr>
        <w:t>20</w:t>
      </w:r>
      <w:r>
        <w:rPr>
          <w:rFonts w:hint="eastAsia" w:ascii="??_GB2312" w:hAnsi="??_GB2312" w:cs="??_GB2312"/>
          <w:color w:val="auto"/>
          <w:sz w:val="32"/>
          <w:szCs w:val="32"/>
          <w:lang w:val="en-US" w:eastAsia="zh-CN"/>
        </w:rPr>
        <w:t>21</w:t>
      </w:r>
      <w:r>
        <w:rPr>
          <w:rFonts w:hint="eastAsia" w:ascii="宋体" w:hAnsi="宋体" w:cs="宋体"/>
          <w:color w:val="auto"/>
          <w:sz w:val="32"/>
          <w:szCs w:val="32"/>
        </w:rPr>
        <w:t>年，我部门</w:t>
      </w:r>
      <w:r>
        <w:rPr>
          <w:rFonts w:hint="eastAsia" w:ascii="宋体" w:hAnsi="宋体" w:cs="宋体"/>
          <w:color w:val="auto"/>
          <w:sz w:val="32"/>
          <w:szCs w:val="32"/>
          <w:lang w:eastAsia="zh-CN"/>
        </w:rPr>
        <w:t>“</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7.2</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6</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6</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1.2</w:t>
      </w:r>
      <w:r>
        <w:rPr>
          <w:rFonts w:hint="eastAsia" w:ascii="宋体" w:hAnsi="宋体" w:cs="宋体"/>
          <w:color w:val="auto"/>
          <w:sz w:val="32"/>
          <w:szCs w:val="32"/>
        </w:rPr>
        <w:t>万元，较</w:t>
      </w:r>
      <w:r>
        <w:rPr>
          <w:rFonts w:ascii="宋体" w:hAnsi="宋体" w:cs="宋体"/>
          <w:color w:val="auto"/>
          <w:sz w:val="32"/>
          <w:szCs w:val="32"/>
        </w:rPr>
        <w:t>20</w:t>
      </w:r>
      <w:r>
        <w:rPr>
          <w:rFonts w:hint="eastAsia" w:ascii="宋体" w:hAnsi="宋体" w:cs="宋体"/>
          <w:color w:val="auto"/>
          <w:sz w:val="32"/>
          <w:szCs w:val="32"/>
          <w:lang w:val="en-US" w:eastAsia="zh-CN"/>
        </w:rPr>
        <w:t>20</w:t>
      </w:r>
      <w:r>
        <w:rPr>
          <w:rFonts w:hint="eastAsia" w:ascii="宋体" w:hAnsi="宋体" w:cs="宋体"/>
          <w:color w:val="auto"/>
          <w:sz w:val="32"/>
          <w:szCs w:val="32"/>
        </w:rPr>
        <w:t>年“三公”经费预算安排</w:t>
      </w:r>
      <w:r>
        <w:rPr>
          <w:rFonts w:hint="eastAsia" w:ascii="宋体" w:hAnsi="宋体" w:cs="宋体"/>
          <w:color w:val="auto"/>
          <w:sz w:val="32"/>
          <w:szCs w:val="32"/>
          <w:lang w:val="en-US" w:eastAsia="zh-CN"/>
        </w:rPr>
        <w:t>有所增加，</w:t>
      </w:r>
      <w:r>
        <w:rPr>
          <w:rFonts w:hint="eastAsia" w:ascii="宋体" w:hAnsi="宋体" w:cs="宋体"/>
          <w:color w:val="auto"/>
          <w:sz w:val="32"/>
          <w:szCs w:val="32"/>
        </w:rPr>
        <w:t>主要</w:t>
      </w:r>
      <w:r>
        <w:rPr>
          <w:rFonts w:hint="eastAsia" w:ascii="宋体" w:hAnsi="宋体" w:cs="宋体"/>
          <w:color w:val="auto"/>
          <w:sz w:val="32"/>
          <w:szCs w:val="32"/>
          <w:lang w:eastAsia="zh-CN"/>
        </w:rPr>
        <w:t>原因是业务量大，且车辆状况不佳，燃油和修理等费用有所增加。</w:t>
      </w:r>
    </w:p>
    <w:p>
      <w:pPr>
        <w:spacing w:before="10" w:after="10" w:line="360" w:lineRule="auto"/>
        <w:ind w:firstLine="640"/>
        <w:jc w:val="left"/>
        <w:outlineLvl w:val="2"/>
        <w:rPr>
          <w:color w:val="auto"/>
        </w:rPr>
      </w:pPr>
      <w:r>
        <w:rPr>
          <w:rFonts w:ascii="黑体" w:hAnsi="黑体" w:eastAsia="黑体" w:cs="黑体"/>
          <w:color w:val="auto"/>
          <w:sz w:val="32"/>
        </w:rPr>
        <w:t>五、预算绩效信息</w:t>
      </w:r>
      <w:bookmarkEnd w:id="13"/>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line="610" w:lineRule="exact"/>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（一）总体绩</w:t>
      </w:r>
      <w:r>
        <w:rPr>
          <w:rFonts w:hint="eastAsia" w:ascii="楷体" w:hAnsi="楷体" w:eastAsia="楷体" w:cs="楷体"/>
          <w:b w:val="0"/>
          <w:bCs w:val="0"/>
          <w:color w:val="auto"/>
          <w:sz w:val="32"/>
          <w:szCs w:val="32"/>
          <w:lang w:val="en-US" w:eastAsia="zh-CN"/>
        </w:rPr>
        <w:t>效目</w:t>
      </w:r>
      <w:r>
        <w:rPr>
          <w:rFonts w:hint="eastAsia" w:ascii="楷体" w:hAnsi="楷体" w:eastAsia="楷体" w:cs="楷体"/>
          <w:color w:val="auto"/>
          <w:sz w:val="32"/>
          <w:szCs w:val="32"/>
          <w:lang w:val="en-US" w:eastAsia="zh-CN"/>
        </w:rPr>
        <w:t>标</w:t>
      </w:r>
    </w:p>
    <w:p>
      <w:pPr>
        <w:spacing w:before="0" w:after="0" w:line="500" w:lineRule="exact"/>
        <w:ind w:firstLine="560"/>
        <w:jc w:val="left"/>
        <w:outlineLvl w:val="9"/>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编制完成2021年度国民经济和社会发展计划，并通过人大审核；全社会固定资产投资、万元生产总值能耗、经济体制改革工作完成当年计划目标；力争我市多个项目列入2021年省级、邢台市级重点项目；组织实施有关价格政策，监测重要商品和服务价格变化，为价格调控提供依据；开展涉纪、涉刑、涉税价格认定、价格争议纠纷调解和价格成本监审工作；对全社会粮食流通进行宏观管理和对粮食购销企业进行行业管理，保障粮食安全；完成农业区划调研任务；保障人员工资、社保等按时发放和缴纳。</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（二）分项绩效目标</w:t>
      </w:r>
    </w:p>
    <w:p>
      <w:pPr>
        <w:spacing w:line="610" w:lineRule="exact"/>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1.经济体制改革</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绩效目标：指导推进和综合协调经济体制改革；统筹综合性经济体制改革，协调推进专项经济体制改革。</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协调指导完成改制企业数量不低于2个。②质量指标：严格按照企业破产法及国有企业改制有关政策，统筹协调推进国有企业改制。③时效指标：严格按照改制方案要求时间节点完成工作。④成本指标：严格按照预算标准执行，费用严控在预算额度内。</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2）.效果指标：①经济效益指标：促进企业改革完成率不低于95%。</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3）.满意度指标：①服务对象满意度指标：改制企业员工满意度95%。</w:t>
      </w:r>
    </w:p>
    <w:p>
      <w:pPr>
        <w:spacing w:line="610" w:lineRule="exact"/>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2.节能减排</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绩效目标：通过采取宣传、监察等方式，确保完成节能、削煤、降碳目标任务；积极助推节能减排和大气污染防治；确保实现年度单位GDP能耗下降率。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年度内对企业开展节能监察次数不低于3次。②质量指标：100%完成上级下达的各项节能监察任务。③时效指标：严格按照相关文件要求，在上级下达工作要求的时限内高效地完成工作。④成本指标：严格按照预算执行标准。</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2）.效果指标：①经济效益指标：单位GDP能耗的同期下降比率不低于3.6%。②社会效益指标：单位工业产值增加值能耗的同期下降比率不低于3%。</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3）.满意度指标：①服务对象满意度指标：服务对象对节能监察工作等的满意程度不低于95%。</w:t>
      </w:r>
    </w:p>
    <w:p>
      <w:pPr>
        <w:spacing w:line="61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3.重点项目</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绩效目标：加强重点项目谋划、协调，推动重点项目顺利实施，组织实施集中开工活动和重点项目观摩活动。</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列入省级重点项目个数不少于3个，列入邢台市重点项目个数不少于5个。②质量指标：严格按照我市发展规划实施。③时效指标：严格按照工程计划开展，在各个时间节点完成各项工作任务。④成本指标：在本年度预算额度内开展工作，不超预算。</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2）.效果指标：①经济效益指标：年度邢台市级重点建设项目开工占邢台市级重点项目计划开工项目的比例不低于90%。②社会效益指标：省、市重点项目投资完成率不低于90%。</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3）.满意度指标：①服务对象满意度指标：企业和社会对工作开展的满意程度及改制企业员工满意度不低于95%。</w:t>
      </w:r>
    </w:p>
    <w:p>
      <w:pPr>
        <w:spacing w:line="610" w:lineRule="exact"/>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4.价格认证</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绩效目标：对公安、法院等司法机关和行政机关涉案、涉纪、涉税资产进行价格认证，并对相关资产进行调查、勘验、评估。</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本年度开展涉案、涉纪、涉税资产价格认证案件不少于400件。②质量指标：严格按照相关文件的规定要求开展各项认证工作，务必坚持依法、公正、科学、效率原则。③时效指标：严格按照国家有关价格认证工作时效要求，每起案件的办理时间严控在7日以内完成。④成本指标：严格把控价格认证工作经费预算，不超过10万元。</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2）.效果指标：①社会效益指标：我局通过价格认证工作的开展，达到维护社会稳定的效果，办案及时和准确率不低于95%。</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3）.满意度指标：①服务对象满意度指标：司法机关和行政机关对我局价格认证工作的满意度不低于95%。</w:t>
      </w:r>
    </w:p>
    <w:p>
      <w:pPr>
        <w:spacing w:line="610" w:lineRule="exact"/>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5.价格监测</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绩效目标：定期对市场多种商品价格进行监测分析，及时、准确地向市政府和上级发改（物价）部门上报有关信息和动态分析，供领导决策参考。</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监测的商品价格信息上报次数不少于4次。②质量指标：监测关系到百姓日常生活的重要生活必需品、重要商品和服务价格等的个数不少于50个。③时效指标：按照上级要求，将监测到的重要商品、服务价格信息及时上报。④成本指标：因监测商品、服务价格所产生的费用不超过本年度预算额度。</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2）.效果指标：①经济效益指标：重要商品信息及时上报完成率达到100%。②社会效益指标：所监测数据对上级作出价格调控政策有帮助的比例达到98%。</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3）.满意度指标：①服务对象满意度：商品、服务供应商和群众的满意率达到98%。</w:t>
      </w:r>
    </w:p>
    <w:p>
      <w:pPr>
        <w:spacing w:line="610" w:lineRule="exact"/>
        <w:ind w:firstLine="640" w:firstLineChars="20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6.粮食行政执法监管经费</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绩效目标：落实2021年度粮食监管任务，在邢台市年度粮食安全责任制考核工作中取得好成绩。</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粮食储备吨数达标率不低于95%。②质量指标：高质量地完成国家粮食储备任务。③时效指标：按照文件时间节点完成本年度粮食行政执法监管任务。④成本指标：开展粮食行政执法监管工作费用严格控制在预算额度内。</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2）.效果指标：①社会效益指标：督查粮食监管经费落实情况，确保粮食储备安全。</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3）.满意度指标：①服务对象满意度指标：粮储企业和百姓的满意度不低于98%。</w:t>
      </w:r>
    </w:p>
    <w:p>
      <w:pPr>
        <w:spacing w:line="610" w:lineRule="exact"/>
        <w:ind w:firstLine="640" w:firstLineChars="20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7.粮食系统补助经费</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绩效目标：对全社会粮食流通进行宏观管理和对粮食购销企业进行行业管理;保证救助受灾区和水库移民区所需粮食,以及军队用粮的供应;加强粮食的库存管理,确保国家储备粮和其他粮食的储存安全。</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对我市粮食库存情况检查次数不少于6次。②质量指标：对我市粮食库存安全检查次数不少于6次。③时效指标：年底前该项资金使用进度达到100%。④成本指标：粮食业务各项活动所需经费严格控制在预算数据内。</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2）.效果指标：①经济效益指标：我市粮食供应工作完成率达到100%。②社会效益指标：通过加强对粮库、粮食企业等的管理，保障我市粮食行业基本稳定。</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3）.满意度指标：①服务对象满意度：群众对我局粮食工作开展的满意度高于95%。</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（三）工作保障措施</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完善制度建设</w:t>
      </w:r>
      <w:r>
        <w:rPr>
          <w:rFonts w:hint="eastAsia" w:ascii="宋体" w:hAnsi="宋体" w:cs="宋体"/>
          <w:color w:val="auto"/>
          <w:sz w:val="32"/>
          <w:szCs w:val="32"/>
          <w:lang w:val="en-US" w:eastAsia="zh-CN"/>
        </w:rPr>
        <w:t>。按照国家绩效管理相关要求，进一步制定完善我局预算绩效管理制度、资金管理办法、工作保障制度，为全年预算绩效目标的实现奠定制度基础，确保各项经费的使用有理有据。</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加强支出管理</w:t>
      </w:r>
      <w:r>
        <w:rPr>
          <w:rFonts w:hint="eastAsia" w:ascii="宋体" w:hAnsi="宋体" w:cs="宋体"/>
          <w:color w:val="auto"/>
          <w:sz w:val="32"/>
          <w:szCs w:val="32"/>
          <w:lang w:val="en-US" w:eastAsia="zh-CN"/>
        </w:rPr>
        <w:t>。通过优化支出结构、编细编实预算、加快履行政府采购手续、尽快启动项目、及时支付资金、按规定及时下达资金等多种措施，确保支出进度达标。</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加强绩效运行监控</w:t>
      </w:r>
      <w:r>
        <w:rPr>
          <w:rFonts w:hint="eastAsia" w:ascii="宋体" w:hAnsi="宋体" w:cs="宋体"/>
          <w:color w:val="auto"/>
          <w:sz w:val="32"/>
          <w:szCs w:val="32"/>
          <w:lang w:val="en-US" w:eastAsia="zh-CN"/>
        </w:rPr>
        <w:t>。按要求开展绩效运行监控，发现问题及时采取措施，确保绩效目标如期保质实现。</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做好绩效自评</w:t>
      </w:r>
      <w:r>
        <w:rPr>
          <w:rFonts w:hint="eastAsia" w:ascii="宋体" w:hAnsi="宋体" w:cs="宋体"/>
          <w:color w:val="auto"/>
          <w:sz w:val="32"/>
          <w:szCs w:val="32"/>
          <w:lang w:val="en-US" w:eastAsia="zh-CN"/>
        </w:rPr>
        <w:t>。按要求开展上年度部门预算绩效自评和重点评价工作，对评价中发现的问题及时整改，调整优化支出结构，提高财政资金使用效益。</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规范财务资产管理。</w:t>
      </w:r>
      <w:r>
        <w:rPr>
          <w:rFonts w:hint="eastAsia" w:ascii="宋体" w:hAnsi="宋体" w:cs="宋体"/>
          <w:color w:val="auto"/>
          <w:sz w:val="32"/>
          <w:szCs w:val="32"/>
          <w:lang w:val="en-US" w:eastAsia="zh-CN"/>
        </w:rPr>
        <w:t>完善财务管理制度，严格审批程序，加强固定资产登记、使用和报废处置管理，做到支出合理，物尽其用。</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加强内部监督。</w:t>
      </w:r>
      <w:r>
        <w:rPr>
          <w:rFonts w:hint="eastAsia" w:ascii="宋体" w:hAnsi="宋体" w:cs="宋体"/>
          <w:color w:val="auto"/>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610" w:lineRule="exact"/>
        <w:ind w:firstLine="640"/>
        <w:rPr>
          <w:rFonts w:hint="eastAsia" w:ascii="宋体" w:hAnsi="宋体" w:cs="宋体"/>
          <w:color w:val="auto"/>
          <w:sz w:val="32"/>
          <w:szCs w:val="32"/>
          <w:lang w:val="en-US" w:eastAsia="zh-CN"/>
        </w:rPr>
      </w:pPr>
      <w:r>
        <w:rPr>
          <w:rFonts w:hint="eastAsia" w:ascii="楷体" w:hAnsi="楷体" w:eastAsia="楷体" w:cs="楷体"/>
          <w:color w:val="auto"/>
          <w:sz w:val="32"/>
          <w:szCs w:val="32"/>
          <w:lang w:val="en-US" w:eastAsia="zh-CN"/>
        </w:rPr>
        <w:t>加强宣传培训调研等</w:t>
      </w:r>
      <w:r>
        <w:rPr>
          <w:rFonts w:hint="eastAsia" w:ascii="宋体" w:hAnsi="宋体" w:cs="宋体"/>
          <w:color w:val="auto"/>
          <w:sz w:val="32"/>
          <w:szCs w:val="32"/>
          <w:lang w:val="en-US" w:eastAsia="zh-CN"/>
        </w:rPr>
        <w:t>。加强人员培训，提高本部门职工业务素质；加强调研，提出优化财政资金配置、提高资金使用效益；加大宣传力度，强化预算绩效管理意识，促进预算绩效管理水平进一步提升。</w:t>
      </w:r>
    </w:p>
    <w:p>
      <w:pPr>
        <w:numPr>
          <w:ilvl w:val="0"/>
          <w:numId w:val="2"/>
        </w:num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 xml:space="preserve"> 专项资金绩效目标</w:t>
      </w:r>
    </w:p>
    <w:p>
      <w:pPr>
        <w:numPr>
          <w:ilvl w:val="0"/>
          <w:numId w:val="0"/>
        </w:numPr>
        <w:spacing w:before="0" w:after="0" w:line="240" w:lineRule="auto"/>
        <w:jc w:val="left"/>
        <w:outlineLvl w:val="9"/>
        <w:rPr>
          <w:rFonts w:hint="default" w:ascii="方正楷体_GBK" w:hAnsi="方正楷体_GBK" w:eastAsia="方正楷体_GBK" w:cs="方正楷体_GBK"/>
          <w:b/>
          <w:color w:val="auto"/>
          <w:sz w:val="32"/>
          <w:lang w:val="en-US" w:eastAsia="zh-CN"/>
        </w:rPr>
      </w:pPr>
      <w:r>
        <w:rPr>
          <w:rFonts w:hint="eastAsia" w:ascii="方正楷体_GBK" w:hAnsi="方正楷体_GBK" w:eastAsia="方正楷体_GBK" w:cs="方正楷体_GBK"/>
          <w:b/>
          <w:color w:val="auto"/>
          <w:sz w:val="32"/>
          <w:lang w:val="en-US" w:eastAsia="zh-CN"/>
        </w:rPr>
        <w:t xml:space="preserve">      </w:t>
      </w:r>
      <w:r>
        <w:rPr>
          <w:rFonts w:hint="eastAsia" w:ascii="Times New Roman" w:hAnsi="Times New Roman" w:eastAsia="方正仿宋_GBK" w:cs="Times New Roman"/>
          <w:color w:val="auto"/>
          <w:sz w:val="28"/>
          <w:szCs w:val="24"/>
          <w:lang w:val="en-US" w:eastAsia="zh-CN" w:bidi="ar-SA"/>
        </w:rPr>
        <w:t>无</w:t>
      </w:r>
    </w:p>
    <w:p>
      <w:pPr>
        <w:numPr>
          <w:ilvl w:val="0"/>
          <w:numId w:val="0"/>
        </w:numPr>
        <w:spacing w:before="0" w:after="0" w:line="240" w:lineRule="auto"/>
        <w:jc w:val="left"/>
        <w:outlineLvl w:val="9"/>
        <w:rPr>
          <w:rFonts w:hint="default" w:ascii="方正楷体_GBK" w:hAnsi="方正楷体_GBK" w:eastAsia="方正楷体_GBK" w:cs="方正楷体_GBK"/>
          <w:b/>
          <w:color w:val="auto"/>
          <w:sz w:val="32"/>
          <w:szCs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auto"/>
          <w:sz w:val="32"/>
          <w:lang w:val="en-US" w:eastAsia="zh-CN"/>
        </w:rPr>
        <w:t xml:space="preserve">    </w:t>
      </w:r>
    </w:p>
    <w:p>
      <w:pPr>
        <w:numPr>
          <w:ilvl w:val="0"/>
          <w:numId w:val="2"/>
        </w:numPr>
        <w:spacing w:before="0" w:after="0" w:line="240" w:lineRule="auto"/>
        <w:ind w:left="0" w:leftChars="0" w:firstLine="640" w:firstLineChars="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 xml:space="preserve"> 预算项目绩效目标</w:t>
      </w:r>
    </w:p>
    <w:p>
      <w:pPr>
        <w:pStyle w:val="2"/>
        <w:numPr>
          <w:ilvl w:val="0"/>
          <w:numId w:val="0"/>
        </w:numPr>
        <w:spacing w:after="120" w:afterLines="0"/>
        <w:rPr>
          <w:color w:val="auto"/>
        </w:rPr>
        <w:sectPr>
          <w:pgSz w:w="16840" w:h="11900" w:orient="landscape"/>
          <w:pgMar w:top="1361" w:right="1020" w:bottom="1134" w:left="1020" w:header="720" w:footer="720" w:gutter="0"/>
          <w:cols w:space="720" w:num="1"/>
        </w:sectPr>
      </w:pPr>
    </w:p>
    <w:p>
      <w:pPr>
        <w:numPr>
          <w:ilvl w:val="0"/>
          <w:numId w:val="3"/>
        </w:numPr>
        <w:spacing w:before="0" w:after="0"/>
        <w:ind w:left="400" w:leftChars="0" w:firstLine="560" w:firstLineChars="0"/>
        <w:jc w:val="left"/>
        <w:outlineLvl w:val="9"/>
        <w:rPr>
          <w:rFonts w:hint="eastAsia" w:asciiTheme="minorEastAsia" w:hAnsiTheme="minorEastAsia" w:eastAsiaTheme="minorEastAsia" w:cstheme="minorEastAsia"/>
          <w:b w:val="0"/>
          <w:bCs/>
          <w:color w:val="auto"/>
          <w:sz w:val="28"/>
        </w:rPr>
      </w:pPr>
      <w:r>
        <w:rPr>
          <w:rFonts w:hint="eastAsia" w:asciiTheme="minorEastAsia" w:hAnsiTheme="minorEastAsia" w:eastAsiaTheme="minorEastAsia" w:cstheme="minorEastAsia"/>
          <w:b w:val="0"/>
          <w:bCs/>
          <w:color w:val="auto"/>
          <w:sz w:val="28"/>
        </w:rPr>
        <w:t>粮食监管经费绩效目标表</w:t>
      </w:r>
    </w:p>
    <w:p>
      <w:pPr>
        <w:pStyle w:val="2"/>
        <w:numPr>
          <w:ilvl w:val="0"/>
          <w:numId w:val="0"/>
        </w:numPr>
        <w:rPr>
          <w:rFonts w:hint="default"/>
          <w:color w:val="auto"/>
          <w:lang w:val="en-US" w:eastAsia="zh-CN"/>
        </w:rPr>
      </w:pPr>
      <w:r>
        <w:rPr>
          <w:rFonts w:hint="eastAsia"/>
          <w:color w:val="auto"/>
          <w:lang w:val="en-US" w:eastAsia="zh-CN"/>
        </w:rPr>
        <w:t xml:space="preserve">    </w:t>
      </w:r>
    </w:p>
    <w:tbl>
      <w:tblPr>
        <w:tblStyle w:val="8"/>
        <w:tblW w:w="11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8"/>
        <w:gridCol w:w="1134"/>
        <w:gridCol w:w="1276"/>
        <w:gridCol w:w="1587"/>
        <w:gridCol w:w="1304"/>
        <w:gridCol w:w="1276"/>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12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2055"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130582216FNFHQORSEYNY</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635"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粮食监管经费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9</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2055"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632"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落实2021年度粮食监管任务，在邢台市年度粮食安全责任制考核工作中取得好成绩。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3331"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3331"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632"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1.落实2021年度粮食监管任务。</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2.在邢台市年度粮食安全责任制考核工作中位次靠前。</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3.确保粮食监管落到实处.</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11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6"/>
        <w:gridCol w:w="1134"/>
        <w:gridCol w:w="1276"/>
        <w:gridCol w:w="2891"/>
        <w:gridCol w:w="1276"/>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2130"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储备粮食吨数达标率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储备粮食吨数达标率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国家粮食储备任务完成情况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国家粮食储备任务完成情况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很好</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按时完成粮食监管任务</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按照文件时间节点完成本年度粮食行政执法监管任务</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文件时间要求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不超预算数 </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严格控制在预算额度内</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严控在预算范围内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督查粮食监管经费落实</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督查粮食监管经费落实情况，确保粮食储备安全</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粮储企业和百姓满意度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粮储企业和百姓满意度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p>
        </w:tc>
      </w:tr>
    </w:tbl>
    <w:p>
      <w:pPr>
        <w:pStyle w:val="2"/>
        <w:numPr>
          <w:ilvl w:val="0"/>
          <w:numId w:val="0"/>
        </w:numPr>
        <w:rPr>
          <w:rFonts w:hint="default"/>
          <w:color w:val="auto"/>
          <w:lang w:val="en-US" w:eastAsia="zh-CN"/>
        </w:rPr>
      </w:pPr>
    </w:p>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p>
      <w:pPr>
        <w:rPr>
          <w:color w:val="auto"/>
        </w:rPr>
        <w:sectPr>
          <w:pgSz w:w="16840" w:h="11900" w:orient="landscape"/>
          <w:pgMar w:top="1361" w:right="1020" w:bottom="1134" w:left="1020" w:header="720" w:footer="720" w:gutter="0"/>
          <w:cols w:space="720" w:num="1"/>
        </w:sectPr>
      </w:pPr>
    </w:p>
    <w:p>
      <w:pPr>
        <w:numPr>
          <w:ilvl w:val="0"/>
          <w:numId w:val="3"/>
        </w:numPr>
        <w:ind w:left="400" w:leftChars="0" w:firstLine="320" w:firstLineChars="0"/>
        <w:jc w:val="left"/>
        <w:outlineLvl w:val="3"/>
        <w:rPr>
          <w:rFonts w:hint="eastAsia" w:asciiTheme="minorEastAsia" w:hAnsiTheme="minorEastAsia" w:eastAsiaTheme="minorEastAsia" w:cstheme="minorEastAsia"/>
          <w:b w:val="0"/>
          <w:bCs/>
          <w:color w:val="auto"/>
          <w:sz w:val="28"/>
        </w:rPr>
      </w:pPr>
      <w:r>
        <w:rPr>
          <w:rFonts w:hint="eastAsia" w:asciiTheme="minorEastAsia" w:hAnsiTheme="minorEastAsia" w:eastAsiaTheme="minorEastAsia" w:cstheme="minorEastAsia"/>
          <w:b w:val="0"/>
          <w:bCs/>
          <w:color w:val="auto"/>
          <w:sz w:val="28"/>
        </w:rPr>
        <w:t>重点项目经费（含体制改革）绩效目标表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130582217T25G34PYQUOR</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重点项目经费（含体制改革）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31</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19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31</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19</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加强重点项目谋划、协调，推动重点项目顺利实施，组织实施集中开工活动和重点项目观摩活动。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1.加强重点项目谋划、协调，推动重点项目顺利实施。</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2.组织实施集中开工活动和重点项目观摩活动。</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3.确保重点项目开工率在省、邢台市名列前茅。</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列入省级、邢台市级重点项目个数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列入省级、邢台市级重点项目个数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≥8个</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列入省、邢台市级重点项目个数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项目质量</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情况按照我市发展规划实施</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严格我市发展规划开展工作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按照工程计划顺利进行</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按照工程计划顺利进行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严格按照企业年初制定的计划进行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严格按照预算标准执行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不超过本年预算值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省市重点项目投资完成率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省市重点项目投资完成率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投资完成率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企业和社会对工作开展的满意程度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企业和社会对工作开展的满意程度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p>
        </w:tc>
      </w:tr>
    </w:tbl>
    <w:p>
      <w:pPr>
        <w:spacing w:line="300" w:lineRule="exact"/>
        <w:jc w:val="left"/>
        <w:rPr>
          <w:rFonts w:hint="eastAsia" w:asciiTheme="minorEastAsia" w:hAnsiTheme="minorEastAsia" w:eastAsiaTheme="minorEastAsia" w:cstheme="minorEastAsia"/>
          <w:b w:val="0"/>
          <w:bCs/>
          <w:color w:val="auto"/>
        </w:rPr>
        <w:sectPr>
          <w:pgSz w:w="11907" w:h="16839"/>
          <w:pgMar w:top="1984" w:right="1304" w:bottom="1134" w:left="1304" w:header="851" w:footer="992" w:gutter="0"/>
          <w:cols w:space="425" w:num="1"/>
          <w:docGrid w:type="lines" w:linePitch="312" w:charSpace="0"/>
        </w:sectPr>
      </w:pPr>
    </w:p>
    <w:p>
      <w:pPr>
        <w:spacing w:before="0" w:after="0"/>
        <w:ind w:firstLine="560"/>
        <w:jc w:val="left"/>
        <w:outlineLvl w:val="9"/>
        <w:rPr>
          <w:color w:val="auto"/>
        </w:rPr>
      </w:pPr>
      <w:r>
        <w:rPr>
          <w:rFonts w:ascii="方正仿宋_GBK" w:hAnsi="方正仿宋_GBK" w:eastAsia="方正仿宋_GBK" w:cs="方正仿宋_GBK"/>
          <w:b/>
          <w:color w:val="auto"/>
          <w:sz w:val="28"/>
        </w:rPr>
        <w:t>3、</w:t>
      </w:r>
      <w:r>
        <w:rPr>
          <w:rFonts w:hint="eastAsia" w:asciiTheme="minorEastAsia" w:hAnsiTheme="minorEastAsia" w:eastAsiaTheme="minorEastAsia" w:cstheme="minorEastAsia"/>
          <w:b w:val="0"/>
          <w:bCs/>
          <w:color w:val="auto"/>
          <w:sz w:val="28"/>
        </w:rPr>
        <w:t>粮食系统业务补助经费*绩效目标表</w:t>
      </w:r>
    </w:p>
    <w:p>
      <w:pPr>
        <w:rPr>
          <w:color w:val="auto"/>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13058221IT9UG8XUEQDSY</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粮食系统业务补助经费*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0</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0</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对全社会粮食流通进行宏观管理和对粮食购销企业进行行业管理;保证救助受灾区和水库移民区所需粮食,以及军队用粮的供应;加强粮食的库存管理,确保国家储备粮和</w:t>
            </w:r>
            <w:r>
              <w:rPr>
                <w:rFonts w:hint="eastAsia" w:asciiTheme="minorEastAsia" w:hAnsiTheme="minorEastAsia" w:eastAsiaTheme="minorEastAsia" w:cstheme="minorEastAsia"/>
                <w:b w:val="0"/>
                <w:bCs/>
                <w:color w:val="auto"/>
                <w:lang w:eastAsia="zh-CN"/>
              </w:rPr>
              <w:t>其他</w:t>
            </w:r>
            <w:r>
              <w:rPr>
                <w:rFonts w:hint="eastAsia" w:asciiTheme="minorEastAsia" w:hAnsiTheme="minorEastAsia" w:eastAsiaTheme="minorEastAsia" w:cstheme="minorEastAsia"/>
                <w:b w:val="0"/>
                <w:bCs/>
                <w:color w:val="auto"/>
              </w:rPr>
              <w:t>粮食的储存安全。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1.对全社会粮食流通进行宏观管理和对粮食购销企业进行行业管理.</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2.保证救助受灾区和水库移民区所需粮食,以及军队用粮的供应</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3.加强粮食的库存管理,确保国家储备粮和</w:t>
            </w:r>
            <w:r>
              <w:rPr>
                <w:rFonts w:hint="eastAsia" w:asciiTheme="minorEastAsia" w:hAnsiTheme="minorEastAsia" w:eastAsiaTheme="minorEastAsia" w:cstheme="minorEastAsia"/>
                <w:b w:val="0"/>
                <w:bCs/>
                <w:color w:val="auto"/>
                <w:lang w:eastAsia="zh-CN"/>
              </w:rPr>
              <w:t>其他</w:t>
            </w:r>
            <w:r>
              <w:rPr>
                <w:rFonts w:hint="eastAsia" w:asciiTheme="minorEastAsia" w:hAnsiTheme="minorEastAsia" w:eastAsiaTheme="minorEastAsia" w:cstheme="minorEastAsia"/>
                <w:b w:val="0"/>
                <w:bCs/>
                <w:color w:val="auto"/>
              </w:rPr>
              <w:t>粮食的储存安全</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对粮食库存数量检查次数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对粮食库存数量检查次数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库存数量方面检查次数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对粮食库存安全检查次数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对粮食库存安全检查次数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库存安全方面检查次数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截至年底该项资金使用完成比例</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截至年底该项资金使用完成比例</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资金使用比例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不超预算数 </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严格按照预算执行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是否按照预算数执行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保障粮食供应完成率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保障粮食供应完成率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粮食供应完成率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粮食行业稳定情况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我市粮食行业稳定情况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粮食行业稳定情况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群众满意度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群众满意度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服务对象满意程度</w:t>
            </w:r>
          </w:p>
        </w:tc>
      </w:tr>
    </w:tbl>
    <w:p>
      <w:pPr>
        <w:pStyle w:val="2"/>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w:t>
      </w:r>
      <w:r>
        <w:rPr>
          <w:rFonts w:hint="eastAsia" w:asciiTheme="minorEastAsia" w:hAnsiTheme="minorEastAsia" w:eastAsiaTheme="minorEastAsia" w:cstheme="minorEastAsia"/>
          <w:b/>
          <w:color w:val="auto"/>
          <w:sz w:val="28"/>
        </w:rPr>
        <w:t>价格认证中心经费绩效目标表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13058221O5VY1C13VWOWB</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价格认证中心经费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lang w:val="en-US" w:eastAsia="zh-CN"/>
              </w:rPr>
              <w:t>.0</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lang w:val="en-US" w:eastAsia="zh-CN"/>
              </w:rPr>
              <w:t>.0</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对公安、法院等</w:t>
            </w: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和行政机关涉案、涉纪、涉税资产进行价格认证，并对相关资产进行调查、勘验、评估。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1.对公安、法院等</w:t>
            </w: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和行政机关涉案、涉纪、涉税资产进行价格认证。</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2.对相关资产进行调查、勘验、评估。</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3.维护社会稳定。</w:t>
            </w:r>
          </w:p>
        </w:tc>
      </w:tr>
    </w:tbl>
    <w:p>
      <w:pPr>
        <w:spacing w:line="14"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对涉案资产进行价格认证情况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开展涉案、涉纪、涉税资产价格认证件数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≥400件</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办理涉案、涉纪、涉税价格认证资产工作件数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依法、公正、科学、效率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依法、公正、科学、效率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是否严格按照文件规定开展工作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规定时间内完成工作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7个工作日内完成评估工作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7日</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国家规定期限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工作经费不超预算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价格认证工作经费控制在预算内</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费用不超预算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维护社会稳定效果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维护社会稳定效果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办理价格认证案件及时、准确情况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服务对象对价格认证工作开展的满意程度</w:t>
            </w:r>
          </w:p>
        </w:tc>
      </w:tr>
    </w:tbl>
    <w:p>
      <w:pPr>
        <w:spacing w:line="300" w:lineRule="exact"/>
        <w:jc w:val="left"/>
        <w:rPr>
          <w:rFonts w:hint="eastAsia" w:asciiTheme="minorEastAsia" w:hAnsiTheme="minorEastAsia" w:eastAsiaTheme="minorEastAsia" w:cstheme="minorEastAsia"/>
          <w:color w:val="auto"/>
        </w:rPr>
        <w:sectPr>
          <w:pgSz w:w="11907" w:h="16839"/>
          <w:pgMar w:top="1984" w:right="1304" w:bottom="1134" w:left="1304" w:header="851" w:footer="992" w:gutter="0"/>
          <w:cols w:space="425" w:num="1"/>
          <w:docGrid w:type="lines" w:linePitch="312" w:charSpace="0"/>
        </w:sectPr>
      </w:pPr>
    </w:p>
    <w:p>
      <w:pPr>
        <w:spacing w:before="0" w:after="0"/>
        <w:ind w:firstLine="560"/>
        <w:jc w:val="left"/>
        <w:outlineLvl w:val="9"/>
        <w:rPr>
          <w:rFonts w:ascii="方正仿宋_GBK" w:hAnsi="方正仿宋_GBK" w:eastAsia="方正仿宋_GBK" w:cs="方正仿宋_GBK"/>
          <w:b/>
          <w:color w:val="auto"/>
          <w:sz w:val="28"/>
        </w:rPr>
      </w:pPr>
    </w:p>
    <w:p>
      <w:pPr>
        <w:spacing w:before="0" w:after="0"/>
        <w:ind w:firstLine="560"/>
        <w:jc w:val="left"/>
        <w:outlineLvl w:val="9"/>
        <w:rPr>
          <w:color w:val="auto"/>
        </w:rPr>
      </w:pPr>
      <w:r>
        <w:rPr>
          <w:rFonts w:ascii="方正仿宋_GBK" w:hAnsi="方正仿宋_GBK" w:eastAsia="方正仿宋_GBK" w:cs="方正仿宋_GBK"/>
          <w:b/>
          <w:color w:val="auto"/>
          <w:sz w:val="28"/>
        </w:rPr>
        <w:t>5、</w:t>
      </w:r>
      <w:r>
        <w:rPr>
          <w:rFonts w:hint="eastAsia" w:asciiTheme="minorEastAsia" w:hAnsiTheme="minorEastAsia" w:eastAsiaTheme="minorEastAsia" w:cstheme="minorEastAsia"/>
          <w:b/>
          <w:color w:val="auto"/>
          <w:sz w:val="28"/>
        </w:rPr>
        <w:t>节能减排工作经费绩效目标表</w:t>
      </w:r>
    </w:p>
    <w:tbl>
      <w:tblPr>
        <w:tblStyle w:val="8"/>
        <w:tblpPr w:leftFromText="180" w:rightFromText="180" w:vertAnchor="text" w:horzAnchor="page" w:tblpX="3800" w:tblpY="231"/>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r>
              <w:rPr>
                <w:rFonts w:hint="eastAsia" w:asciiTheme="minorEastAsia" w:hAnsiTheme="minorEastAsia" w:eastAsiaTheme="minorEastAsia" w:cstheme="minorEastAsia"/>
                <w:color w:val="auto"/>
                <w:lang w:eastAsia="zh-CN"/>
              </w:rPr>
              <w:t>万</w:t>
            </w:r>
            <w:r>
              <w:rPr>
                <w:rFonts w:hint="eastAsia" w:asciiTheme="minorEastAsia" w:hAnsiTheme="minorEastAsia" w:eastAsiaTheme="minorEastAsia" w:cstheme="minorEastAsia"/>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13058221PCOWCI378D0S8</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节能减排工作经费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14</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14</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通过采取宣传、监察等方式，确保完成节能、削煤、降碳目标任务；积极助推节能减排和大气污染防治；确保实现年度单位GDP能耗下降率。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1.通过采取宣传、监察等方式，确保完成节能、削煤、降碳目标任务。</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2.积极助推节能减排和大气污染防治；确保实现年度单位GDP能耗下降率。</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3.为我市环境保护做出贡献.</w:t>
            </w:r>
          </w:p>
        </w:tc>
      </w:tr>
    </w:tbl>
    <w:p>
      <w:pPr>
        <w:rPr>
          <w:color w:val="auto"/>
        </w:rPr>
      </w:pPr>
    </w:p>
    <w:p>
      <w:pPr>
        <w:spacing w:line="14"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开展节能监察次数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开展节能监察次数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本年度对企业开展节能监察的次数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上级下达节能监察任务完成率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上级下达节能监察任务完成率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对上级下达的各项监察工作的完成情况比例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规定期限内完成工作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在上级下达工作要求的时限内完成工作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上级下达的节能监察等工作要求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工作经费不超预算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严格按照预算标准执行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不超本年度预算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单位GDP能耗的同期下降比率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单位GDP能耗的同期下降比率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下降比率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单位工业产值增加值能耗下降率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单位工业产值增加值能耗的同期下降比率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下降比率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对节能监察等工作的满意程度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服务对象对节能监察工作等的满意程度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w:t>
            </w:r>
          </w:p>
        </w:tc>
      </w:tr>
    </w:tbl>
    <w:p>
      <w:pPr>
        <w:pStyle w:val="2"/>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6、市场商品价格监测办公经费绩效目标表</w:t>
      </w:r>
    </w:p>
    <w:tbl>
      <w:tblPr>
        <w:tblStyle w:val="8"/>
        <w:tblpPr w:leftFromText="180" w:rightFromText="180" w:vertAnchor="text" w:horzAnchor="page" w:tblpX="1364" w:tblpY="305"/>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r>
              <w:rPr>
                <w:rFonts w:hint="eastAsia" w:asciiTheme="minorEastAsia" w:hAnsiTheme="minorEastAsia" w:eastAsiaTheme="minorEastAsia" w:cstheme="minorEastAsia"/>
                <w:color w:val="auto"/>
                <w:lang w:eastAsia="zh-CN"/>
              </w:rPr>
              <w:t>万</w:t>
            </w:r>
            <w:r>
              <w:rPr>
                <w:rFonts w:hint="eastAsia" w:asciiTheme="minorEastAsia" w:hAnsiTheme="minorEastAsia" w:eastAsiaTheme="minorEastAsia" w:cstheme="minorEastAsia"/>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13058221TB01P1G7Z73Z9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市场商品价格监测办公经费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52</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52</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定期对市场多种商品价格进行监测分析，及时、准确地向市政府和上级发改（物价）部门上报有关信息和动态分析，供领导决策参考。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1.定期对市场多种商品价格进行监测分析。</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2.及时、准确地向市政府和上级发改（物价）部门上报有关信息和动态分析，供领导决策参考。</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3.为物价稳定提供数据依据。</w:t>
            </w:r>
          </w:p>
        </w:tc>
      </w:tr>
    </w:tbl>
    <w:tbl>
      <w:tblPr>
        <w:tblStyle w:val="8"/>
        <w:tblpPr w:leftFromText="180" w:rightFromText="180" w:vertAnchor="text" w:horzAnchor="page" w:tblpX="1333" w:tblpY="16"/>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监测商品种类数量</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监测重要生活必需品、重要商品服务的数量</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≥50个</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监测到的重要商品的数量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商品价格信息及时上报情况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商品价格信息及时上报情况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监测商品费用不超预算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监测商品费用不超预算</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费用不超预算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信息上报及时完成率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信息上报及时完成率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≥98%</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供应商和顾客的满意度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供应商和顾客的满意度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≥98%</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供应商和顾客满意度</w:t>
            </w:r>
          </w:p>
        </w:tc>
      </w:tr>
    </w:tbl>
    <w:p>
      <w:pPr>
        <w:rPr>
          <w:color w:val="auto"/>
        </w:rPr>
      </w:pPr>
    </w:p>
    <w:p>
      <w:pPr>
        <w:spacing w:line="14"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spacing w:line="300" w:lineRule="exact"/>
        <w:jc w:val="left"/>
        <w:rPr>
          <w:rFonts w:hint="eastAsia" w:asciiTheme="minorEastAsia" w:hAnsiTheme="minorEastAsia" w:eastAsiaTheme="minorEastAsia" w:cstheme="minorEastAsia"/>
          <w:color w:val="auto"/>
        </w:rPr>
        <w:sectPr>
          <w:pgSz w:w="11907" w:h="16839"/>
          <w:pgMar w:top="1984" w:right="1304" w:bottom="1134" w:left="1304" w:header="851" w:footer="992" w:gutter="0"/>
          <w:cols w:space="425" w:num="1"/>
          <w:docGrid w:type="lines" w:linePitch="312" w:charSpace="0"/>
        </w:sectPr>
      </w:pPr>
    </w:p>
    <w:p>
      <w:pPr>
        <w:spacing w:before="10" w:after="10" w:line="240" w:lineRule="auto"/>
        <w:ind w:firstLine="640"/>
        <w:jc w:val="left"/>
        <w:outlineLvl w:val="2"/>
        <w:rPr>
          <w:color w:val="auto"/>
        </w:rPr>
      </w:pPr>
      <w:bookmarkStart w:id="14" w:name="_Toc_3_3_0000000015"/>
      <w:r>
        <w:rPr>
          <w:rFonts w:ascii="黑体" w:hAnsi="黑体" w:eastAsia="黑体" w:cs="黑体"/>
          <w:color w:val="auto"/>
          <w:sz w:val="32"/>
        </w:rPr>
        <w:t>六、政府采购预算情况</w:t>
      </w:r>
      <w:bookmarkEnd w:id="14"/>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年，沙河市发展和改革局安排政府采购预算0.00万元。具体内容见下表。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沙河市发展和改革局（含所属单位）上年末固定资产金额为</w:t>
      </w:r>
      <w:r>
        <w:rPr>
          <w:rFonts w:hint="eastAsia" w:eastAsia="方正仿宋_GBK" w:cs="Times New Roman"/>
          <w:b w:val="0"/>
          <w:color w:val="auto"/>
          <w:sz w:val="28"/>
          <w:lang w:val="en-US" w:eastAsia="zh-CN"/>
        </w:rPr>
        <w:t>214.99</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资产总额</w:t>
            </w:r>
          </w:p>
        </w:tc>
        <w:tc>
          <w:tcPr>
            <w:tcW w:w="2835" w:type="dxa"/>
            <w:vAlign w:val="center"/>
          </w:tcPr>
          <w:p>
            <w:pPr>
              <w:pStyle w:val="17"/>
              <w:rPr>
                <w:color w:val="auto"/>
              </w:rPr>
            </w:pPr>
          </w:p>
        </w:tc>
        <w:tc>
          <w:tcPr>
            <w:tcW w:w="2835" w:type="dxa"/>
            <w:vAlign w:val="center"/>
          </w:tcPr>
          <w:p>
            <w:pPr>
              <w:pStyle w:val="15"/>
              <w:rPr>
                <w:rFonts w:hint="default" w:eastAsia="方正书宋_GBK"/>
                <w:color w:val="auto"/>
                <w:lang w:val="en-US" w:eastAsia="zh-CN"/>
              </w:rPr>
            </w:pPr>
            <w:r>
              <w:rPr>
                <w:rFonts w:hint="eastAsia"/>
                <w:color w:val="auto"/>
                <w:lang w:val="en-US" w:eastAsia="zh-CN"/>
              </w:rPr>
              <w:t>214.99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1、房屋（平方米）</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　　其中：办公用房（平方米）</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2、车辆（台、辆）</w:t>
            </w:r>
          </w:p>
        </w:tc>
        <w:tc>
          <w:tcPr>
            <w:tcW w:w="2835" w:type="dxa"/>
            <w:vAlign w:val="center"/>
          </w:tcPr>
          <w:p>
            <w:pPr>
              <w:pStyle w:val="17"/>
              <w:rPr>
                <w:rFonts w:hint="eastAsia" w:eastAsia="方正书宋_GBK"/>
                <w:color w:val="auto"/>
                <w:lang w:eastAsia="zh-CN"/>
              </w:rPr>
            </w:pPr>
            <w:r>
              <w:rPr>
                <w:rFonts w:hint="eastAsia"/>
                <w:color w:val="auto"/>
                <w:lang w:val="en-US" w:eastAsia="zh-CN"/>
              </w:rPr>
              <w:t>5</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54.89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3、单价在20万元以上的设备</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4、其他固定资产</w:t>
            </w:r>
          </w:p>
        </w:tc>
        <w:tc>
          <w:tcPr>
            <w:tcW w:w="2835" w:type="dxa"/>
            <w:vAlign w:val="center"/>
          </w:tcPr>
          <w:p>
            <w:pPr>
              <w:pStyle w:val="17"/>
              <w:rPr>
                <w:color w:val="auto"/>
              </w:rPr>
            </w:pPr>
          </w:p>
        </w:tc>
        <w:tc>
          <w:tcPr>
            <w:tcW w:w="2835" w:type="dxa"/>
            <w:vAlign w:val="center"/>
          </w:tcPr>
          <w:p>
            <w:pPr>
              <w:pStyle w:val="15"/>
              <w:rPr>
                <w:rFonts w:hint="default" w:eastAsia="方正书宋_GBK"/>
                <w:color w:val="auto"/>
                <w:lang w:val="en-US" w:eastAsia="zh-CN"/>
              </w:rPr>
            </w:pPr>
            <w:r>
              <w:rPr>
                <w:rFonts w:hint="eastAsia"/>
                <w:color w:val="auto"/>
                <w:lang w:val="en-US" w:eastAsia="zh-CN"/>
              </w:rPr>
              <w:t>160.1</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6" w:name="_Toc_3_3_0000000017"/>
      <w:r>
        <w:rPr>
          <w:rFonts w:ascii="黑体" w:hAnsi="黑体" w:eastAsia="黑体" w:cs="黑体"/>
          <w:color w:val="auto"/>
          <w:sz w:val="32"/>
        </w:rPr>
        <w:t>八、名词解释</w:t>
      </w:r>
      <w:bookmarkEnd w:id="16"/>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2"/>
        <w:rPr>
          <w:color w:val="auto"/>
        </w:rPr>
      </w:pPr>
      <w:bookmarkStart w:id="17" w:name="_Toc_3_3_0000000018"/>
      <w:r>
        <w:rPr>
          <w:rFonts w:ascii="黑体" w:hAnsi="黑体" w:eastAsia="黑体" w:cs="黑体"/>
          <w:color w:val="auto"/>
          <w:sz w:val="32"/>
        </w:rPr>
        <w:t>九、其他需要说明的事项</w:t>
      </w:r>
      <w:bookmarkEnd w:id="17"/>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我部门无其他需要说明的事项。</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0"/>
        <w:rPr>
          <w:color w:val="auto"/>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auto"/>
          <w:sz w:val="72"/>
        </w:rPr>
        <w:t>第二部分  部门所属单位预算</w:t>
      </w:r>
    </w:p>
    <w:p>
      <w:pPr>
        <w:spacing w:before="0" w:after="0"/>
        <w:ind w:firstLine="0"/>
        <w:jc w:val="center"/>
        <w:outlineLvl w:val="3"/>
        <w:rPr>
          <w:color w:val="auto"/>
        </w:rPr>
      </w:pPr>
      <w:bookmarkStart w:id="18" w:name="_Toc_4_4_0000000019"/>
      <w:r>
        <w:rPr>
          <w:rFonts w:ascii="方正小标宋_GBK" w:hAnsi="方正小标宋_GBK" w:eastAsia="方正小标宋_GBK" w:cs="方正小标宋_GBK"/>
          <w:b w:val="0"/>
          <w:color w:val="auto"/>
          <w:sz w:val="44"/>
        </w:rPr>
        <w:t>一、沙河市发展和改革局收支预算</w:t>
      </w:r>
      <w:bookmarkEnd w:id="18"/>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1143.59</w:t>
            </w:r>
          </w:p>
        </w:tc>
        <w:tc>
          <w:tcPr>
            <w:tcW w:w="4535" w:type="dxa"/>
            <w:vAlign w:val="center"/>
          </w:tcPr>
          <w:p>
            <w:pPr>
              <w:pStyle w:val="16"/>
              <w:rPr>
                <w:color w:val="auto"/>
              </w:rPr>
            </w:pPr>
            <w:r>
              <w:rPr>
                <w:color w:val="auto"/>
              </w:rPr>
              <w:t>一、一般公共服务支出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986.09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4535" w:type="dxa"/>
            <w:vAlign w:val="center"/>
          </w:tcPr>
          <w:p>
            <w:pPr>
              <w:pStyle w:val="18"/>
              <w:rPr>
                <w:color w:val="auto"/>
              </w:rPr>
            </w:pPr>
            <w:r>
              <w:rPr>
                <w:color w:val="auto"/>
              </w:rPr>
              <w:t>本年支出合计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4535" w:type="dxa"/>
            <w:vAlign w:val="center"/>
          </w:tcPr>
          <w:p>
            <w:pPr>
              <w:pStyle w:val="18"/>
              <w:rPr>
                <w:color w:val="auto"/>
              </w:rPr>
            </w:pPr>
            <w:r>
              <w:rPr>
                <w:color w:val="auto"/>
              </w:rPr>
              <w:t>支出总计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1143.59</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1110"/>
        <w:gridCol w:w="710"/>
        <w:gridCol w:w="1150"/>
        <w:gridCol w:w="1080"/>
        <w:gridCol w:w="1030"/>
        <w:gridCol w:w="700"/>
        <w:gridCol w:w="1050"/>
        <w:gridCol w:w="1100"/>
        <w:gridCol w:w="1010"/>
        <w:gridCol w:w="650"/>
        <w:gridCol w:w="560"/>
        <w:gridCol w:w="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81"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278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150"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Merge w:val="restart"/>
            <w:vAlign w:val="center"/>
          </w:tcPr>
          <w:p>
            <w:pPr>
              <w:pStyle w:val="14"/>
              <w:rPr>
                <w:color w:val="auto"/>
              </w:rPr>
            </w:pPr>
            <w:r>
              <w:rPr>
                <w:color w:val="auto"/>
              </w:rPr>
              <w:t>序号</w:t>
            </w:r>
          </w:p>
        </w:tc>
        <w:tc>
          <w:tcPr>
            <w:tcW w:w="1820" w:type="dxa"/>
            <w:gridSpan w:val="2"/>
            <w:vAlign w:val="center"/>
          </w:tcPr>
          <w:p>
            <w:pPr>
              <w:pStyle w:val="14"/>
              <w:rPr>
                <w:color w:val="auto"/>
              </w:rPr>
            </w:pPr>
            <w:r>
              <w:rPr>
                <w:color w:val="auto"/>
              </w:rPr>
              <w:t>功能分类科目</w:t>
            </w:r>
          </w:p>
        </w:tc>
        <w:tc>
          <w:tcPr>
            <w:tcW w:w="1150" w:type="dxa"/>
            <w:vMerge w:val="restart"/>
            <w:vAlign w:val="center"/>
          </w:tcPr>
          <w:p>
            <w:pPr>
              <w:pStyle w:val="14"/>
              <w:rPr>
                <w:color w:val="auto"/>
              </w:rPr>
            </w:pPr>
            <w:r>
              <w:rPr>
                <w:color w:val="auto"/>
              </w:rPr>
              <w:t>合计</w:t>
            </w:r>
          </w:p>
        </w:tc>
        <w:tc>
          <w:tcPr>
            <w:tcW w:w="7180" w:type="dxa"/>
            <w:gridSpan w:val="8"/>
            <w:vAlign w:val="center"/>
          </w:tcPr>
          <w:p>
            <w:pPr>
              <w:pStyle w:val="14"/>
              <w:rPr>
                <w:color w:val="auto"/>
              </w:rPr>
            </w:pPr>
            <w:r>
              <w:rPr>
                <w:color w:val="auto"/>
              </w:rPr>
              <w:t>本年收入</w:t>
            </w:r>
          </w:p>
        </w:tc>
        <w:tc>
          <w:tcPr>
            <w:tcW w:w="830"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Merge w:val="continue"/>
          </w:tcPr>
          <w:p>
            <w:pPr>
              <w:rPr>
                <w:color w:val="auto"/>
              </w:rPr>
            </w:pPr>
          </w:p>
        </w:tc>
        <w:tc>
          <w:tcPr>
            <w:tcW w:w="1110" w:type="dxa"/>
            <w:vAlign w:val="center"/>
          </w:tcPr>
          <w:p>
            <w:pPr>
              <w:pStyle w:val="14"/>
              <w:rPr>
                <w:color w:val="auto"/>
              </w:rPr>
            </w:pPr>
            <w:r>
              <w:rPr>
                <w:color w:val="auto"/>
              </w:rPr>
              <w:t>科目    编码</w:t>
            </w:r>
          </w:p>
        </w:tc>
        <w:tc>
          <w:tcPr>
            <w:tcW w:w="710" w:type="dxa"/>
            <w:vAlign w:val="center"/>
          </w:tcPr>
          <w:p>
            <w:pPr>
              <w:pStyle w:val="14"/>
              <w:rPr>
                <w:color w:val="auto"/>
              </w:rPr>
            </w:pPr>
            <w:r>
              <w:rPr>
                <w:color w:val="auto"/>
              </w:rPr>
              <w:t>科目名称</w:t>
            </w:r>
          </w:p>
        </w:tc>
        <w:tc>
          <w:tcPr>
            <w:tcW w:w="1150" w:type="dxa"/>
            <w:vMerge w:val="continue"/>
          </w:tcPr>
          <w:p>
            <w:pPr>
              <w:rPr>
                <w:color w:val="auto"/>
              </w:rPr>
            </w:pPr>
          </w:p>
        </w:tc>
        <w:tc>
          <w:tcPr>
            <w:tcW w:w="1080" w:type="dxa"/>
            <w:vAlign w:val="center"/>
          </w:tcPr>
          <w:p>
            <w:pPr>
              <w:pStyle w:val="14"/>
              <w:rPr>
                <w:color w:val="auto"/>
              </w:rPr>
            </w:pPr>
            <w:r>
              <w:rPr>
                <w:color w:val="auto"/>
              </w:rPr>
              <w:t>小计</w:t>
            </w:r>
          </w:p>
        </w:tc>
        <w:tc>
          <w:tcPr>
            <w:tcW w:w="1030" w:type="dxa"/>
            <w:vAlign w:val="center"/>
          </w:tcPr>
          <w:p>
            <w:pPr>
              <w:pStyle w:val="14"/>
              <w:rPr>
                <w:color w:val="auto"/>
              </w:rPr>
            </w:pPr>
            <w:r>
              <w:rPr>
                <w:color w:val="auto"/>
              </w:rPr>
              <w:t>财政拨款 收入</w:t>
            </w:r>
          </w:p>
        </w:tc>
        <w:tc>
          <w:tcPr>
            <w:tcW w:w="700" w:type="dxa"/>
            <w:vAlign w:val="center"/>
          </w:tcPr>
          <w:p>
            <w:pPr>
              <w:pStyle w:val="14"/>
              <w:rPr>
                <w:color w:val="auto"/>
              </w:rPr>
            </w:pPr>
            <w:r>
              <w:rPr>
                <w:color w:val="auto"/>
              </w:rPr>
              <w:t>财政专户 收入</w:t>
            </w:r>
          </w:p>
        </w:tc>
        <w:tc>
          <w:tcPr>
            <w:tcW w:w="1050" w:type="dxa"/>
            <w:vAlign w:val="center"/>
          </w:tcPr>
          <w:p>
            <w:pPr>
              <w:pStyle w:val="14"/>
              <w:rPr>
                <w:color w:val="auto"/>
              </w:rPr>
            </w:pPr>
            <w:r>
              <w:rPr>
                <w:color w:val="auto"/>
              </w:rPr>
              <w:t>事业收入</w:t>
            </w:r>
          </w:p>
        </w:tc>
        <w:tc>
          <w:tcPr>
            <w:tcW w:w="1100" w:type="dxa"/>
            <w:vAlign w:val="center"/>
          </w:tcPr>
          <w:p>
            <w:pPr>
              <w:pStyle w:val="14"/>
              <w:rPr>
                <w:color w:val="auto"/>
              </w:rPr>
            </w:pPr>
            <w:r>
              <w:rPr>
                <w:color w:val="auto"/>
              </w:rPr>
              <w:t>经营收入</w:t>
            </w:r>
          </w:p>
        </w:tc>
        <w:tc>
          <w:tcPr>
            <w:tcW w:w="1010" w:type="dxa"/>
            <w:vAlign w:val="center"/>
          </w:tcPr>
          <w:p>
            <w:pPr>
              <w:pStyle w:val="14"/>
              <w:rPr>
                <w:color w:val="auto"/>
              </w:rPr>
            </w:pPr>
            <w:r>
              <w:rPr>
                <w:color w:val="auto"/>
              </w:rPr>
              <w:t>上级补助收入</w:t>
            </w:r>
          </w:p>
        </w:tc>
        <w:tc>
          <w:tcPr>
            <w:tcW w:w="650" w:type="dxa"/>
            <w:vAlign w:val="center"/>
          </w:tcPr>
          <w:p>
            <w:pPr>
              <w:pStyle w:val="14"/>
              <w:rPr>
                <w:color w:val="auto"/>
              </w:rPr>
            </w:pPr>
            <w:r>
              <w:rPr>
                <w:color w:val="auto"/>
              </w:rPr>
              <w:t>附属单位上缴收入</w:t>
            </w:r>
          </w:p>
        </w:tc>
        <w:tc>
          <w:tcPr>
            <w:tcW w:w="560" w:type="dxa"/>
            <w:vAlign w:val="center"/>
          </w:tcPr>
          <w:p>
            <w:pPr>
              <w:pStyle w:val="14"/>
              <w:rPr>
                <w:color w:val="auto"/>
              </w:rPr>
            </w:pPr>
            <w:r>
              <w:rPr>
                <w:color w:val="auto"/>
              </w:rPr>
              <w:t>其他收入</w:t>
            </w:r>
          </w:p>
        </w:tc>
        <w:tc>
          <w:tcPr>
            <w:tcW w:w="830"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Align w:val="center"/>
          </w:tcPr>
          <w:p>
            <w:pPr>
              <w:pStyle w:val="14"/>
              <w:rPr>
                <w:color w:val="auto"/>
              </w:rPr>
            </w:pPr>
            <w:r>
              <w:rPr>
                <w:color w:val="auto"/>
              </w:rPr>
              <w:t>栏次</w:t>
            </w:r>
          </w:p>
        </w:tc>
        <w:tc>
          <w:tcPr>
            <w:tcW w:w="1110" w:type="dxa"/>
            <w:vAlign w:val="center"/>
          </w:tcPr>
          <w:p>
            <w:pPr>
              <w:pStyle w:val="14"/>
              <w:rPr>
                <w:color w:val="auto"/>
              </w:rPr>
            </w:pPr>
            <w:r>
              <w:rPr>
                <w:color w:val="auto"/>
              </w:rPr>
              <w:t>1</w:t>
            </w:r>
          </w:p>
        </w:tc>
        <w:tc>
          <w:tcPr>
            <w:tcW w:w="710" w:type="dxa"/>
            <w:vAlign w:val="center"/>
          </w:tcPr>
          <w:p>
            <w:pPr>
              <w:pStyle w:val="14"/>
              <w:rPr>
                <w:color w:val="auto"/>
              </w:rPr>
            </w:pPr>
            <w:r>
              <w:rPr>
                <w:color w:val="auto"/>
              </w:rPr>
              <w:t>2</w:t>
            </w:r>
          </w:p>
        </w:tc>
        <w:tc>
          <w:tcPr>
            <w:tcW w:w="1150" w:type="dxa"/>
            <w:vAlign w:val="center"/>
          </w:tcPr>
          <w:p>
            <w:pPr>
              <w:pStyle w:val="14"/>
              <w:rPr>
                <w:color w:val="auto"/>
              </w:rPr>
            </w:pPr>
            <w:r>
              <w:rPr>
                <w:color w:val="auto"/>
              </w:rPr>
              <w:t>3</w:t>
            </w:r>
          </w:p>
        </w:tc>
        <w:tc>
          <w:tcPr>
            <w:tcW w:w="1080" w:type="dxa"/>
            <w:vAlign w:val="center"/>
          </w:tcPr>
          <w:p>
            <w:pPr>
              <w:pStyle w:val="14"/>
              <w:rPr>
                <w:color w:val="auto"/>
              </w:rPr>
            </w:pPr>
            <w:r>
              <w:rPr>
                <w:color w:val="auto"/>
              </w:rPr>
              <w:t>4</w:t>
            </w:r>
          </w:p>
        </w:tc>
        <w:tc>
          <w:tcPr>
            <w:tcW w:w="1030" w:type="dxa"/>
            <w:vAlign w:val="center"/>
          </w:tcPr>
          <w:p>
            <w:pPr>
              <w:pStyle w:val="14"/>
              <w:rPr>
                <w:color w:val="auto"/>
              </w:rPr>
            </w:pPr>
            <w:r>
              <w:rPr>
                <w:color w:val="auto"/>
              </w:rPr>
              <w:t>5</w:t>
            </w:r>
          </w:p>
        </w:tc>
        <w:tc>
          <w:tcPr>
            <w:tcW w:w="700" w:type="dxa"/>
            <w:vAlign w:val="center"/>
          </w:tcPr>
          <w:p>
            <w:pPr>
              <w:pStyle w:val="14"/>
              <w:rPr>
                <w:color w:val="auto"/>
              </w:rPr>
            </w:pPr>
            <w:r>
              <w:rPr>
                <w:color w:val="auto"/>
              </w:rPr>
              <w:t>6</w:t>
            </w:r>
          </w:p>
        </w:tc>
        <w:tc>
          <w:tcPr>
            <w:tcW w:w="1050" w:type="dxa"/>
            <w:vAlign w:val="center"/>
          </w:tcPr>
          <w:p>
            <w:pPr>
              <w:pStyle w:val="14"/>
              <w:rPr>
                <w:color w:val="auto"/>
              </w:rPr>
            </w:pPr>
            <w:r>
              <w:rPr>
                <w:color w:val="auto"/>
              </w:rPr>
              <w:t>7</w:t>
            </w:r>
          </w:p>
        </w:tc>
        <w:tc>
          <w:tcPr>
            <w:tcW w:w="1100" w:type="dxa"/>
            <w:vAlign w:val="center"/>
          </w:tcPr>
          <w:p>
            <w:pPr>
              <w:pStyle w:val="14"/>
              <w:rPr>
                <w:color w:val="auto"/>
              </w:rPr>
            </w:pPr>
            <w:r>
              <w:rPr>
                <w:color w:val="auto"/>
              </w:rPr>
              <w:t>8</w:t>
            </w:r>
          </w:p>
        </w:tc>
        <w:tc>
          <w:tcPr>
            <w:tcW w:w="1010" w:type="dxa"/>
            <w:vAlign w:val="center"/>
          </w:tcPr>
          <w:p>
            <w:pPr>
              <w:pStyle w:val="14"/>
              <w:rPr>
                <w:color w:val="auto"/>
              </w:rPr>
            </w:pPr>
            <w:r>
              <w:rPr>
                <w:color w:val="auto"/>
              </w:rPr>
              <w:t>9</w:t>
            </w:r>
          </w:p>
        </w:tc>
        <w:tc>
          <w:tcPr>
            <w:tcW w:w="650" w:type="dxa"/>
            <w:vAlign w:val="center"/>
          </w:tcPr>
          <w:p>
            <w:pPr>
              <w:pStyle w:val="14"/>
              <w:rPr>
                <w:color w:val="auto"/>
              </w:rPr>
            </w:pPr>
            <w:r>
              <w:rPr>
                <w:color w:val="auto"/>
              </w:rPr>
              <w:t>10</w:t>
            </w:r>
          </w:p>
        </w:tc>
        <w:tc>
          <w:tcPr>
            <w:tcW w:w="560" w:type="dxa"/>
            <w:vAlign w:val="center"/>
          </w:tcPr>
          <w:p>
            <w:pPr>
              <w:pStyle w:val="14"/>
              <w:rPr>
                <w:color w:val="auto"/>
              </w:rPr>
            </w:pPr>
            <w:r>
              <w:rPr>
                <w:color w:val="auto"/>
              </w:rPr>
              <w:t>11</w:t>
            </w:r>
          </w:p>
        </w:tc>
        <w:tc>
          <w:tcPr>
            <w:tcW w:w="830"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1</w:t>
            </w:r>
          </w:p>
        </w:tc>
        <w:tc>
          <w:tcPr>
            <w:tcW w:w="1110" w:type="dxa"/>
            <w:vAlign w:val="center"/>
          </w:tcPr>
          <w:p>
            <w:pPr>
              <w:pStyle w:val="20"/>
              <w:rPr>
                <w:color w:val="auto"/>
              </w:rPr>
            </w:pPr>
          </w:p>
        </w:tc>
        <w:tc>
          <w:tcPr>
            <w:tcW w:w="710" w:type="dxa"/>
            <w:vAlign w:val="center"/>
          </w:tcPr>
          <w:p>
            <w:pPr>
              <w:pStyle w:val="18"/>
              <w:rPr>
                <w:color w:val="auto"/>
              </w:rPr>
            </w:pPr>
            <w:r>
              <w:rPr>
                <w:color w:val="auto"/>
              </w:rPr>
              <w:t>合计</w:t>
            </w:r>
          </w:p>
        </w:tc>
        <w:tc>
          <w:tcPr>
            <w:tcW w:w="1150"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080" w:type="dxa"/>
            <w:vAlign w:val="center"/>
          </w:tcPr>
          <w:p>
            <w:pPr>
              <w:pStyle w:val="19"/>
              <w:ind w:firstLine="0" w:firstLineChars="0"/>
              <w:rPr>
                <w:color w:val="auto"/>
              </w:rPr>
            </w:pPr>
            <w:r>
              <w:rPr>
                <w:rFonts w:hint="eastAsia"/>
                <w:color w:val="auto"/>
                <w:lang w:val="en-US" w:eastAsia="zh-CN"/>
              </w:rPr>
              <w:t>1143.59</w:t>
            </w:r>
          </w:p>
        </w:tc>
        <w:tc>
          <w:tcPr>
            <w:tcW w:w="1030" w:type="dxa"/>
            <w:vAlign w:val="center"/>
          </w:tcPr>
          <w:p>
            <w:pPr>
              <w:pStyle w:val="19"/>
              <w:ind w:firstLine="0" w:firstLineChars="0"/>
              <w:rPr>
                <w:rFonts w:ascii="方正书宋_GBK" w:hAnsi="方正书宋_GBK" w:eastAsia="方正书宋_GBK" w:cs="方正书宋_GBK"/>
                <w:b/>
                <w:color w:val="auto"/>
                <w:sz w:val="21"/>
                <w:szCs w:val="24"/>
                <w:lang w:val="en-US" w:eastAsia="uk-UA" w:bidi="ar-SA"/>
              </w:rPr>
            </w:pPr>
            <w:r>
              <w:rPr>
                <w:rFonts w:hint="eastAsia"/>
                <w:color w:val="auto"/>
                <w:lang w:val="en-US" w:eastAsia="zh-CN"/>
              </w:rPr>
              <w:t>1143.59</w:t>
            </w:r>
          </w:p>
        </w:tc>
        <w:tc>
          <w:tcPr>
            <w:tcW w:w="700" w:type="dxa"/>
            <w:vAlign w:val="center"/>
          </w:tcPr>
          <w:p>
            <w:pPr>
              <w:pStyle w:val="19"/>
              <w:rPr>
                <w:color w:val="auto"/>
              </w:rPr>
            </w:pPr>
          </w:p>
        </w:tc>
        <w:tc>
          <w:tcPr>
            <w:tcW w:w="1050" w:type="dxa"/>
            <w:vAlign w:val="center"/>
          </w:tcPr>
          <w:p>
            <w:pPr>
              <w:pStyle w:val="19"/>
              <w:rPr>
                <w:color w:val="auto"/>
              </w:rPr>
            </w:pPr>
          </w:p>
        </w:tc>
        <w:tc>
          <w:tcPr>
            <w:tcW w:w="1100" w:type="dxa"/>
            <w:vAlign w:val="center"/>
          </w:tcPr>
          <w:p>
            <w:pPr>
              <w:pStyle w:val="19"/>
              <w:rPr>
                <w:color w:val="auto"/>
              </w:rPr>
            </w:pPr>
          </w:p>
        </w:tc>
        <w:tc>
          <w:tcPr>
            <w:tcW w:w="1010" w:type="dxa"/>
            <w:vAlign w:val="center"/>
          </w:tcPr>
          <w:p>
            <w:pPr>
              <w:pStyle w:val="19"/>
              <w:rPr>
                <w:color w:val="auto"/>
              </w:rPr>
            </w:pPr>
          </w:p>
        </w:tc>
        <w:tc>
          <w:tcPr>
            <w:tcW w:w="650" w:type="dxa"/>
            <w:vAlign w:val="center"/>
          </w:tcPr>
          <w:p>
            <w:pPr>
              <w:pStyle w:val="19"/>
              <w:rPr>
                <w:color w:val="auto"/>
              </w:rPr>
            </w:pPr>
          </w:p>
        </w:tc>
        <w:tc>
          <w:tcPr>
            <w:tcW w:w="560" w:type="dxa"/>
            <w:vAlign w:val="center"/>
          </w:tcPr>
          <w:p>
            <w:pPr>
              <w:pStyle w:val="19"/>
              <w:rPr>
                <w:color w:val="auto"/>
              </w:rPr>
            </w:pPr>
          </w:p>
        </w:tc>
        <w:tc>
          <w:tcPr>
            <w:tcW w:w="830"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2</w:t>
            </w:r>
          </w:p>
        </w:tc>
        <w:tc>
          <w:tcPr>
            <w:tcW w:w="1110" w:type="dxa"/>
            <w:vAlign w:val="center"/>
          </w:tcPr>
          <w:p>
            <w:pPr>
              <w:pStyle w:val="16"/>
              <w:rPr>
                <w:color w:val="auto"/>
              </w:rPr>
            </w:pPr>
            <w:r>
              <w:rPr>
                <w:color w:val="auto"/>
              </w:rPr>
              <w:t>201</w:t>
            </w:r>
          </w:p>
        </w:tc>
        <w:tc>
          <w:tcPr>
            <w:tcW w:w="710" w:type="dxa"/>
            <w:vAlign w:val="center"/>
          </w:tcPr>
          <w:p>
            <w:pPr>
              <w:pStyle w:val="16"/>
              <w:rPr>
                <w:color w:val="auto"/>
              </w:rPr>
            </w:pPr>
            <w:r>
              <w:rPr>
                <w:color w:val="auto"/>
              </w:rPr>
              <w:t>一般公共服务支出</w:t>
            </w:r>
          </w:p>
        </w:tc>
        <w:tc>
          <w:tcPr>
            <w:tcW w:w="1150" w:type="dxa"/>
            <w:vAlign w:val="center"/>
          </w:tcPr>
          <w:p>
            <w:pPr>
              <w:pStyle w:val="15"/>
              <w:rPr>
                <w:color w:val="auto"/>
              </w:rPr>
            </w:pPr>
            <w:r>
              <w:rPr>
                <w:rFonts w:hint="eastAsia"/>
                <w:color w:val="auto"/>
                <w:lang w:val="en-US" w:eastAsia="zh-CN"/>
              </w:rPr>
              <w:t>986.09</w:t>
            </w:r>
          </w:p>
        </w:tc>
        <w:tc>
          <w:tcPr>
            <w:tcW w:w="1080" w:type="dxa"/>
            <w:vAlign w:val="center"/>
          </w:tcPr>
          <w:p>
            <w:pPr>
              <w:pStyle w:val="15"/>
              <w:rPr>
                <w:color w:val="auto"/>
              </w:rPr>
            </w:pPr>
            <w:r>
              <w:rPr>
                <w:rFonts w:hint="eastAsia"/>
                <w:color w:val="auto"/>
                <w:lang w:val="en-US" w:eastAsia="zh-CN"/>
              </w:rPr>
              <w:t>986.09</w:t>
            </w:r>
          </w:p>
        </w:tc>
        <w:tc>
          <w:tcPr>
            <w:tcW w:w="1030"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986.09</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3</w:t>
            </w:r>
          </w:p>
        </w:tc>
        <w:tc>
          <w:tcPr>
            <w:tcW w:w="1110" w:type="dxa"/>
            <w:vAlign w:val="center"/>
          </w:tcPr>
          <w:p>
            <w:pPr>
              <w:pStyle w:val="16"/>
              <w:rPr>
                <w:color w:val="auto"/>
              </w:rPr>
            </w:pPr>
            <w:r>
              <w:rPr>
                <w:color w:val="auto"/>
              </w:rPr>
              <w:t>20104</w:t>
            </w:r>
          </w:p>
        </w:tc>
        <w:tc>
          <w:tcPr>
            <w:tcW w:w="710" w:type="dxa"/>
            <w:vAlign w:val="center"/>
          </w:tcPr>
          <w:p>
            <w:pPr>
              <w:pStyle w:val="16"/>
              <w:rPr>
                <w:color w:val="auto"/>
              </w:rPr>
            </w:pPr>
            <w:r>
              <w:rPr>
                <w:color w:val="auto"/>
              </w:rPr>
              <w:t>发展与改革事务</w:t>
            </w:r>
          </w:p>
        </w:tc>
        <w:tc>
          <w:tcPr>
            <w:tcW w:w="1150" w:type="dxa"/>
            <w:vAlign w:val="center"/>
          </w:tcPr>
          <w:p>
            <w:pPr>
              <w:pStyle w:val="15"/>
              <w:rPr>
                <w:color w:val="auto"/>
              </w:rPr>
            </w:pPr>
            <w:r>
              <w:rPr>
                <w:rFonts w:hint="eastAsia"/>
                <w:color w:val="auto"/>
                <w:lang w:val="en-US" w:eastAsia="zh-CN"/>
              </w:rPr>
              <w:t>986.09</w:t>
            </w:r>
          </w:p>
        </w:tc>
        <w:tc>
          <w:tcPr>
            <w:tcW w:w="1080"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986.09</w:t>
            </w:r>
          </w:p>
        </w:tc>
        <w:tc>
          <w:tcPr>
            <w:tcW w:w="1030"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986.09</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4</w:t>
            </w:r>
          </w:p>
        </w:tc>
        <w:tc>
          <w:tcPr>
            <w:tcW w:w="1110" w:type="dxa"/>
            <w:vAlign w:val="center"/>
          </w:tcPr>
          <w:p>
            <w:pPr>
              <w:pStyle w:val="16"/>
              <w:rPr>
                <w:color w:val="auto"/>
              </w:rPr>
            </w:pPr>
            <w:r>
              <w:rPr>
                <w:color w:val="auto"/>
              </w:rPr>
              <w:t>2010401</w:t>
            </w:r>
          </w:p>
        </w:tc>
        <w:tc>
          <w:tcPr>
            <w:tcW w:w="710" w:type="dxa"/>
            <w:vAlign w:val="center"/>
          </w:tcPr>
          <w:p>
            <w:pPr>
              <w:pStyle w:val="16"/>
              <w:rPr>
                <w:color w:val="auto"/>
              </w:rPr>
            </w:pPr>
            <w:r>
              <w:rPr>
                <w:color w:val="auto"/>
              </w:rPr>
              <w:t>行政运行</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920.34</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920.34</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920.34</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5</w:t>
            </w:r>
          </w:p>
        </w:tc>
        <w:tc>
          <w:tcPr>
            <w:tcW w:w="1110" w:type="dxa"/>
            <w:vAlign w:val="center"/>
          </w:tcPr>
          <w:p>
            <w:pPr>
              <w:pStyle w:val="16"/>
              <w:rPr>
                <w:color w:val="auto"/>
              </w:rPr>
            </w:pPr>
            <w:r>
              <w:rPr>
                <w:color w:val="auto"/>
              </w:rPr>
              <w:t>2010407</w:t>
            </w:r>
          </w:p>
        </w:tc>
        <w:tc>
          <w:tcPr>
            <w:tcW w:w="710" w:type="dxa"/>
            <w:vAlign w:val="center"/>
          </w:tcPr>
          <w:p>
            <w:pPr>
              <w:pStyle w:val="16"/>
              <w:rPr>
                <w:color w:val="auto"/>
              </w:rPr>
            </w:pPr>
            <w:r>
              <w:rPr>
                <w:color w:val="auto"/>
              </w:rPr>
              <w:t>经济体制改革研究</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31.39</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31.39</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31.39</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6</w:t>
            </w:r>
          </w:p>
        </w:tc>
        <w:tc>
          <w:tcPr>
            <w:tcW w:w="1110" w:type="dxa"/>
            <w:vAlign w:val="center"/>
          </w:tcPr>
          <w:p>
            <w:pPr>
              <w:pStyle w:val="16"/>
              <w:rPr>
                <w:color w:val="auto"/>
              </w:rPr>
            </w:pPr>
            <w:r>
              <w:rPr>
                <w:color w:val="auto"/>
              </w:rPr>
              <w:t>2010408</w:t>
            </w:r>
          </w:p>
        </w:tc>
        <w:tc>
          <w:tcPr>
            <w:tcW w:w="710" w:type="dxa"/>
            <w:vAlign w:val="center"/>
          </w:tcPr>
          <w:p>
            <w:pPr>
              <w:pStyle w:val="16"/>
              <w:rPr>
                <w:color w:val="auto"/>
              </w:rPr>
            </w:pPr>
            <w:r>
              <w:rPr>
                <w:color w:val="auto"/>
              </w:rPr>
              <w:t>物价管理</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12.52</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12.52</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12.52</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7</w:t>
            </w:r>
          </w:p>
        </w:tc>
        <w:tc>
          <w:tcPr>
            <w:tcW w:w="1110" w:type="dxa"/>
            <w:vAlign w:val="center"/>
          </w:tcPr>
          <w:p>
            <w:pPr>
              <w:pStyle w:val="16"/>
              <w:rPr>
                <w:color w:val="auto"/>
              </w:rPr>
            </w:pPr>
            <w:r>
              <w:rPr>
                <w:color w:val="auto"/>
              </w:rPr>
              <w:t>2010499</w:t>
            </w:r>
          </w:p>
        </w:tc>
        <w:tc>
          <w:tcPr>
            <w:tcW w:w="710" w:type="dxa"/>
            <w:vAlign w:val="center"/>
          </w:tcPr>
          <w:p>
            <w:pPr>
              <w:pStyle w:val="16"/>
              <w:rPr>
                <w:color w:val="auto"/>
              </w:rPr>
            </w:pPr>
            <w:r>
              <w:rPr>
                <w:color w:val="auto"/>
              </w:rPr>
              <w:t>其他发展与改革事务支出</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22.04</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8</w:t>
            </w:r>
          </w:p>
        </w:tc>
        <w:tc>
          <w:tcPr>
            <w:tcW w:w="1110" w:type="dxa"/>
            <w:vAlign w:val="center"/>
          </w:tcPr>
          <w:p>
            <w:pPr>
              <w:pStyle w:val="16"/>
              <w:rPr>
                <w:color w:val="auto"/>
              </w:rPr>
            </w:pPr>
            <w:r>
              <w:rPr>
                <w:color w:val="auto"/>
              </w:rPr>
              <w:t>208</w:t>
            </w:r>
          </w:p>
        </w:tc>
        <w:tc>
          <w:tcPr>
            <w:tcW w:w="710" w:type="dxa"/>
            <w:vAlign w:val="center"/>
          </w:tcPr>
          <w:p>
            <w:pPr>
              <w:pStyle w:val="16"/>
              <w:rPr>
                <w:color w:val="auto"/>
              </w:rPr>
            </w:pPr>
            <w:r>
              <w:rPr>
                <w:color w:val="auto"/>
              </w:rPr>
              <w:t>社会保障和就业支出</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9</w:t>
            </w:r>
          </w:p>
        </w:tc>
        <w:tc>
          <w:tcPr>
            <w:tcW w:w="1110" w:type="dxa"/>
            <w:vAlign w:val="center"/>
          </w:tcPr>
          <w:p>
            <w:pPr>
              <w:pStyle w:val="16"/>
              <w:rPr>
                <w:color w:val="auto"/>
              </w:rPr>
            </w:pPr>
            <w:r>
              <w:rPr>
                <w:color w:val="auto"/>
              </w:rPr>
              <w:t>20805</w:t>
            </w:r>
          </w:p>
        </w:tc>
        <w:tc>
          <w:tcPr>
            <w:tcW w:w="710" w:type="dxa"/>
            <w:vAlign w:val="center"/>
          </w:tcPr>
          <w:p>
            <w:pPr>
              <w:pStyle w:val="16"/>
              <w:rPr>
                <w:color w:val="auto"/>
              </w:rPr>
            </w:pPr>
            <w:r>
              <w:rPr>
                <w:color w:val="auto"/>
              </w:rPr>
              <w:t>行政事业单位养老支出</w:t>
            </w:r>
          </w:p>
        </w:tc>
        <w:tc>
          <w:tcPr>
            <w:tcW w:w="1150" w:type="dxa"/>
            <w:vAlign w:val="center"/>
          </w:tcPr>
          <w:p>
            <w:pPr>
              <w:pStyle w:val="15"/>
              <w:rPr>
                <w:rFonts w:hint="eastAsia" w:eastAsia="方正书宋_GBK"/>
                <w:color w:val="auto"/>
                <w:lang w:val="en-US" w:eastAsia="zh-CN"/>
              </w:rPr>
            </w:pPr>
            <w:r>
              <w:rPr>
                <w:color w:val="auto"/>
              </w:rPr>
              <w:t>9</w:t>
            </w:r>
            <w:r>
              <w:rPr>
                <w:rFonts w:hint="eastAsia"/>
                <w:color w:val="auto"/>
                <w:lang w:val="en-US" w:eastAsia="zh-CN"/>
              </w:rPr>
              <w:t>0</w:t>
            </w:r>
          </w:p>
        </w:tc>
        <w:tc>
          <w:tcPr>
            <w:tcW w:w="1080" w:type="dxa"/>
            <w:vAlign w:val="center"/>
          </w:tcPr>
          <w:p>
            <w:pPr>
              <w:pStyle w:val="15"/>
              <w:ind w:firstLine="0" w:firstLineChars="0"/>
              <w:rPr>
                <w:rFonts w:hint="eastAsia" w:ascii="方正书宋_GBK" w:hAnsi="方正书宋_GBK" w:eastAsia="方正书宋_GBK" w:cs="方正书宋_GBK"/>
                <w:color w:val="auto"/>
                <w:sz w:val="21"/>
                <w:szCs w:val="24"/>
                <w:lang w:val="en-US" w:eastAsia="zh-CN" w:bidi="ar-SA"/>
              </w:rPr>
            </w:pPr>
            <w:r>
              <w:rPr>
                <w:color w:val="auto"/>
              </w:rPr>
              <w:t>9</w:t>
            </w:r>
            <w:r>
              <w:rPr>
                <w:rFonts w:hint="eastAsia"/>
                <w:color w:val="auto"/>
                <w:lang w:val="en-US" w:eastAsia="zh-CN"/>
              </w:rPr>
              <w:t>0</w:t>
            </w:r>
          </w:p>
        </w:tc>
        <w:tc>
          <w:tcPr>
            <w:tcW w:w="1030" w:type="dxa"/>
            <w:vAlign w:val="center"/>
          </w:tcPr>
          <w:p>
            <w:pPr>
              <w:pStyle w:val="15"/>
              <w:ind w:firstLine="0" w:firstLineChars="0"/>
              <w:rPr>
                <w:rFonts w:hint="eastAsia" w:ascii="方正书宋_GBK" w:hAnsi="方正书宋_GBK" w:eastAsia="方正书宋_GBK" w:cs="方正书宋_GBK"/>
                <w:color w:val="auto"/>
                <w:sz w:val="21"/>
                <w:szCs w:val="24"/>
                <w:lang w:val="en-US" w:eastAsia="zh-CN" w:bidi="ar-SA"/>
              </w:rPr>
            </w:pPr>
            <w:r>
              <w:rPr>
                <w:color w:val="auto"/>
              </w:rPr>
              <w:t>9</w:t>
            </w:r>
            <w:r>
              <w:rPr>
                <w:rFonts w:hint="eastAsia"/>
                <w:color w:val="auto"/>
                <w:lang w:val="en-US" w:eastAsia="zh-CN"/>
              </w:rPr>
              <w:t>0</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10</w:t>
            </w:r>
          </w:p>
        </w:tc>
        <w:tc>
          <w:tcPr>
            <w:tcW w:w="1110" w:type="dxa"/>
            <w:vAlign w:val="center"/>
          </w:tcPr>
          <w:p>
            <w:pPr>
              <w:pStyle w:val="16"/>
              <w:rPr>
                <w:color w:val="auto"/>
              </w:rPr>
            </w:pPr>
            <w:r>
              <w:rPr>
                <w:color w:val="auto"/>
              </w:rPr>
              <w:t>2080505</w:t>
            </w:r>
          </w:p>
        </w:tc>
        <w:tc>
          <w:tcPr>
            <w:tcW w:w="710" w:type="dxa"/>
            <w:vAlign w:val="center"/>
          </w:tcPr>
          <w:p>
            <w:pPr>
              <w:pStyle w:val="16"/>
              <w:rPr>
                <w:color w:val="auto"/>
              </w:rPr>
            </w:pPr>
            <w:r>
              <w:rPr>
                <w:color w:val="auto"/>
              </w:rPr>
              <w:t>机关事业单位基本养老保险缴费支出</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11</w:t>
            </w:r>
          </w:p>
        </w:tc>
        <w:tc>
          <w:tcPr>
            <w:tcW w:w="1110" w:type="dxa"/>
            <w:vAlign w:val="center"/>
          </w:tcPr>
          <w:p>
            <w:pPr>
              <w:pStyle w:val="16"/>
              <w:rPr>
                <w:color w:val="auto"/>
              </w:rPr>
            </w:pPr>
            <w:r>
              <w:rPr>
                <w:color w:val="auto"/>
              </w:rPr>
              <w:t>221</w:t>
            </w:r>
          </w:p>
        </w:tc>
        <w:tc>
          <w:tcPr>
            <w:tcW w:w="710" w:type="dxa"/>
            <w:vAlign w:val="center"/>
          </w:tcPr>
          <w:p>
            <w:pPr>
              <w:pStyle w:val="16"/>
              <w:rPr>
                <w:color w:val="auto"/>
              </w:rPr>
            </w:pPr>
            <w:r>
              <w:rPr>
                <w:color w:val="auto"/>
              </w:rPr>
              <w:t>住房保障支出</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12</w:t>
            </w:r>
          </w:p>
        </w:tc>
        <w:tc>
          <w:tcPr>
            <w:tcW w:w="1110" w:type="dxa"/>
            <w:vAlign w:val="center"/>
          </w:tcPr>
          <w:p>
            <w:pPr>
              <w:pStyle w:val="16"/>
              <w:rPr>
                <w:color w:val="auto"/>
              </w:rPr>
            </w:pPr>
            <w:r>
              <w:rPr>
                <w:color w:val="auto"/>
              </w:rPr>
              <w:t>22102</w:t>
            </w:r>
          </w:p>
        </w:tc>
        <w:tc>
          <w:tcPr>
            <w:tcW w:w="710" w:type="dxa"/>
            <w:vAlign w:val="center"/>
          </w:tcPr>
          <w:p>
            <w:pPr>
              <w:pStyle w:val="16"/>
              <w:rPr>
                <w:color w:val="auto"/>
              </w:rPr>
            </w:pPr>
            <w:r>
              <w:rPr>
                <w:color w:val="auto"/>
              </w:rPr>
              <w:t>住房改革支出</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pPr>
              <w:pStyle w:val="17"/>
              <w:rPr>
                <w:color w:val="auto"/>
              </w:rPr>
            </w:pPr>
            <w:r>
              <w:rPr>
                <w:color w:val="auto"/>
              </w:rPr>
              <w:t>13</w:t>
            </w:r>
          </w:p>
        </w:tc>
        <w:tc>
          <w:tcPr>
            <w:tcW w:w="1110" w:type="dxa"/>
            <w:vAlign w:val="center"/>
          </w:tcPr>
          <w:p>
            <w:pPr>
              <w:pStyle w:val="16"/>
              <w:rPr>
                <w:color w:val="auto"/>
              </w:rPr>
            </w:pPr>
            <w:r>
              <w:rPr>
                <w:color w:val="auto"/>
              </w:rPr>
              <w:t>2210201</w:t>
            </w:r>
          </w:p>
        </w:tc>
        <w:tc>
          <w:tcPr>
            <w:tcW w:w="710" w:type="dxa"/>
            <w:vAlign w:val="center"/>
          </w:tcPr>
          <w:p>
            <w:pPr>
              <w:pStyle w:val="16"/>
              <w:rPr>
                <w:color w:val="auto"/>
              </w:rPr>
            </w:pPr>
            <w:r>
              <w:rPr>
                <w:color w:val="auto"/>
              </w:rPr>
              <w:t>住房公积金</w:t>
            </w:r>
          </w:p>
        </w:tc>
        <w:tc>
          <w:tcPr>
            <w:tcW w:w="1150"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8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30"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700" w:type="dxa"/>
            <w:vAlign w:val="center"/>
          </w:tcPr>
          <w:p>
            <w:pPr>
              <w:pStyle w:val="15"/>
              <w:rPr>
                <w:color w:val="auto"/>
              </w:rPr>
            </w:pPr>
          </w:p>
        </w:tc>
        <w:tc>
          <w:tcPr>
            <w:tcW w:w="1050" w:type="dxa"/>
            <w:vAlign w:val="center"/>
          </w:tcPr>
          <w:p>
            <w:pPr>
              <w:pStyle w:val="15"/>
              <w:rPr>
                <w:color w:val="auto"/>
              </w:rPr>
            </w:pPr>
          </w:p>
        </w:tc>
        <w:tc>
          <w:tcPr>
            <w:tcW w:w="1100" w:type="dxa"/>
            <w:vAlign w:val="center"/>
          </w:tcPr>
          <w:p>
            <w:pPr>
              <w:pStyle w:val="15"/>
              <w:rPr>
                <w:color w:val="auto"/>
              </w:rPr>
            </w:pPr>
          </w:p>
        </w:tc>
        <w:tc>
          <w:tcPr>
            <w:tcW w:w="1010" w:type="dxa"/>
            <w:vAlign w:val="center"/>
          </w:tcPr>
          <w:p>
            <w:pPr>
              <w:pStyle w:val="15"/>
              <w:rPr>
                <w:color w:val="auto"/>
              </w:rPr>
            </w:pPr>
          </w:p>
        </w:tc>
        <w:tc>
          <w:tcPr>
            <w:tcW w:w="650" w:type="dxa"/>
            <w:vAlign w:val="center"/>
          </w:tcPr>
          <w:p>
            <w:pPr>
              <w:pStyle w:val="15"/>
              <w:rPr>
                <w:color w:val="auto"/>
              </w:rPr>
            </w:pPr>
          </w:p>
        </w:tc>
        <w:tc>
          <w:tcPr>
            <w:tcW w:w="560" w:type="dxa"/>
            <w:vAlign w:val="center"/>
          </w:tcPr>
          <w:p>
            <w:pPr>
              <w:pStyle w:val="15"/>
              <w:rPr>
                <w:color w:val="auto"/>
              </w:rPr>
            </w:pPr>
          </w:p>
        </w:tc>
        <w:tc>
          <w:tcPr>
            <w:tcW w:w="830"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380"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rPr>
                <w:color w:val="auto"/>
              </w:rPr>
            </w:pPr>
            <w:r>
              <w:rPr>
                <w:color w:val="auto"/>
              </w:rPr>
              <w:t>序号</w:t>
            </w:r>
          </w:p>
        </w:tc>
        <w:tc>
          <w:tcPr>
            <w:tcW w:w="2190" w:type="dxa"/>
            <w:gridSpan w:val="2"/>
            <w:vAlign w:val="center"/>
          </w:tcPr>
          <w:p>
            <w:pPr>
              <w:pStyle w:val="14"/>
              <w:rPr>
                <w:color w:val="auto"/>
              </w:rPr>
            </w:pPr>
            <w:r>
              <w:rPr>
                <w:color w:val="auto"/>
              </w:rPr>
              <w:t>功能分类科目</w:t>
            </w:r>
          </w:p>
        </w:tc>
        <w:tc>
          <w:tcPr>
            <w:tcW w:w="1095" w:type="dxa"/>
            <w:vMerge w:val="restart"/>
            <w:vAlign w:val="center"/>
          </w:tcPr>
          <w:p>
            <w:pPr>
              <w:pStyle w:val="14"/>
              <w:rPr>
                <w:color w:val="auto"/>
              </w:rPr>
            </w:pPr>
            <w:r>
              <w:rPr>
                <w:color w:val="auto"/>
              </w:rPr>
              <w:t>合计</w:t>
            </w:r>
          </w:p>
        </w:tc>
        <w:tc>
          <w:tcPr>
            <w:tcW w:w="1095" w:type="dxa"/>
            <w:vMerge w:val="restart"/>
            <w:vAlign w:val="center"/>
          </w:tcPr>
          <w:p>
            <w:pPr>
              <w:pStyle w:val="14"/>
              <w:rPr>
                <w:color w:val="auto"/>
              </w:rPr>
            </w:pPr>
            <w:r>
              <w:rPr>
                <w:color w:val="auto"/>
              </w:rPr>
              <w:t>基本支出</w:t>
            </w:r>
          </w:p>
        </w:tc>
        <w:tc>
          <w:tcPr>
            <w:tcW w:w="1095" w:type="dxa"/>
            <w:vMerge w:val="restart"/>
            <w:vAlign w:val="center"/>
          </w:tcPr>
          <w:p>
            <w:pPr>
              <w:pStyle w:val="14"/>
              <w:rPr>
                <w:color w:val="auto"/>
              </w:rPr>
            </w:pPr>
            <w:r>
              <w:rPr>
                <w:color w:val="auto"/>
              </w:rPr>
              <w:t>项目支出</w:t>
            </w:r>
          </w:p>
        </w:tc>
        <w:tc>
          <w:tcPr>
            <w:tcW w:w="1095" w:type="dxa"/>
            <w:vMerge w:val="restart"/>
            <w:vAlign w:val="center"/>
          </w:tcPr>
          <w:p>
            <w:pPr>
              <w:pStyle w:val="14"/>
              <w:rPr>
                <w:color w:val="auto"/>
              </w:rPr>
            </w:pPr>
            <w:r>
              <w:rPr>
                <w:color w:val="auto"/>
              </w:rPr>
              <w:t>经营支出</w:t>
            </w:r>
          </w:p>
        </w:tc>
        <w:tc>
          <w:tcPr>
            <w:tcW w:w="1095" w:type="dxa"/>
            <w:vMerge w:val="restart"/>
            <w:vAlign w:val="center"/>
          </w:tcPr>
          <w:p>
            <w:pPr>
              <w:pStyle w:val="14"/>
              <w:rPr>
                <w:color w:val="auto"/>
              </w:rPr>
            </w:pPr>
            <w:r>
              <w:rPr>
                <w:color w:val="auto"/>
              </w:rPr>
              <w:t>上解上级     支出</w:t>
            </w:r>
          </w:p>
        </w:tc>
        <w:tc>
          <w:tcPr>
            <w:tcW w:w="1095"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pPr>
              <w:rPr>
                <w:color w:val="auto"/>
              </w:rPr>
            </w:pPr>
          </w:p>
        </w:tc>
        <w:tc>
          <w:tcPr>
            <w:tcW w:w="1095" w:type="dxa"/>
            <w:vAlign w:val="center"/>
          </w:tcPr>
          <w:p>
            <w:pPr>
              <w:pStyle w:val="14"/>
              <w:rPr>
                <w:color w:val="auto"/>
              </w:rPr>
            </w:pPr>
            <w:r>
              <w:rPr>
                <w:color w:val="auto"/>
              </w:rPr>
              <w:t>科目    编码</w:t>
            </w:r>
          </w:p>
        </w:tc>
        <w:tc>
          <w:tcPr>
            <w:tcW w:w="1095" w:type="dxa"/>
            <w:vAlign w:val="center"/>
          </w:tcPr>
          <w:p>
            <w:pPr>
              <w:pStyle w:val="14"/>
              <w:rPr>
                <w:color w:val="auto"/>
              </w:rPr>
            </w:pPr>
            <w:r>
              <w:rPr>
                <w:color w:val="auto"/>
              </w:rPr>
              <w:t>科目名称</w:t>
            </w: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c>
          <w:tcPr>
            <w:tcW w:w="1095"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rPr>
                <w:color w:val="auto"/>
              </w:rPr>
            </w:pPr>
            <w:r>
              <w:rPr>
                <w:color w:val="auto"/>
              </w:rPr>
              <w:t>栏次</w:t>
            </w:r>
          </w:p>
        </w:tc>
        <w:tc>
          <w:tcPr>
            <w:tcW w:w="1095" w:type="dxa"/>
            <w:vAlign w:val="center"/>
          </w:tcPr>
          <w:p>
            <w:pPr>
              <w:pStyle w:val="14"/>
              <w:rPr>
                <w:color w:val="auto"/>
              </w:rPr>
            </w:pPr>
            <w:r>
              <w:rPr>
                <w:color w:val="auto"/>
              </w:rPr>
              <w:t>1</w:t>
            </w:r>
          </w:p>
        </w:tc>
        <w:tc>
          <w:tcPr>
            <w:tcW w:w="1095" w:type="dxa"/>
            <w:vAlign w:val="center"/>
          </w:tcPr>
          <w:p>
            <w:pPr>
              <w:pStyle w:val="14"/>
              <w:rPr>
                <w:color w:val="auto"/>
              </w:rPr>
            </w:pPr>
            <w:r>
              <w:rPr>
                <w:color w:val="auto"/>
              </w:rPr>
              <w:t>2</w:t>
            </w:r>
          </w:p>
        </w:tc>
        <w:tc>
          <w:tcPr>
            <w:tcW w:w="1095" w:type="dxa"/>
            <w:vAlign w:val="center"/>
          </w:tcPr>
          <w:p>
            <w:pPr>
              <w:pStyle w:val="14"/>
              <w:rPr>
                <w:color w:val="auto"/>
              </w:rPr>
            </w:pPr>
            <w:r>
              <w:rPr>
                <w:color w:val="auto"/>
              </w:rPr>
              <w:t>3</w:t>
            </w:r>
          </w:p>
        </w:tc>
        <w:tc>
          <w:tcPr>
            <w:tcW w:w="1095" w:type="dxa"/>
            <w:vAlign w:val="center"/>
          </w:tcPr>
          <w:p>
            <w:pPr>
              <w:pStyle w:val="14"/>
              <w:rPr>
                <w:color w:val="auto"/>
              </w:rPr>
            </w:pPr>
            <w:r>
              <w:rPr>
                <w:color w:val="auto"/>
              </w:rPr>
              <w:t>4</w:t>
            </w:r>
          </w:p>
        </w:tc>
        <w:tc>
          <w:tcPr>
            <w:tcW w:w="1095" w:type="dxa"/>
            <w:vAlign w:val="center"/>
          </w:tcPr>
          <w:p>
            <w:pPr>
              <w:pStyle w:val="14"/>
              <w:rPr>
                <w:color w:val="auto"/>
              </w:rPr>
            </w:pPr>
            <w:r>
              <w:rPr>
                <w:color w:val="auto"/>
              </w:rPr>
              <w:t>5</w:t>
            </w:r>
          </w:p>
        </w:tc>
        <w:tc>
          <w:tcPr>
            <w:tcW w:w="1095" w:type="dxa"/>
            <w:vAlign w:val="center"/>
          </w:tcPr>
          <w:p>
            <w:pPr>
              <w:pStyle w:val="14"/>
              <w:rPr>
                <w:color w:val="auto"/>
              </w:rPr>
            </w:pPr>
            <w:r>
              <w:rPr>
                <w:color w:val="auto"/>
              </w:rPr>
              <w:t>6</w:t>
            </w:r>
          </w:p>
        </w:tc>
        <w:tc>
          <w:tcPr>
            <w:tcW w:w="1095" w:type="dxa"/>
            <w:vAlign w:val="center"/>
          </w:tcPr>
          <w:p>
            <w:pPr>
              <w:pStyle w:val="14"/>
              <w:rPr>
                <w:color w:val="auto"/>
              </w:rPr>
            </w:pPr>
            <w:r>
              <w:rPr>
                <w:color w:val="auto"/>
              </w:rPr>
              <w:t>7</w:t>
            </w:r>
          </w:p>
        </w:tc>
        <w:tc>
          <w:tcPr>
            <w:tcW w:w="1095"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w:t>
            </w:r>
          </w:p>
        </w:tc>
        <w:tc>
          <w:tcPr>
            <w:tcW w:w="1095" w:type="dxa"/>
            <w:vAlign w:val="center"/>
          </w:tcPr>
          <w:p>
            <w:pPr>
              <w:pStyle w:val="20"/>
              <w:rPr>
                <w:color w:val="auto"/>
              </w:rPr>
            </w:pPr>
          </w:p>
        </w:tc>
        <w:tc>
          <w:tcPr>
            <w:tcW w:w="1095" w:type="dxa"/>
            <w:vAlign w:val="center"/>
          </w:tcPr>
          <w:p>
            <w:pPr>
              <w:pStyle w:val="18"/>
              <w:rPr>
                <w:color w:val="auto"/>
              </w:rPr>
            </w:pPr>
            <w:r>
              <w:rPr>
                <w:color w:val="auto"/>
              </w:rPr>
              <w:t>合计</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793.06</w:t>
            </w:r>
          </w:p>
        </w:tc>
        <w:tc>
          <w:tcPr>
            <w:tcW w:w="1095" w:type="dxa"/>
            <w:vAlign w:val="center"/>
          </w:tcPr>
          <w:p>
            <w:pPr>
              <w:pStyle w:val="19"/>
              <w:rPr>
                <w:rFonts w:hint="default" w:eastAsia="方正书宋_GBK"/>
                <w:color w:val="auto"/>
                <w:lang w:val="en-US" w:eastAsia="zh-CN"/>
              </w:rPr>
            </w:pPr>
            <w:r>
              <w:rPr>
                <w:rFonts w:hint="eastAsia"/>
                <w:color w:val="auto"/>
                <w:lang w:val="en-US" w:eastAsia="zh-CN"/>
              </w:rPr>
              <w:t>350.53</w:t>
            </w:r>
          </w:p>
        </w:tc>
        <w:tc>
          <w:tcPr>
            <w:tcW w:w="1095" w:type="dxa"/>
            <w:vAlign w:val="center"/>
          </w:tcPr>
          <w:p>
            <w:pPr>
              <w:pStyle w:val="19"/>
              <w:rPr>
                <w:color w:val="auto"/>
              </w:rPr>
            </w:pPr>
          </w:p>
        </w:tc>
        <w:tc>
          <w:tcPr>
            <w:tcW w:w="1095" w:type="dxa"/>
            <w:vAlign w:val="center"/>
          </w:tcPr>
          <w:p>
            <w:pPr>
              <w:pStyle w:val="19"/>
              <w:rPr>
                <w:color w:val="auto"/>
              </w:rPr>
            </w:pPr>
          </w:p>
        </w:tc>
        <w:tc>
          <w:tcPr>
            <w:tcW w:w="1095"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2</w:t>
            </w:r>
          </w:p>
        </w:tc>
        <w:tc>
          <w:tcPr>
            <w:tcW w:w="1095" w:type="dxa"/>
            <w:vAlign w:val="center"/>
          </w:tcPr>
          <w:p>
            <w:pPr>
              <w:pStyle w:val="16"/>
              <w:rPr>
                <w:color w:val="auto"/>
              </w:rPr>
            </w:pPr>
            <w:r>
              <w:rPr>
                <w:color w:val="auto"/>
              </w:rPr>
              <w:t>201</w:t>
            </w:r>
          </w:p>
        </w:tc>
        <w:tc>
          <w:tcPr>
            <w:tcW w:w="1095" w:type="dxa"/>
            <w:vAlign w:val="center"/>
          </w:tcPr>
          <w:p>
            <w:pPr>
              <w:pStyle w:val="16"/>
              <w:rPr>
                <w:color w:val="auto"/>
              </w:rPr>
            </w:pPr>
            <w:r>
              <w:rPr>
                <w:color w:val="auto"/>
              </w:rPr>
              <w:t>一般公共服务支出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color w:val="auto"/>
              </w:rPr>
            </w:pPr>
            <w:r>
              <w:rPr>
                <w:rFonts w:hint="eastAsia"/>
                <w:color w:val="auto"/>
                <w:lang w:val="en-US" w:eastAsia="zh-CN"/>
              </w:rPr>
              <w:t>350.53</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3</w:t>
            </w:r>
          </w:p>
        </w:tc>
        <w:tc>
          <w:tcPr>
            <w:tcW w:w="1095" w:type="dxa"/>
            <w:vAlign w:val="center"/>
          </w:tcPr>
          <w:p>
            <w:pPr>
              <w:pStyle w:val="16"/>
              <w:rPr>
                <w:color w:val="auto"/>
              </w:rPr>
            </w:pPr>
            <w:r>
              <w:rPr>
                <w:color w:val="auto"/>
              </w:rPr>
              <w:t>20104</w:t>
            </w:r>
          </w:p>
        </w:tc>
        <w:tc>
          <w:tcPr>
            <w:tcW w:w="1095" w:type="dxa"/>
            <w:vAlign w:val="center"/>
          </w:tcPr>
          <w:p>
            <w:pPr>
              <w:pStyle w:val="16"/>
              <w:rPr>
                <w:color w:val="auto"/>
              </w:rPr>
            </w:pPr>
            <w:r>
              <w:rPr>
                <w:color w:val="auto"/>
              </w:rPr>
              <w:t>发展与改革事务</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color w:val="auto"/>
              </w:rPr>
            </w:pPr>
            <w:r>
              <w:rPr>
                <w:rFonts w:hint="eastAsia"/>
                <w:color w:val="auto"/>
                <w:lang w:val="en-US" w:eastAsia="zh-CN"/>
              </w:rPr>
              <w:t>350.53</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4</w:t>
            </w:r>
          </w:p>
        </w:tc>
        <w:tc>
          <w:tcPr>
            <w:tcW w:w="1095" w:type="dxa"/>
            <w:vAlign w:val="center"/>
          </w:tcPr>
          <w:p>
            <w:pPr>
              <w:pStyle w:val="16"/>
              <w:rPr>
                <w:color w:val="auto"/>
              </w:rPr>
            </w:pPr>
            <w:r>
              <w:rPr>
                <w:color w:val="auto"/>
              </w:rPr>
              <w:t>2010401</w:t>
            </w:r>
          </w:p>
        </w:tc>
        <w:tc>
          <w:tcPr>
            <w:tcW w:w="1095" w:type="dxa"/>
            <w:vAlign w:val="center"/>
          </w:tcPr>
          <w:p>
            <w:pPr>
              <w:pStyle w:val="16"/>
              <w:rPr>
                <w:color w:val="auto"/>
              </w:rPr>
            </w:pPr>
            <w:r>
              <w:rPr>
                <w:color w:val="auto"/>
              </w:rPr>
              <w:t>行政运行</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920.34</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635.56</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284.78</w:t>
            </w:r>
          </w:p>
        </w:tc>
        <w:tc>
          <w:tcPr>
            <w:tcW w:w="1095" w:type="dxa"/>
            <w:vAlign w:val="center"/>
          </w:tcPr>
          <w:p>
            <w:pPr>
              <w:pStyle w:val="15"/>
              <w:rPr>
                <w:rFonts w:hint="default"/>
                <w:color w:val="auto"/>
                <w:lang w:val="en-US"/>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5</w:t>
            </w:r>
          </w:p>
        </w:tc>
        <w:tc>
          <w:tcPr>
            <w:tcW w:w="1095" w:type="dxa"/>
            <w:vAlign w:val="center"/>
          </w:tcPr>
          <w:p>
            <w:pPr>
              <w:pStyle w:val="16"/>
              <w:rPr>
                <w:color w:val="auto"/>
              </w:rPr>
            </w:pPr>
            <w:r>
              <w:rPr>
                <w:color w:val="auto"/>
              </w:rPr>
              <w:t>2010407</w:t>
            </w:r>
          </w:p>
        </w:tc>
        <w:tc>
          <w:tcPr>
            <w:tcW w:w="1095" w:type="dxa"/>
            <w:vAlign w:val="center"/>
          </w:tcPr>
          <w:p>
            <w:pPr>
              <w:pStyle w:val="16"/>
              <w:rPr>
                <w:color w:val="auto"/>
              </w:rPr>
            </w:pPr>
            <w:r>
              <w:rPr>
                <w:color w:val="auto"/>
              </w:rPr>
              <w:t>经济体制改革研究</w:t>
            </w:r>
          </w:p>
        </w:tc>
        <w:tc>
          <w:tcPr>
            <w:tcW w:w="1095" w:type="dxa"/>
            <w:vAlign w:val="center"/>
          </w:tcPr>
          <w:p>
            <w:pPr>
              <w:pStyle w:val="15"/>
              <w:tabs>
                <w:tab w:val="left" w:pos="291"/>
                <w:tab w:val="right" w:pos="999"/>
              </w:tabs>
              <w:jc w:val="left"/>
              <w:rPr>
                <w:color w:val="auto"/>
              </w:rPr>
            </w:pPr>
            <w:r>
              <w:rPr>
                <w:rFonts w:hint="eastAsia"/>
                <w:color w:val="auto"/>
                <w:lang w:eastAsia="zh-CN"/>
              </w:rPr>
              <w:tab/>
            </w:r>
            <w:r>
              <w:rPr>
                <w:rFonts w:hint="eastAsia"/>
                <w:color w:val="auto"/>
                <w:lang w:val="en-US" w:eastAsia="zh-CN"/>
              </w:rPr>
              <w:t>31.19</w:t>
            </w:r>
          </w:p>
        </w:tc>
        <w:tc>
          <w:tcPr>
            <w:tcW w:w="1095" w:type="dxa"/>
            <w:vAlign w:val="center"/>
          </w:tcPr>
          <w:p>
            <w:pPr>
              <w:pStyle w:val="15"/>
              <w:tabs>
                <w:tab w:val="left" w:pos="291"/>
                <w:tab w:val="right" w:pos="999"/>
              </w:tabs>
              <w:ind w:firstLine="0" w:firstLineChars="0"/>
              <w:jc w:val="left"/>
              <w:rPr>
                <w:rFonts w:ascii="方正书宋_GBK" w:hAnsi="方正书宋_GBK" w:eastAsia="方正书宋_GBK" w:cs="方正书宋_GBK"/>
                <w:color w:val="auto"/>
                <w:sz w:val="21"/>
                <w:szCs w:val="24"/>
                <w:lang w:val="en-US" w:eastAsia="uk-UA" w:bidi="ar-SA"/>
              </w:rPr>
            </w:pPr>
            <w:r>
              <w:rPr>
                <w:rFonts w:hint="eastAsia"/>
                <w:color w:val="auto"/>
                <w:lang w:eastAsia="zh-CN"/>
              </w:rPr>
              <w:tab/>
            </w:r>
          </w:p>
        </w:tc>
        <w:tc>
          <w:tcPr>
            <w:tcW w:w="1095" w:type="dxa"/>
            <w:vAlign w:val="center"/>
          </w:tcPr>
          <w:p>
            <w:pPr>
              <w:pStyle w:val="15"/>
              <w:tabs>
                <w:tab w:val="left" w:pos="291"/>
                <w:tab w:val="right" w:pos="999"/>
              </w:tabs>
              <w:ind w:firstLine="0" w:firstLineChars="0"/>
              <w:jc w:val="left"/>
              <w:rPr>
                <w:rFonts w:ascii="方正书宋_GBK" w:hAnsi="方正书宋_GBK" w:eastAsia="方正书宋_GBK" w:cs="方正书宋_GBK"/>
                <w:color w:val="auto"/>
                <w:sz w:val="21"/>
                <w:szCs w:val="24"/>
                <w:lang w:val="en-US" w:eastAsia="uk-UA" w:bidi="ar-SA"/>
              </w:rPr>
            </w:pPr>
            <w:r>
              <w:rPr>
                <w:rFonts w:hint="eastAsia"/>
                <w:color w:val="auto"/>
                <w:lang w:eastAsia="zh-CN"/>
              </w:rPr>
              <w:tab/>
            </w:r>
            <w:r>
              <w:rPr>
                <w:rFonts w:hint="eastAsia"/>
                <w:color w:val="auto"/>
                <w:lang w:val="en-US" w:eastAsia="zh-CN"/>
              </w:rPr>
              <w:t>31.19</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6</w:t>
            </w:r>
          </w:p>
        </w:tc>
        <w:tc>
          <w:tcPr>
            <w:tcW w:w="1095" w:type="dxa"/>
            <w:vAlign w:val="center"/>
          </w:tcPr>
          <w:p>
            <w:pPr>
              <w:pStyle w:val="16"/>
              <w:rPr>
                <w:color w:val="auto"/>
              </w:rPr>
            </w:pPr>
            <w:r>
              <w:rPr>
                <w:color w:val="auto"/>
              </w:rPr>
              <w:t>2010408</w:t>
            </w:r>
          </w:p>
        </w:tc>
        <w:tc>
          <w:tcPr>
            <w:tcW w:w="1095" w:type="dxa"/>
            <w:vAlign w:val="center"/>
          </w:tcPr>
          <w:p>
            <w:pPr>
              <w:pStyle w:val="16"/>
              <w:rPr>
                <w:color w:val="auto"/>
              </w:rPr>
            </w:pPr>
            <w:r>
              <w:rPr>
                <w:color w:val="auto"/>
              </w:rPr>
              <w:t>物价管理</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12.52</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12.52</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7</w:t>
            </w:r>
          </w:p>
        </w:tc>
        <w:tc>
          <w:tcPr>
            <w:tcW w:w="1095" w:type="dxa"/>
            <w:vAlign w:val="center"/>
          </w:tcPr>
          <w:p>
            <w:pPr>
              <w:pStyle w:val="16"/>
              <w:rPr>
                <w:color w:val="auto"/>
              </w:rPr>
            </w:pPr>
            <w:r>
              <w:rPr>
                <w:color w:val="auto"/>
              </w:rPr>
              <w:t>2010499</w:t>
            </w:r>
          </w:p>
        </w:tc>
        <w:tc>
          <w:tcPr>
            <w:tcW w:w="1095" w:type="dxa"/>
            <w:vAlign w:val="center"/>
          </w:tcPr>
          <w:p>
            <w:pPr>
              <w:pStyle w:val="16"/>
              <w:rPr>
                <w:color w:val="auto"/>
              </w:rPr>
            </w:pPr>
            <w:r>
              <w:rPr>
                <w:color w:val="auto"/>
              </w:rPr>
              <w:t>其他发展与改革事务支出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22.04</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22.04</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8</w:t>
            </w:r>
          </w:p>
        </w:tc>
        <w:tc>
          <w:tcPr>
            <w:tcW w:w="1095" w:type="dxa"/>
            <w:vAlign w:val="center"/>
          </w:tcPr>
          <w:p>
            <w:pPr>
              <w:pStyle w:val="16"/>
              <w:rPr>
                <w:color w:val="auto"/>
              </w:rPr>
            </w:pPr>
            <w:r>
              <w:rPr>
                <w:color w:val="auto"/>
              </w:rPr>
              <w:t>208</w:t>
            </w:r>
          </w:p>
        </w:tc>
        <w:tc>
          <w:tcPr>
            <w:tcW w:w="1095" w:type="dxa"/>
            <w:vAlign w:val="center"/>
          </w:tcPr>
          <w:p>
            <w:pPr>
              <w:pStyle w:val="16"/>
              <w:rPr>
                <w:color w:val="auto"/>
              </w:rPr>
            </w:pPr>
            <w:r>
              <w:rPr>
                <w:color w:val="auto"/>
              </w:rPr>
              <w:t>社会保障和就业支出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9</w:t>
            </w:r>
          </w:p>
        </w:tc>
        <w:tc>
          <w:tcPr>
            <w:tcW w:w="1095" w:type="dxa"/>
            <w:vAlign w:val="center"/>
          </w:tcPr>
          <w:p>
            <w:pPr>
              <w:pStyle w:val="16"/>
              <w:rPr>
                <w:color w:val="auto"/>
              </w:rPr>
            </w:pPr>
            <w:r>
              <w:rPr>
                <w:color w:val="auto"/>
              </w:rPr>
              <w:t>20805</w:t>
            </w:r>
          </w:p>
        </w:tc>
        <w:tc>
          <w:tcPr>
            <w:tcW w:w="1095" w:type="dxa"/>
            <w:vAlign w:val="center"/>
          </w:tcPr>
          <w:p>
            <w:pPr>
              <w:pStyle w:val="16"/>
              <w:rPr>
                <w:color w:val="auto"/>
              </w:rPr>
            </w:pPr>
            <w:r>
              <w:rPr>
                <w:color w:val="auto"/>
              </w:rPr>
              <w:t>行政事业单位养老支出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10</w:t>
            </w:r>
          </w:p>
        </w:tc>
        <w:tc>
          <w:tcPr>
            <w:tcW w:w="1095" w:type="dxa"/>
            <w:vAlign w:val="center"/>
          </w:tcPr>
          <w:p>
            <w:pPr>
              <w:pStyle w:val="16"/>
              <w:rPr>
                <w:color w:val="auto"/>
              </w:rPr>
            </w:pPr>
            <w:r>
              <w:rPr>
                <w:color w:val="auto"/>
              </w:rPr>
              <w:t>2080505</w:t>
            </w:r>
          </w:p>
        </w:tc>
        <w:tc>
          <w:tcPr>
            <w:tcW w:w="1095" w:type="dxa"/>
            <w:vAlign w:val="center"/>
          </w:tcPr>
          <w:p>
            <w:pPr>
              <w:pStyle w:val="16"/>
              <w:rPr>
                <w:color w:val="auto"/>
              </w:rPr>
            </w:pPr>
            <w:r>
              <w:rPr>
                <w:color w:val="auto"/>
              </w:rPr>
              <w:t>机关事业单位基本养老保险缴费支出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90</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11</w:t>
            </w:r>
          </w:p>
        </w:tc>
        <w:tc>
          <w:tcPr>
            <w:tcW w:w="1095" w:type="dxa"/>
            <w:vAlign w:val="center"/>
          </w:tcPr>
          <w:p>
            <w:pPr>
              <w:pStyle w:val="16"/>
              <w:rPr>
                <w:color w:val="auto"/>
              </w:rPr>
            </w:pPr>
            <w:r>
              <w:rPr>
                <w:color w:val="auto"/>
              </w:rPr>
              <w:t>221</w:t>
            </w:r>
          </w:p>
        </w:tc>
        <w:tc>
          <w:tcPr>
            <w:tcW w:w="1095" w:type="dxa"/>
            <w:vAlign w:val="center"/>
          </w:tcPr>
          <w:p>
            <w:pPr>
              <w:pStyle w:val="16"/>
              <w:rPr>
                <w:color w:val="auto"/>
              </w:rPr>
            </w:pPr>
            <w:r>
              <w:rPr>
                <w:color w:val="auto"/>
              </w:rPr>
              <w:t>住房保障支出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12</w:t>
            </w:r>
          </w:p>
        </w:tc>
        <w:tc>
          <w:tcPr>
            <w:tcW w:w="1095" w:type="dxa"/>
            <w:vAlign w:val="center"/>
          </w:tcPr>
          <w:p>
            <w:pPr>
              <w:pStyle w:val="16"/>
              <w:rPr>
                <w:color w:val="auto"/>
              </w:rPr>
            </w:pPr>
            <w:r>
              <w:rPr>
                <w:color w:val="auto"/>
              </w:rPr>
              <w:t>22102</w:t>
            </w:r>
          </w:p>
        </w:tc>
        <w:tc>
          <w:tcPr>
            <w:tcW w:w="1095" w:type="dxa"/>
            <w:vAlign w:val="center"/>
          </w:tcPr>
          <w:p>
            <w:pPr>
              <w:pStyle w:val="16"/>
              <w:rPr>
                <w:color w:val="auto"/>
              </w:rPr>
            </w:pPr>
            <w:r>
              <w:rPr>
                <w:color w:val="auto"/>
              </w:rPr>
              <w:t>住房改革支出</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color w:val="auto"/>
              </w:rPr>
            </w:pPr>
            <w:r>
              <w:rPr>
                <w:color w:val="auto"/>
              </w:rPr>
              <w:t>13</w:t>
            </w:r>
          </w:p>
        </w:tc>
        <w:tc>
          <w:tcPr>
            <w:tcW w:w="1095" w:type="dxa"/>
            <w:vAlign w:val="center"/>
          </w:tcPr>
          <w:p>
            <w:pPr>
              <w:pStyle w:val="16"/>
              <w:rPr>
                <w:color w:val="auto"/>
              </w:rPr>
            </w:pPr>
            <w:r>
              <w:rPr>
                <w:color w:val="auto"/>
              </w:rPr>
              <w:t>2210201</w:t>
            </w:r>
          </w:p>
        </w:tc>
        <w:tc>
          <w:tcPr>
            <w:tcW w:w="1095" w:type="dxa"/>
            <w:vAlign w:val="center"/>
          </w:tcPr>
          <w:p>
            <w:pPr>
              <w:pStyle w:val="16"/>
              <w:rPr>
                <w:color w:val="auto"/>
              </w:rPr>
            </w:pPr>
            <w:r>
              <w:rPr>
                <w:color w:val="auto"/>
              </w:rPr>
              <w:t>住房公积金</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095"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c>
          <w:tcPr>
            <w:tcW w:w="1095"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6"/>
              <w:rPr>
                <w:color w:val="auto"/>
              </w:rPr>
            </w:pPr>
            <w:r>
              <w:rPr>
                <w:color w:val="auto"/>
              </w:rPr>
              <w:t>一、一般公共服务支出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90</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474"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8"/>
              <w:rPr>
                <w:color w:val="auto"/>
              </w:rPr>
            </w:pPr>
            <w:r>
              <w:rPr>
                <w:color w:val="auto"/>
              </w:rPr>
              <w:t>本年支出合计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3402" w:type="dxa"/>
            <w:vAlign w:val="center"/>
          </w:tcPr>
          <w:p>
            <w:pPr>
              <w:pStyle w:val="18"/>
              <w:rPr>
                <w:color w:val="auto"/>
              </w:rPr>
            </w:pPr>
            <w:r>
              <w:rPr>
                <w:color w:val="auto"/>
              </w:rPr>
              <w:t>支出总计</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1474" w:type="dxa"/>
            <w:vAlign w:val="center"/>
          </w:tcPr>
          <w:p>
            <w:pPr>
              <w:pStyle w:val="19"/>
              <w:rPr>
                <w:color w:val="auto"/>
              </w:rPr>
            </w:pPr>
          </w:p>
        </w:tc>
        <w:tc>
          <w:tcPr>
            <w:tcW w:w="1474" w:type="dxa"/>
            <w:vAlign w:val="center"/>
          </w:tcPr>
          <w:p>
            <w:pPr>
              <w:pStyle w:val="19"/>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1191" w:type="dxa"/>
            <w:vAlign w:val="center"/>
          </w:tcPr>
          <w:p>
            <w:pPr>
              <w:pStyle w:val="20"/>
              <w:rPr>
                <w:color w:val="auto"/>
              </w:rPr>
            </w:pPr>
          </w:p>
        </w:tc>
        <w:tc>
          <w:tcPr>
            <w:tcW w:w="4535" w:type="dxa"/>
            <w:vAlign w:val="center"/>
          </w:tcPr>
          <w:p>
            <w:pPr>
              <w:pStyle w:val="18"/>
              <w:rPr>
                <w:color w:val="auto"/>
              </w:rPr>
            </w:pPr>
            <w:r>
              <w:rPr>
                <w:color w:val="auto"/>
              </w:rPr>
              <w:t>合计</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1143.59</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793.06</w:t>
            </w:r>
          </w:p>
        </w:tc>
        <w:tc>
          <w:tcPr>
            <w:tcW w:w="2551" w:type="dxa"/>
            <w:vAlign w:val="center"/>
          </w:tcPr>
          <w:p>
            <w:pPr>
              <w:pStyle w:val="19"/>
              <w:rPr>
                <w:color w:val="auto"/>
              </w:rPr>
            </w:pPr>
            <w:r>
              <w:rPr>
                <w:color w:val="auto"/>
              </w:rPr>
              <w:t>2887.15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1191" w:type="dxa"/>
            <w:vAlign w:val="center"/>
          </w:tcPr>
          <w:p>
            <w:pPr>
              <w:pStyle w:val="16"/>
              <w:rPr>
                <w:color w:val="auto"/>
              </w:rPr>
            </w:pPr>
            <w:r>
              <w:rPr>
                <w:color w:val="auto"/>
              </w:rPr>
              <w:t>201</w:t>
            </w:r>
          </w:p>
        </w:tc>
        <w:tc>
          <w:tcPr>
            <w:tcW w:w="4535" w:type="dxa"/>
            <w:vAlign w:val="center"/>
          </w:tcPr>
          <w:p>
            <w:pPr>
              <w:pStyle w:val="16"/>
              <w:rPr>
                <w:color w:val="auto"/>
              </w:rPr>
            </w:pPr>
            <w:r>
              <w:rPr>
                <w:color w:val="auto"/>
              </w:rPr>
              <w:t>一般公共服务支出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2551" w:type="dxa"/>
            <w:vAlign w:val="center"/>
          </w:tcPr>
          <w:p>
            <w:pPr>
              <w:pStyle w:val="15"/>
              <w:rPr>
                <w:color w:val="auto"/>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1191" w:type="dxa"/>
            <w:vAlign w:val="center"/>
          </w:tcPr>
          <w:p>
            <w:pPr>
              <w:pStyle w:val="16"/>
              <w:rPr>
                <w:color w:val="auto"/>
              </w:rPr>
            </w:pPr>
            <w:r>
              <w:rPr>
                <w:color w:val="auto"/>
              </w:rPr>
              <w:t>20104</w:t>
            </w:r>
          </w:p>
        </w:tc>
        <w:tc>
          <w:tcPr>
            <w:tcW w:w="4535" w:type="dxa"/>
            <w:vAlign w:val="center"/>
          </w:tcPr>
          <w:p>
            <w:pPr>
              <w:pStyle w:val="16"/>
              <w:rPr>
                <w:color w:val="auto"/>
              </w:rPr>
            </w:pPr>
            <w:r>
              <w:rPr>
                <w:color w:val="auto"/>
              </w:rPr>
              <w:t>发展与改革事务</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986.09</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1191" w:type="dxa"/>
            <w:vAlign w:val="center"/>
          </w:tcPr>
          <w:p>
            <w:pPr>
              <w:pStyle w:val="16"/>
              <w:rPr>
                <w:color w:val="auto"/>
              </w:rPr>
            </w:pPr>
            <w:r>
              <w:rPr>
                <w:color w:val="auto"/>
              </w:rPr>
              <w:t>2010401</w:t>
            </w:r>
          </w:p>
        </w:tc>
        <w:tc>
          <w:tcPr>
            <w:tcW w:w="4535" w:type="dxa"/>
            <w:vAlign w:val="center"/>
          </w:tcPr>
          <w:p>
            <w:pPr>
              <w:pStyle w:val="16"/>
              <w:rPr>
                <w:color w:val="auto"/>
              </w:rPr>
            </w:pPr>
            <w:r>
              <w:rPr>
                <w:color w:val="auto"/>
              </w:rPr>
              <w:t>行政运行</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920.34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635.56</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1191" w:type="dxa"/>
            <w:vAlign w:val="center"/>
          </w:tcPr>
          <w:p>
            <w:pPr>
              <w:pStyle w:val="16"/>
              <w:rPr>
                <w:color w:val="auto"/>
              </w:rPr>
            </w:pPr>
            <w:r>
              <w:rPr>
                <w:color w:val="auto"/>
              </w:rPr>
              <w:t>2010407</w:t>
            </w:r>
          </w:p>
        </w:tc>
        <w:tc>
          <w:tcPr>
            <w:tcW w:w="4535" w:type="dxa"/>
            <w:vAlign w:val="center"/>
          </w:tcPr>
          <w:p>
            <w:pPr>
              <w:pStyle w:val="16"/>
              <w:rPr>
                <w:color w:val="auto"/>
              </w:rPr>
            </w:pPr>
            <w:r>
              <w:rPr>
                <w:color w:val="auto"/>
              </w:rPr>
              <w:t>经济体制改革研究</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31.19</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1191" w:type="dxa"/>
            <w:vAlign w:val="center"/>
          </w:tcPr>
          <w:p>
            <w:pPr>
              <w:pStyle w:val="16"/>
              <w:rPr>
                <w:color w:val="auto"/>
              </w:rPr>
            </w:pPr>
            <w:r>
              <w:rPr>
                <w:color w:val="auto"/>
              </w:rPr>
              <w:t>2010408</w:t>
            </w:r>
          </w:p>
        </w:tc>
        <w:tc>
          <w:tcPr>
            <w:tcW w:w="4535" w:type="dxa"/>
            <w:vAlign w:val="center"/>
          </w:tcPr>
          <w:p>
            <w:pPr>
              <w:pStyle w:val="16"/>
              <w:rPr>
                <w:color w:val="auto"/>
              </w:rPr>
            </w:pPr>
            <w:r>
              <w:rPr>
                <w:color w:val="auto"/>
              </w:rPr>
              <w:t>物价管理</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12.52</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1191" w:type="dxa"/>
            <w:vAlign w:val="center"/>
          </w:tcPr>
          <w:p>
            <w:pPr>
              <w:pStyle w:val="16"/>
              <w:rPr>
                <w:color w:val="auto"/>
              </w:rPr>
            </w:pPr>
            <w:r>
              <w:rPr>
                <w:color w:val="auto"/>
              </w:rPr>
              <w:t>2010499</w:t>
            </w:r>
          </w:p>
        </w:tc>
        <w:tc>
          <w:tcPr>
            <w:tcW w:w="4535" w:type="dxa"/>
            <w:vAlign w:val="center"/>
          </w:tcPr>
          <w:p>
            <w:pPr>
              <w:pStyle w:val="16"/>
              <w:rPr>
                <w:color w:val="auto"/>
              </w:rPr>
            </w:pPr>
            <w:r>
              <w:rPr>
                <w:color w:val="auto"/>
              </w:rPr>
              <w:t>其他发展与改革事务支出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22.04</w:t>
            </w:r>
          </w:p>
        </w:tc>
        <w:tc>
          <w:tcPr>
            <w:tcW w:w="2551" w:type="dxa"/>
            <w:vAlign w:val="center"/>
          </w:tcPr>
          <w:p>
            <w:pPr>
              <w:pStyle w:val="15"/>
              <w:rPr>
                <w:rFonts w:hint="default"/>
                <w:color w:val="auto"/>
                <w:lang w:val="en-US"/>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1191" w:type="dxa"/>
            <w:vAlign w:val="center"/>
          </w:tcPr>
          <w:p>
            <w:pPr>
              <w:pStyle w:val="16"/>
              <w:rPr>
                <w:color w:val="auto"/>
              </w:rPr>
            </w:pPr>
            <w:r>
              <w:rPr>
                <w:color w:val="auto"/>
              </w:rPr>
              <w:t>208</w:t>
            </w:r>
          </w:p>
        </w:tc>
        <w:tc>
          <w:tcPr>
            <w:tcW w:w="4535" w:type="dxa"/>
            <w:vAlign w:val="center"/>
          </w:tcPr>
          <w:p>
            <w:pPr>
              <w:pStyle w:val="16"/>
              <w:rPr>
                <w:color w:val="auto"/>
              </w:rPr>
            </w:pPr>
            <w:r>
              <w:rPr>
                <w:color w:val="auto"/>
              </w:rPr>
              <w:t>社会保障和就业支出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1191" w:type="dxa"/>
            <w:vAlign w:val="center"/>
          </w:tcPr>
          <w:p>
            <w:pPr>
              <w:pStyle w:val="16"/>
              <w:rPr>
                <w:color w:val="auto"/>
              </w:rPr>
            </w:pPr>
            <w:r>
              <w:rPr>
                <w:color w:val="auto"/>
              </w:rPr>
              <w:t>20805</w:t>
            </w:r>
          </w:p>
        </w:tc>
        <w:tc>
          <w:tcPr>
            <w:tcW w:w="4535" w:type="dxa"/>
            <w:vAlign w:val="center"/>
          </w:tcPr>
          <w:p>
            <w:pPr>
              <w:pStyle w:val="16"/>
              <w:rPr>
                <w:color w:val="auto"/>
              </w:rPr>
            </w:pPr>
            <w:r>
              <w:rPr>
                <w:color w:val="auto"/>
              </w:rPr>
              <w:t>行政事业单位养老支出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1191" w:type="dxa"/>
            <w:vAlign w:val="center"/>
          </w:tcPr>
          <w:p>
            <w:pPr>
              <w:pStyle w:val="16"/>
              <w:rPr>
                <w:color w:val="auto"/>
              </w:rPr>
            </w:pPr>
            <w:r>
              <w:rPr>
                <w:color w:val="auto"/>
              </w:rPr>
              <w:t>2080505</w:t>
            </w:r>
          </w:p>
        </w:tc>
        <w:tc>
          <w:tcPr>
            <w:tcW w:w="4535" w:type="dxa"/>
            <w:vAlign w:val="center"/>
          </w:tcPr>
          <w:p>
            <w:pPr>
              <w:pStyle w:val="16"/>
              <w:rPr>
                <w:color w:val="auto"/>
              </w:rPr>
            </w:pPr>
            <w:r>
              <w:rPr>
                <w:color w:val="auto"/>
              </w:rPr>
              <w:t>机关事业单位基本养老保险缴费支出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90</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1191" w:type="dxa"/>
            <w:vAlign w:val="center"/>
          </w:tcPr>
          <w:p>
            <w:pPr>
              <w:pStyle w:val="16"/>
              <w:rPr>
                <w:color w:val="auto"/>
              </w:rPr>
            </w:pPr>
            <w:r>
              <w:rPr>
                <w:color w:val="auto"/>
              </w:rPr>
              <w:t>221</w:t>
            </w:r>
          </w:p>
        </w:tc>
        <w:tc>
          <w:tcPr>
            <w:tcW w:w="4535" w:type="dxa"/>
            <w:vAlign w:val="center"/>
          </w:tcPr>
          <w:p>
            <w:pPr>
              <w:pStyle w:val="16"/>
              <w:rPr>
                <w:color w:val="auto"/>
              </w:rPr>
            </w:pPr>
            <w:r>
              <w:rPr>
                <w:color w:val="auto"/>
              </w:rPr>
              <w:t>住房保障支出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1191" w:type="dxa"/>
            <w:vAlign w:val="center"/>
          </w:tcPr>
          <w:p>
            <w:pPr>
              <w:pStyle w:val="16"/>
              <w:rPr>
                <w:color w:val="auto"/>
              </w:rPr>
            </w:pPr>
            <w:r>
              <w:rPr>
                <w:color w:val="auto"/>
              </w:rPr>
              <w:t>22102</w:t>
            </w:r>
          </w:p>
        </w:tc>
        <w:tc>
          <w:tcPr>
            <w:tcW w:w="4535" w:type="dxa"/>
            <w:vAlign w:val="center"/>
          </w:tcPr>
          <w:p>
            <w:pPr>
              <w:pStyle w:val="16"/>
              <w:rPr>
                <w:color w:val="auto"/>
              </w:rPr>
            </w:pPr>
            <w:r>
              <w:rPr>
                <w:color w:val="auto"/>
              </w:rPr>
              <w:t>住房改革支出</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1191" w:type="dxa"/>
            <w:vAlign w:val="center"/>
          </w:tcPr>
          <w:p>
            <w:pPr>
              <w:pStyle w:val="16"/>
              <w:rPr>
                <w:color w:val="auto"/>
              </w:rPr>
            </w:pPr>
            <w:r>
              <w:rPr>
                <w:color w:val="auto"/>
              </w:rPr>
              <w:t>2210201</w:t>
            </w:r>
          </w:p>
        </w:tc>
        <w:tc>
          <w:tcPr>
            <w:tcW w:w="4535" w:type="dxa"/>
            <w:vAlign w:val="center"/>
          </w:tcPr>
          <w:p>
            <w:pPr>
              <w:pStyle w:val="16"/>
              <w:rPr>
                <w:color w:val="auto"/>
              </w:rPr>
            </w:pPr>
            <w:r>
              <w:rPr>
                <w:color w:val="auto"/>
              </w:rPr>
              <w:t>住房公积金</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r>
              <w:rPr>
                <w:rFonts w:hint="eastAsia"/>
                <w:color w:val="auto"/>
                <w:lang w:val="en-US" w:eastAsia="zh-CN"/>
              </w:rPr>
              <w:t>67.5</w:t>
            </w:r>
          </w:p>
        </w:tc>
        <w:tc>
          <w:tcPr>
            <w:tcW w:w="2551"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rPr>
                <w:color w:val="auto"/>
              </w:rPr>
            </w:pPr>
            <w:r>
              <w:rPr>
                <w:color w:val="auto"/>
              </w:rPr>
              <w:t>序号</w:t>
            </w:r>
          </w:p>
        </w:tc>
        <w:tc>
          <w:tcPr>
            <w:tcW w:w="3286" w:type="dxa"/>
            <w:gridSpan w:val="2"/>
            <w:vAlign w:val="center"/>
          </w:tcPr>
          <w:p>
            <w:pPr>
              <w:pStyle w:val="14"/>
              <w:rPr>
                <w:color w:val="auto"/>
              </w:rPr>
            </w:pPr>
            <w:r>
              <w:rPr>
                <w:color w:val="auto"/>
              </w:rPr>
              <w:t>支出部门经济分类科目</w:t>
            </w:r>
          </w:p>
        </w:tc>
        <w:tc>
          <w:tcPr>
            <w:tcW w:w="4929"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color w:val="auto"/>
              </w:rPr>
            </w:pPr>
          </w:p>
        </w:tc>
        <w:tc>
          <w:tcPr>
            <w:tcW w:w="1643" w:type="dxa"/>
            <w:vAlign w:val="center"/>
          </w:tcPr>
          <w:p>
            <w:pPr>
              <w:pStyle w:val="14"/>
              <w:rPr>
                <w:color w:val="auto"/>
              </w:rPr>
            </w:pPr>
            <w:r>
              <w:rPr>
                <w:color w:val="auto"/>
              </w:rPr>
              <w:t>科目编码</w:t>
            </w:r>
          </w:p>
        </w:tc>
        <w:tc>
          <w:tcPr>
            <w:tcW w:w="1643" w:type="dxa"/>
            <w:vAlign w:val="center"/>
          </w:tcPr>
          <w:p>
            <w:pPr>
              <w:pStyle w:val="14"/>
              <w:rPr>
                <w:color w:val="auto"/>
              </w:rPr>
            </w:pPr>
            <w:r>
              <w:rPr>
                <w:color w:val="auto"/>
              </w:rPr>
              <w:t>科目名称</w:t>
            </w:r>
          </w:p>
        </w:tc>
        <w:tc>
          <w:tcPr>
            <w:tcW w:w="1643" w:type="dxa"/>
            <w:vAlign w:val="center"/>
          </w:tcPr>
          <w:p>
            <w:pPr>
              <w:pStyle w:val="14"/>
              <w:rPr>
                <w:color w:val="auto"/>
              </w:rPr>
            </w:pPr>
            <w:r>
              <w:rPr>
                <w:color w:val="auto"/>
              </w:rPr>
              <w:t>合计</w:t>
            </w:r>
          </w:p>
        </w:tc>
        <w:tc>
          <w:tcPr>
            <w:tcW w:w="1643" w:type="dxa"/>
            <w:vAlign w:val="center"/>
          </w:tcPr>
          <w:p>
            <w:pPr>
              <w:pStyle w:val="14"/>
              <w:rPr>
                <w:color w:val="auto"/>
              </w:rPr>
            </w:pPr>
            <w:r>
              <w:rPr>
                <w:color w:val="auto"/>
              </w:rPr>
              <w:t>人员经费</w:t>
            </w:r>
          </w:p>
        </w:tc>
        <w:tc>
          <w:tcPr>
            <w:tcW w:w="1643"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rPr>
                <w:color w:val="auto"/>
              </w:rPr>
            </w:pPr>
            <w:r>
              <w:rPr>
                <w:color w:val="auto"/>
              </w:rPr>
              <w:t>栏次</w:t>
            </w:r>
          </w:p>
        </w:tc>
        <w:tc>
          <w:tcPr>
            <w:tcW w:w="1643" w:type="dxa"/>
            <w:vAlign w:val="center"/>
          </w:tcPr>
          <w:p>
            <w:pPr>
              <w:pStyle w:val="14"/>
              <w:rPr>
                <w:color w:val="auto"/>
              </w:rPr>
            </w:pPr>
            <w:r>
              <w:rPr>
                <w:color w:val="auto"/>
              </w:rPr>
              <w:t>1</w:t>
            </w:r>
          </w:p>
        </w:tc>
        <w:tc>
          <w:tcPr>
            <w:tcW w:w="1643" w:type="dxa"/>
            <w:vAlign w:val="center"/>
          </w:tcPr>
          <w:p>
            <w:pPr>
              <w:pStyle w:val="14"/>
              <w:rPr>
                <w:color w:val="auto"/>
              </w:rPr>
            </w:pPr>
            <w:r>
              <w:rPr>
                <w:color w:val="auto"/>
              </w:rPr>
              <w:t>2</w:t>
            </w:r>
          </w:p>
        </w:tc>
        <w:tc>
          <w:tcPr>
            <w:tcW w:w="1643" w:type="dxa"/>
            <w:vAlign w:val="center"/>
          </w:tcPr>
          <w:p>
            <w:pPr>
              <w:pStyle w:val="14"/>
              <w:rPr>
                <w:color w:val="auto"/>
              </w:rPr>
            </w:pPr>
            <w:r>
              <w:rPr>
                <w:color w:val="auto"/>
              </w:rPr>
              <w:t>3</w:t>
            </w:r>
          </w:p>
        </w:tc>
        <w:tc>
          <w:tcPr>
            <w:tcW w:w="1643" w:type="dxa"/>
            <w:vAlign w:val="center"/>
          </w:tcPr>
          <w:p>
            <w:pPr>
              <w:pStyle w:val="14"/>
              <w:rPr>
                <w:color w:val="auto"/>
              </w:rPr>
            </w:pPr>
            <w:r>
              <w:rPr>
                <w:color w:val="auto"/>
              </w:rPr>
              <w:t>4</w:t>
            </w:r>
          </w:p>
        </w:tc>
        <w:tc>
          <w:tcPr>
            <w:tcW w:w="1643"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w:t>
            </w:r>
          </w:p>
        </w:tc>
        <w:tc>
          <w:tcPr>
            <w:tcW w:w="1643" w:type="dxa"/>
            <w:vAlign w:val="center"/>
          </w:tcPr>
          <w:p>
            <w:pPr>
              <w:pStyle w:val="20"/>
              <w:rPr>
                <w:color w:val="auto"/>
              </w:rPr>
            </w:pPr>
          </w:p>
        </w:tc>
        <w:tc>
          <w:tcPr>
            <w:tcW w:w="1643" w:type="dxa"/>
            <w:vAlign w:val="center"/>
          </w:tcPr>
          <w:p>
            <w:pPr>
              <w:pStyle w:val="18"/>
              <w:rPr>
                <w:color w:val="auto"/>
              </w:rPr>
            </w:pPr>
            <w:r>
              <w:rPr>
                <w:color w:val="auto"/>
              </w:rPr>
              <w:t>合计</w:t>
            </w:r>
          </w:p>
        </w:tc>
        <w:tc>
          <w:tcPr>
            <w:tcW w:w="1643" w:type="dxa"/>
            <w:vAlign w:val="center"/>
          </w:tcPr>
          <w:p>
            <w:pPr>
              <w:pStyle w:val="19"/>
              <w:rPr>
                <w:rFonts w:hint="default" w:eastAsia="方正书宋_GBK"/>
                <w:color w:val="auto"/>
                <w:lang w:val="en-US" w:eastAsia="zh-CN"/>
              </w:rPr>
            </w:pPr>
            <w:r>
              <w:rPr>
                <w:rFonts w:hint="eastAsia"/>
                <w:color w:val="auto"/>
                <w:lang w:val="en-US" w:eastAsia="zh-CN"/>
              </w:rPr>
              <w:t>1077.84</w:t>
            </w:r>
          </w:p>
        </w:tc>
        <w:tc>
          <w:tcPr>
            <w:tcW w:w="1643" w:type="dxa"/>
            <w:vAlign w:val="center"/>
          </w:tcPr>
          <w:p>
            <w:pPr>
              <w:pStyle w:val="19"/>
              <w:rPr>
                <w:rFonts w:hint="default" w:eastAsia="方正书宋_GBK"/>
                <w:color w:val="auto"/>
                <w:lang w:val="en-US" w:eastAsia="zh-CN"/>
              </w:rPr>
            </w:pPr>
            <w:r>
              <w:rPr>
                <w:rFonts w:hint="eastAsia"/>
                <w:color w:val="auto"/>
                <w:lang w:val="en-US" w:eastAsia="zh-CN"/>
              </w:rPr>
              <w:t>1026.06</w:t>
            </w:r>
          </w:p>
        </w:tc>
        <w:tc>
          <w:tcPr>
            <w:tcW w:w="1643" w:type="dxa"/>
            <w:vAlign w:val="center"/>
          </w:tcPr>
          <w:p>
            <w:pPr>
              <w:pStyle w:val="19"/>
              <w:rPr>
                <w:color w:val="auto"/>
              </w:rPr>
            </w:pPr>
            <w:r>
              <w:rPr>
                <w:rFonts w:hint="eastAsia"/>
                <w:color w:val="auto"/>
                <w:lang w:val="en-US" w:eastAsia="zh-CN"/>
              </w:rPr>
              <w:t>51.78</w:t>
            </w: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643" w:type="dxa"/>
            <w:vAlign w:val="center"/>
          </w:tcPr>
          <w:p>
            <w:pPr>
              <w:pStyle w:val="17"/>
              <w:rPr>
                <w:color w:val="auto"/>
              </w:rPr>
            </w:pPr>
            <w:r>
              <w:rPr>
                <w:color w:val="auto"/>
              </w:rPr>
              <w:t>2</w:t>
            </w:r>
          </w:p>
        </w:tc>
        <w:tc>
          <w:tcPr>
            <w:tcW w:w="1643" w:type="dxa"/>
            <w:vAlign w:val="center"/>
          </w:tcPr>
          <w:p>
            <w:pPr>
              <w:pStyle w:val="16"/>
              <w:rPr>
                <w:color w:val="auto"/>
              </w:rPr>
            </w:pPr>
            <w:r>
              <w:rPr>
                <w:color w:val="auto"/>
              </w:rPr>
              <w:t>301</w:t>
            </w:r>
          </w:p>
        </w:tc>
        <w:tc>
          <w:tcPr>
            <w:tcW w:w="1643" w:type="dxa"/>
            <w:vAlign w:val="center"/>
          </w:tcPr>
          <w:p>
            <w:pPr>
              <w:pStyle w:val="16"/>
              <w:rPr>
                <w:color w:val="auto"/>
              </w:rPr>
            </w:pPr>
            <w:r>
              <w:rPr>
                <w:color w:val="auto"/>
              </w:rPr>
              <w:t>工资福利支出</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625.34</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625.34</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3</w:t>
            </w:r>
          </w:p>
        </w:tc>
        <w:tc>
          <w:tcPr>
            <w:tcW w:w="1643" w:type="dxa"/>
            <w:vAlign w:val="center"/>
          </w:tcPr>
          <w:p>
            <w:pPr>
              <w:pStyle w:val="16"/>
              <w:rPr>
                <w:color w:val="auto"/>
              </w:rPr>
            </w:pPr>
            <w:r>
              <w:rPr>
                <w:color w:val="auto"/>
              </w:rPr>
              <w:t>30101</w:t>
            </w:r>
          </w:p>
        </w:tc>
        <w:tc>
          <w:tcPr>
            <w:tcW w:w="1643" w:type="dxa"/>
            <w:vAlign w:val="center"/>
          </w:tcPr>
          <w:p>
            <w:pPr>
              <w:pStyle w:val="16"/>
              <w:rPr>
                <w:color w:val="auto"/>
              </w:rPr>
            </w:pPr>
            <w:r>
              <w:rPr>
                <w:color w:val="auto"/>
              </w:rPr>
              <w:t>基本工资</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272.4</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272.4</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4</w:t>
            </w:r>
          </w:p>
        </w:tc>
        <w:tc>
          <w:tcPr>
            <w:tcW w:w="1643" w:type="dxa"/>
            <w:vAlign w:val="center"/>
          </w:tcPr>
          <w:p>
            <w:pPr>
              <w:pStyle w:val="16"/>
              <w:rPr>
                <w:color w:val="auto"/>
              </w:rPr>
            </w:pPr>
            <w:r>
              <w:rPr>
                <w:color w:val="auto"/>
              </w:rPr>
              <w:t>30102</w:t>
            </w:r>
          </w:p>
        </w:tc>
        <w:tc>
          <w:tcPr>
            <w:tcW w:w="1643" w:type="dxa"/>
            <w:vAlign w:val="center"/>
          </w:tcPr>
          <w:p>
            <w:pPr>
              <w:pStyle w:val="16"/>
              <w:rPr>
                <w:color w:val="auto"/>
              </w:rPr>
            </w:pPr>
            <w:r>
              <w:rPr>
                <w:color w:val="auto"/>
              </w:rPr>
              <w:t>津贴补贴</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84.7</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84.7</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5</w:t>
            </w:r>
          </w:p>
        </w:tc>
        <w:tc>
          <w:tcPr>
            <w:tcW w:w="1643" w:type="dxa"/>
            <w:vAlign w:val="center"/>
          </w:tcPr>
          <w:p>
            <w:pPr>
              <w:pStyle w:val="16"/>
              <w:rPr>
                <w:color w:val="auto"/>
              </w:rPr>
            </w:pPr>
            <w:r>
              <w:rPr>
                <w:color w:val="auto"/>
              </w:rPr>
              <w:t>30103</w:t>
            </w:r>
          </w:p>
        </w:tc>
        <w:tc>
          <w:tcPr>
            <w:tcW w:w="1643" w:type="dxa"/>
            <w:vAlign w:val="center"/>
          </w:tcPr>
          <w:p>
            <w:pPr>
              <w:pStyle w:val="16"/>
              <w:rPr>
                <w:color w:val="auto"/>
              </w:rPr>
            </w:pPr>
            <w:r>
              <w:rPr>
                <w:color w:val="auto"/>
              </w:rPr>
              <w:t>奖金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10.27</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10.27</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6</w:t>
            </w:r>
          </w:p>
        </w:tc>
        <w:tc>
          <w:tcPr>
            <w:tcW w:w="1643" w:type="dxa"/>
            <w:vAlign w:val="center"/>
          </w:tcPr>
          <w:p>
            <w:pPr>
              <w:pStyle w:val="16"/>
              <w:rPr>
                <w:color w:val="auto"/>
              </w:rPr>
            </w:pPr>
            <w:r>
              <w:rPr>
                <w:color w:val="auto"/>
              </w:rPr>
              <w:t>30107</w:t>
            </w:r>
          </w:p>
        </w:tc>
        <w:tc>
          <w:tcPr>
            <w:tcW w:w="1643" w:type="dxa"/>
            <w:vAlign w:val="center"/>
          </w:tcPr>
          <w:p>
            <w:pPr>
              <w:pStyle w:val="16"/>
              <w:rPr>
                <w:color w:val="auto"/>
              </w:rPr>
            </w:pPr>
            <w:r>
              <w:rPr>
                <w:color w:val="auto"/>
              </w:rPr>
              <w:t>绩效工资</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99.71</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99.71</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7</w:t>
            </w:r>
          </w:p>
        </w:tc>
        <w:tc>
          <w:tcPr>
            <w:tcW w:w="1643" w:type="dxa"/>
            <w:vAlign w:val="center"/>
          </w:tcPr>
          <w:p>
            <w:pPr>
              <w:pStyle w:val="16"/>
              <w:rPr>
                <w:color w:val="auto"/>
              </w:rPr>
            </w:pPr>
            <w:r>
              <w:rPr>
                <w:color w:val="auto"/>
              </w:rPr>
              <w:t>30108</w:t>
            </w:r>
          </w:p>
        </w:tc>
        <w:tc>
          <w:tcPr>
            <w:tcW w:w="1643" w:type="dxa"/>
            <w:vAlign w:val="center"/>
          </w:tcPr>
          <w:p>
            <w:pPr>
              <w:pStyle w:val="16"/>
              <w:rPr>
                <w:color w:val="auto"/>
              </w:rPr>
            </w:pPr>
            <w:r>
              <w:rPr>
                <w:color w:val="auto"/>
              </w:rPr>
              <w:t>机关事业单位基本养老保险缴费</w:t>
            </w:r>
          </w:p>
        </w:tc>
        <w:tc>
          <w:tcPr>
            <w:tcW w:w="1643" w:type="dxa"/>
            <w:vAlign w:val="center"/>
          </w:tcPr>
          <w:p>
            <w:pPr>
              <w:pStyle w:val="15"/>
              <w:rPr>
                <w:rFonts w:hint="eastAsia" w:eastAsia="方正书宋_GBK"/>
                <w:color w:val="auto"/>
                <w:lang w:val="en-US" w:eastAsia="zh-CN"/>
              </w:rPr>
            </w:pPr>
            <w:r>
              <w:rPr>
                <w:color w:val="auto"/>
              </w:rPr>
              <w:t>9</w:t>
            </w:r>
            <w:r>
              <w:rPr>
                <w:rFonts w:hint="eastAsia"/>
                <w:color w:val="auto"/>
                <w:lang w:val="en-US" w:eastAsia="zh-CN"/>
              </w:rPr>
              <w:t>0</w:t>
            </w:r>
          </w:p>
        </w:tc>
        <w:tc>
          <w:tcPr>
            <w:tcW w:w="1643" w:type="dxa"/>
            <w:vAlign w:val="center"/>
          </w:tcPr>
          <w:p>
            <w:pPr>
              <w:pStyle w:val="15"/>
              <w:ind w:firstLine="0" w:firstLineChars="0"/>
              <w:rPr>
                <w:rFonts w:hint="eastAsia" w:ascii="方正书宋_GBK" w:hAnsi="方正书宋_GBK" w:eastAsia="方正书宋_GBK" w:cs="方正书宋_GBK"/>
                <w:color w:val="auto"/>
                <w:sz w:val="21"/>
                <w:szCs w:val="24"/>
                <w:lang w:val="en-US" w:eastAsia="zh-CN" w:bidi="ar-SA"/>
              </w:rPr>
            </w:pPr>
            <w:r>
              <w:rPr>
                <w:color w:val="auto"/>
              </w:rPr>
              <w:t>9</w:t>
            </w:r>
            <w:r>
              <w:rPr>
                <w:rFonts w:hint="eastAsia"/>
                <w:color w:val="auto"/>
                <w:lang w:val="en-US" w:eastAsia="zh-CN"/>
              </w:rPr>
              <w:t>0</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8</w:t>
            </w:r>
          </w:p>
        </w:tc>
        <w:tc>
          <w:tcPr>
            <w:tcW w:w="1643" w:type="dxa"/>
            <w:vAlign w:val="center"/>
          </w:tcPr>
          <w:p>
            <w:pPr>
              <w:pStyle w:val="16"/>
              <w:rPr>
                <w:color w:val="auto"/>
              </w:rPr>
            </w:pPr>
            <w:r>
              <w:rPr>
                <w:color w:val="auto"/>
              </w:rPr>
              <w:t>30113</w:t>
            </w:r>
          </w:p>
        </w:tc>
        <w:tc>
          <w:tcPr>
            <w:tcW w:w="1643" w:type="dxa"/>
            <w:vAlign w:val="center"/>
          </w:tcPr>
          <w:p>
            <w:pPr>
              <w:pStyle w:val="16"/>
              <w:rPr>
                <w:color w:val="auto"/>
              </w:rPr>
            </w:pPr>
            <w:r>
              <w:rPr>
                <w:color w:val="auto"/>
              </w:rPr>
              <w:t>住房公积金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67.5</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67.5</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9</w:t>
            </w:r>
          </w:p>
        </w:tc>
        <w:tc>
          <w:tcPr>
            <w:tcW w:w="1643" w:type="dxa"/>
            <w:vAlign w:val="center"/>
          </w:tcPr>
          <w:p>
            <w:pPr>
              <w:pStyle w:val="16"/>
              <w:rPr>
                <w:color w:val="auto"/>
              </w:rPr>
            </w:pPr>
            <w:r>
              <w:rPr>
                <w:color w:val="auto"/>
              </w:rPr>
              <w:t>30199</w:t>
            </w:r>
          </w:p>
        </w:tc>
        <w:tc>
          <w:tcPr>
            <w:tcW w:w="1643" w:type="dxa"/>
            <w:vAlign w:val="center"/>
          </w:tcPr>
          <w:p>
            <w:pPr>
              <w:pStyle w:val="16"/>
              <w:rPr>
                <w:color w:val="auto"/>
              </w:rPr>
            </w:pPr>
            <w:r>
              <w:rPr>
                <w:color w:val="auto"/>
              </w:rPr>
              <w:t>其他工资福利支出</w:t>
            </w:r>
          </w:p>
        </w:tc>
        <w:tc>
          <w:tcPr>
            <w:tcW w:w="1643" w:type="dxa"/>
            <w:vAlign w:val="center"/>
          </w:tcPr>
          <w:p>
            <w:pPr>
              <w:pStyle w:val="15"/>
              <w:rPr>
                <w:color w:val="auto"/>
              </w:rPr>
            </w:pPr>
            <w:r>
              <w:rPr>
                <w:rFonts w:hint="eastAsia"/>
                <w:color w:val="auto"/>
                <w:lang w:val="en-US" w:eastAsia="zh-CN"/>
              </w:rPr>
              <w:t>0.76</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0.76</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10</w:t>
            </w:r>
          </w:p>
        </w:tc>
        <w:tc>
          <w:tcPr>
            <w:tcW w:w="1643" w:type="dxa"/>
            <w:vAlign w:val="center"/>
          </w:tcPr>
          <w:p>
            <w:pPr>
              <w:pStyle w:val="16"/>
              <w:rPr>
                <w:color w:val="auto"/>
              </w:rPr>
            </w:pPr>
            <w:r>
              <w:rPr>
                <w:color w:val="auto"/>
              </w:rPr>
              <w:t>302</w:t>
            </w:r>
          </w:p>
        </w:tc>
        <w:tc>
          <w:tcPr>
            <w:tcW w:w="1643" w:type="dxa"/>
            <w:vAlign w:val="center"/>
          </w:tcPr>
          <w:p>
            <w:pPr>
              <w:pStyle w:val="16"/>
              <w:rPr>
                <w:color w:val="auto"/>
              </w:rPr>
            </w:pPr>
            <w:r>
              <w:rPr>
                <w:color w:val="auto"/>
              </w:rPr>
              <w:t>商品和服务支出</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51.78</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11</w:t>
            </w:r>
          </w:p>
        </w:tc>
        <w:tc>
          <w:tcPr>
            <w:tcW w:w="1643" w:type="dxa"/>
            <w:vAlign w:val="center"/>
          </w:tcPr>
          <w:p>
            <w:pPr>
              <w:pStyle w:val="16"/>
              <w:rPr>
                <w:color w:val="auto"/>
              </w:rPr>
            </w:pPr>
            <w:r>
              <w:rPr>
                <w:color w:val="auto"/>
              </w:rPr>
              <w:t>30201</w:t>
            </w:r>
          </w:p>
        </w:tc>
        <w:tc>
          <w:tcPr>
            <w:tcW w:w="1643" w:type="dxa"/>
            <w:vAlign w:val="center"/>
          </w:tcPr>
          <w:p>
            <w:pPr>
              <w:pStyle w:val="16"/>
              <w:rPr>
                <w:color w:val="auto"/>
              </w:rPr>
            </w:pPr>
            <w:r>
              <w:rPr>
                <w:color w:val="auto"/>
              </w:rPr>
              <w:t>办公费</w:t>
            </w:r>
          </w:p>
        </w:tc>
        <w:tc>
          <w:tcPr>
            <w:tcW w:w="1643" w:type="dxa"/>
            <w:vAlign w:val="center"/>
          </w:tcPr>
          <w:p>
            <w:pPr>
              <w:pStyle w:val="15"/>
              <w:rPr>
                <w:rFonts w:hint="default" w:eastAsia="方正书宋_GBK"/>
                <w:color w:val="auto"/>
                <w:lang w:val="en-US" w:eastAsia="zh-CN"/>
              </w:rPr>
            </w:pPr>
            <w:r>
              <w:rPr>
                <w:rFonts w:hint="eastAsia"/>
                <w:color w:val="auto"/>
                <w:lang w:eastAsia="zh-CN"/>
              </w:rPr>
              <w:t>5</w:t>
            </w:r>
            <w:r>
              <w:rPr>
                <w:rFonts w:hint="eastAsia"/>
                <w:color w:val="auto"/>
                <w:lang w:val="en-US" w:eastAsia="zh-CN"/>
              </w:rPr>
              <w:t>.52</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eastAsia="zh-CN"/>
              </w:rPr>
              <w:t>5</w:t>
            </w:r>
            <w:r>
              <w:rPr>
                <w:rFonts w:hint="eastAsia"/>
                <w:color w:val="auto"/>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12</w:t>
            </w:r>
          </w:p>
        </w:tc>
        <w:tc>
          <w:tcPr>
            <w:tcW w:w="1643" w:type="dxa"/>
            <w:vAlign w:val="center"/>
          </w:tcPr>
          <w:p>
            <w:pPr>
              <w:pStyle w:val="16"/>
              <w:rPr>
                <w:color w:val="auto"/>
              </w:rPr>
            </w:pPr>
            <w:r>
              <w:rPr>
                <w:color w:val="auto"/>
              </w:rPr>
              <w:t>30207</w:t>
            </w:r>
          </w:p>
        </w:tc>
        <w:tc>
          <w:tcPr>
            <w:tcW w:w="1643" w:type="dxa"/>
            <w:vAlign w:val="center"/>
          </w:tcPr>
          <w:p>
            <w:pPr>
              <w:pStyle w:val="16"/>
              <w:rPr>
                <w:color w:val="auto"/>
              </w:rPr>
            </w:pPr>
            <w:r>
              <w:rPr>
                <w:color w:val="auto"/>
              </w:rPr>
              <w:t>邮电费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11.62</w:t>
            </w:r>
          </w:p>
        </w:tc>
        <w:tc>
          <w:tcPr>
            <w:tcW w:w="1643" w:type="dxa"/>
            <w:vAlign w:val="center"/>
          </w:tcPr>
          <w:p>
            <w:pPr>
              <w:pStyle w:val="15"/>
              <w:rPr>
                <w:rFonts w:hint="default"/>
                <w:color w:val="auto"/>
                <w:lang w:val="en-US"/>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13</w:t>
            </w:r>
          </w:p>
        </w:tc>
        <w:tc>
          <w:tcPr>
            <w:tcW w:w="1643" w:type="dxa"/>
            <w:vAlign w:val="center"/>
          </w:tcPr>
          <w:p>
            <w:pPr>
              <w:pStyle w:val="16"/>
              <w:rPr>
                <w:color w:val="auto"/>
              </w:rPr>
            </w:pPr>
            <w:r>
              <w:rPr>
                <w:color w:val="auto"/>
              </w:rPr>
              <w:t>30228</w:t>
            </w:r>
          </w:p>
        </w:tc>
        <w:tc>
          <w:tcPr>
            <w:tcW w:w="1643" w:type="dxa"/>
            <w:vAlign w:val="center"/>
          </w:tcPr>
          <w:p>
            <w:pPr>
              <w:pStyle w:val="16"/>
              <w:rPr>
                <w:color w:val="auto"/>
              </w:rPr>
            </w:pPr>
            <w:r>
              <w:rPr>
                <w:color w:val="auto"/>
              </w:rPr>
              <w:t>工会经费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5.45</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14</w:t>
            </w:r>
          </w:p>
        </w:tc>
        <w:tc>
          <w:tcPr>
            <w:tcW w:w="1643" w:type="dxa"/>
            <w:vAlign w:val="center"/>
          </w:tcPr>
          <w:p>
            <w:pPr>
              <w:pStyle w:val="16"/>
              <w:rPr>
                <w:color w:val="auto"/>
              </w:rPr>
            </w:pPr>
            <w:r>
              <w:rPr>
                <w:color w:val="auto"/>
              </w:rPr>
              <w:t>30229</w:t>
            </w:r>
          </w:p>
        </w:tc>
        <w:tc>
          <w:tcPr>
            <w:tcW w:w="1643" w:type="dxa"/>
            <w:vAlign w:val="center"/>
          </w:tcPr>
          <w:p>
            <w:pPr>
              <w:pStyle w:val="16"/>
              <w:rPr>
                <w:color w:val="auto"/>
              </w:rPr>
            </w:pPr>
            <w:r>
              <w:rPr>
                <w:color w:val="auto"/>
              </w:rPr>
              <w:t>福利费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6.81</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15</w:t>
            </w:r>
          </w:p>
        </w:tc>
        <w:tc>
          <w:tcPr>
            <w:tcW w:w="1643" w:type="dxa"/>
            <w:vAlign w:val="center"/>
          </w:tcPr>
          <w:p>
            <w:pPr>
              <w:pStyle w:val="16"/>
              <w:rPr>
                <w:color w:val="auto"/>
              </w:rPr>
            </w:pPr>
            <w:r>
              <w:rPr>
                <w:color w:val="auto"/>
              </w:rPr>
              <w:t>30239</w:t>
            </w:r>
          </w:p>
        </w:tc>
        <w:tc>
          <w:tcPr>
            <w:tcW w:w="1643" w:type="dxa"/>
            <w:vAlign w:val="center"/>
          </w:tcPr>
          <w:p>
            <w:pPr>
              <w:pStyle w:val="16"/>
              <w:rPr>
                <w:color w:val="auto"/>
              </w:rPr>
            </w:pPr>
            <w:r>
              <w:rPr>
                <w:color w:val="auto"/>
              </w:rPr>
              <w:t>其他交通费用</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22.38</w:t>
            </w:r>
          </w:p>
        </w:tc>
        <w:tc>
          <w:tcPr>
            <w:tcW w:w="1643" w:type="dxa"/>
            <w:vAlign w:val="center"/>
          </w:tcPr>
          <w:p>
            <w:pPr>
              <w:pStyle w:val="15"/>
              <w:rPr>
                <w:color w:val="auto"/>
              </w:rPr>
            </w:pP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16</w:t>
            </w:r>
          </w:p>
        </w:tc>
        <w:tc>
          <w:tcPr>
            <w:tcW w:w="1643" w:type="dxa"/>
            <w:vAlign w:val="center"/>
          </w:tcPr>
          <w:p>
            <w:pPr>
              <w:pStyle w:val="16"/>
              <w:rPr>
                <w:color w:val="auto"/>
              </w:rPr>
            </w:pPr>
            <w:r>
              <w:rPr>
                <w:color w:val="auto"/>
              </w:rPr>
              <w:t>303</w:t>
            </w:r>
          </w:p>
        </w:tc>
        <w:tc>
          <w:tcPr>
            <w:tcW w:w="1643" w:type="dxa"/>
            <w:vAlign w:val="center"/>
          </w:tcPr>
          <w:p>
            <w:pPr>
              <w:pStyle w:val="16"/>
              <w:rPr>
                <w:color w:val="auto"/>
              </w:rPr>
            </w:pPr>
            <w:r>
              <w:rPr>
                <w:color w:val="auto"/>
              </w:rPr>
              <w:t>对个人和家庭的补助</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400.72</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400.72</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17</w:t>
            </w:r>
          </w:p>
        </w:tc>
        <w:tc>
          <w:tcPr>
            <w:tcW w:w="1643" w:type="dxa"/>
            <w:vAlign w:val="center"/>
          </w:tcPr>
          <w:p>
            <w:pPr>
              <w:pStyle w:val="16"/>
              <w:rPr>
                <w:color w:val="auto"/>
              </w:rPr>
            </w:pPr>
            <w:r>
              <w:rPr>
                <w:color w:val="auto"/>
              </w:rPr>
              <w:t>30301</w:t>
            </w:r>
          </w:p>
        </w:tc>
        <w:tc>
          <w:tcPr>
            <w:tcW w:w="1643" w:type="dxa"/>
            <w:vAlign w:val="center"/>
          </w:tcPr>
          <w:p>
            <w:pPr>
              <w:pStyle w:val="16"/>
              <w:rPr>
                <w:color w:val="auto"/>
              </w:rPr>
            </w:pPr>
            <w:r>
              <w:rPr>
                <w:color w:val="auto"/>
              </w:rPr>
              <w:t>离休费</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9.56</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9.56</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18</w:t>
            </w:r>
          </w:p>
        </w:tc>
        <w:tc>
          <w:tcPr>
            <w:tcW w:w="1643" w:type="dxa"/>
            <w:vAlign w:val="center"/>
          </w:tcPr>
          <w:p>
            <w:pPr>
              <w:pStyle w:val="16"/>
              <w:rPr>
                <w:color w:val="auto"/>
              </w:rPr>
            </w:pPr>
            <w:r>
              <w:rPr>
                <w:color w:val="auto"/>
              </w:rPr>
              <w:t>30302</w:t>
            </w:r>
          </w:p>
        </w:tc>
        <w:tc>
          <w:tcPr>
            <w:tcW w:w="1643" w:type="dxa"/>
            <w:vAlign w:val="center"/>
          </w:tcPr>
          <w:p>
            <w:pPr>
              <w:pStyle w:val="16"/>
              <w:rPr>
                <w:color w:val="auto"/>
              </w:rPr>
            </w:pPr>
            <w:r>
              <w:rPr>
                <w:color w:val="auto"/>
              </w:rPr>
              <w:t>退休费</w:t>
            </w:r>
          </w:p>
        </w:tc>
        <w:tc>
          <w:tcPr>
            <w:tcW w:w="1643" w:type="dxa"/>
            <w:vAlign w:val="center"/>
          </w:tcPr>
          <w:p>
            <w:pPr>
              <w:pStyle w:val="15"/>
              <w:rPr>
                <w:color w:val="auto"/>
              </w:rPr>
            </w:pPr>
            <w:r>
              <w:rPr>
                <w:color w:val="auto"/>
              </w:rPr>
              <w:t>1.79</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1.79</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19</w:t>
            </w:r>
          </w:p>
        </w:tc>
        <w:tc>
          <w:tcPr>
            <w:tcW w:w="1643" w:type="dxa"/>
            <w:vAlign w:val="center"/>
          </w:tcPr>
          <w:p>
            <w:pPr>
              <w:pStyle w:val="16"/>
              <w:rPr>
                <w:color w:val="auto"/>
              </w:rPr>
            </w:pPr>
            <w:r>
              <w:rPr>
                <w:color w:val="auto"/>
              </w:rPr>
              <w:t>30305</w:t>
            </w:r>
          </w:p>
        </w:tc>
        <w:tc>
          <w:tcPr>
            <w:tcW w:w="1643" w:type="dxa"/>
            <w:vAlign w:val="center"/>
          </w:tcPr>
          <w:p>
            <w:pPr>
              <w:pStyle w:val="16"/>
              <w:rPr>
                <w:color w:val="auto"/>
              </w:rPr>
            </w:pPr>
            <w:r>
              <w:rPr>
                <w:color w:val="auto"/>
              </w:rPr>
              <w:t>生活补助</w:t>
            </w:r>
          </w:p>
        </w:tc>
        <w:tc>
          <w:tcPr>
            <w:tcW w:w="1643" w:type="dxa"/>
            <w:vAlign w:val="center"/>
          </w:tcPr>
          <w:p>
            <w:pPr>
              <w:pStyle w:val="15"/>
              <w:rPr>
                <w:color w:val="auto"/>
              </w:rPr>
            </w:pPr>
            <w:r>
              <w:rPr>
                <w:color w:val="auto"/>
              </w:rPr>
              <w:t>5.08</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5.08</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color w:val="auto"/>
              </w:rPr>
            </w:pPr>
            <w:r>
              <w:rPr>
                <w:color w:val="auto"/>
              </w:rPr>
              <w:t>20</w:t>
            </w:r>
          </w:p>
        </w:tc>
        <w:tc>
          <w:tcPr>
            <w:tcW w:w="1643" w:type="dxa"/>
            <w:vAlign w:val="center"/>
          </w:tcPr>
          <w:p>
            <w:pPr>
              <w:pStyle w:val="16"/>
              <w:rPr>
                <w:rFonts w:hint="default" w:eastAsia="方正书宋_GBK"/>
                <w:color w:val="auto"/>
                <w:lang w:val="en-US" w:eastAsia="zh-CN"/>
              </w:rPr>
            </w:pPr>
            <w:r>
              <w:rPr>
                <w:rFonts w:hint="eastAsia"/>
                <w:color w:val="auto"/>
                <w:lang w:val="en-US" w:eastAsia="zh-CN"/>
              </w:rPr>
              <w:t>30309</w:t>
            </w:r>
          </w:p>
        </w:tc>
        <w:tc>
          <w:tcPr>
            <w:tcW w:w="1643" w:type="dxa"/>
            <w:vAlign w:val="center"/>
          </w:tcPr>
          <w:p>
            <w:pPr>
              <w:pStyle w:val="16"/>
              <w:rPr>
                <w:rFonts w:hint="eastAsia" w:eastAsia="方正书宋_GBK"/>
                <w:color w:val="auto"/>
                <w:lang w:val="en-US" w:eastAsia="zh-CN"/>
              </w:rPr>
            </w:pPr>
            <w:r>
              <w:rPr>
                <w:rFonts w:hint="eastAsia"/>
                <w:color w:val="auto"/>
                <w:lang w:val="en-US" w:eastAsia="zh-CN"/>
              </w:rPr>
              <w:t>奖励金</w:t>
            </w:r>
          </w:p>
        </w:tc>
        <w:tc>
          <w:tcPr>
            <w:tcW w:w="1643" w:type="dxa"/>
            <w:vAlign w:val="center"/>
          </w:tcPr>
          <w:p>
            <w:pPr>
              <w:pStyle w:val="15"/>
              <w:rPr>
                <w:rFonts w:hint="default" w:eastAsia="方正书宋_GBK"/>
                <w:color w:val="auto"/>
                <w:lang w:val="en-US" w:eastAsia="zh-CN"/>
              </w:rPr>
            </w:pPr>
            <w:r>
              <w:rPr>
                <w:rFonts w:hint="eastAsia"/>
                <w:color w:val="auto"/>
                <w:lang w:val="en-US" w:eastAsia="zh-CN"/>
              </w:rPr>
              <w:t>93.49</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93.49</w:t>
            </w:r>
          </w:p>
        </w:tc>
        <w:tc>
          <w:tcPr>
            <w:tcW w:w="164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color w:val="auto"/>
                <w:lang w:val="en-US" w:eastAsia="zh-CN"/>
              </w:rPr>
            </w:pPr>
            <w:r>
              <w:rPr>
                <w:rFonts w:hint="eastAsia"/>
                <w:color w:val="auto"/>
                <w:lang w:val="en-US" w:eastAsia="zh-CN"/>
              </w:rPr>
              <w:t>21</w:t>
            </w:r>
          </w:p>
        </w:tc>
        <w:tc>
          <w:tcPr>
            <w:tcW w:w="1643" w:type="dxa"/>
            <w:vAlign w:val="center"/>
          </w:tcPr>
          <w:p>
            <w:pPr>
              <w:pStyle w:val="16"/>
              <w:ind w:firstLine="0" w:firstLineChars="0"/>
              <w:rPr>
                <w:rFonts w:ascii="方正书宋_GBK" w:hAnsi="方正书宋_GBK" w:eastAsia="方正书宋_GBK" w:cs="方正书宋_GBK"/>
                <w:color w:val="auto"/>
                <w:sz w:val="21"/>
                <w:szCs w:val="24"/>
                <w:lang w:val="en-US" w:eastAsia="uk-UA" w:bidi="ar-SA"/>
              </w:rPr>
            </w:pPr>
            <w:r>
              <w:rPr>
                <w:color w:val="auto"/>
              </w:rPr>
              <w:t>30399</w:t>
            </w:r>
          </w:p>
        </w:tc>
        <w:tc>
          <w:tcPr>
            <w:tcW w:w="1643" w:type="dxa"/>
            <w:vAlign w:val="center"/>
          </w:tcPr>
          <w:p>
            <w:pPr>
              <w:pStyle w:val="16"/>
              <w:ind w:firstLine="0" w:firstLineChars="0"/>
              <w:rPr>
                <w:rFonts w:ascii="方正书宋_GBK" w:hAnsi="方正书宋_GBK" w:eastAsia="方正书宋_GBK" w:cs="方正书宋_GBK"/>
                <w:color w:val="auto"/>
                <w:sz w:val="21"/>
                <w:szCs w:val="24"/>
                <w:lang w:val="en-US" w:eastAsia="uk-UA" w:bidi="ar-SA"/>
              </w:rPr>
            </w:pPr>
            <w:r>
              <w:rPr>
                <w:color w:val="auto"/>
              </w:rPr>
              <w:t>其他对个人和家庭的补助</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290.8</w:t>
            </w:r>
          </w:p>
        </w:tc>
        <w:tc>
          <w:tcPr>
            <w:tcW w:w="1643" w:type="dxa"/>
            <w:vAlign w:val="center"/>
          </w:tcPr>
          <w:p>
            <w:pPr>
              <w:pStyle w:val="15"/>
              <w:ind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val="en-US" w:eastAsia="zh-CN"/>
              </w:rPr>
              <w:t>290.8</w:t>
            </w:r>
          </w:p>
        </w:tc>
        <w:tc>
          <w:tcPr>
            <w:tcW w:w="1643" w:type="dxa"/>
            <w:vAlign w:val="center"/>
          </w:tcPr>
          <w:p>
            <w:pPr>
              <w:pStyle w:val="15"/>
              <w:ind w:firstLine="0" w:firstLineChars="0"/>
              <w:rPr>
                <w:rFonts w:ascii="方正书宋_GBK" w:hAnsi="方正书宋_GBK" w:eastAsia="方正书宋_GBK" w:cs="方正书宋_GBK"/>
                <w:color w:val="auto"/>
                <w:sz w:val="21"/>
                <w:szCs w:val="24"/>
                <w:lang w:val="en-US" w:eastAsia="uk-UA" w:bidi="ar-SA"/>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116沙河市发展和改革局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w:t>
            </w:r>
          </w:p>
        </w:tc>
        <w:tc>
          <w:tcPr>
            <w:tcW w:w="3798" w:type="dxa"/>
            <w:vAlign w:val="center"/>
          </w:tcPr>
          <w:p>
            <w:pPr>
              <w:pStyle w:val="18"/>
              <w:rPr>
                <w:color w:val="auto"/>
              </w:rPr>
            </w:pPr>
            <w:r>
              <w:rPr>
                <w:color w:val="auto"/>
              </w:rPr>
              <w:t>合计</w:t>
            </w:r>
          </w:p>
        </w:tc>
        <w:tc>
          <w:tcPr>
            <w:tcW w:w="2381" w:type="dxa"/>
            <w:vAlign w:val="center"/>
          </w:tcPr>
          <w:p>
            <w:pPr>
              <w:pStyle w:val="19"/>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9"/>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9"/>
              <w:rPr>
                <w:color w:val="auto"/>
              </w:rPr>
            </w:pPr>
          </w:p>
        </w:tc>
        <w:tc>
          <w:tcPr>
            <w:tcW w:w="2381"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2</w:t>
            </w:r>
          </w:p>
        </w:tc>
        <w:tc>
          <w:tcPr>
            <w:tcW w:w="3798" w:type="dxa"/>
            <w:vAlign w:val="center"/>
          </w:tcPr>
          <w:p>
            <w:pPr>
              <w:pStyle w:val="16"/>
              <w:rPr>
                <w:color w:val="auto"/>
              </w:rPr>
            </w:pPr>
            <w:r>
              <w:rPr>
                <w:color w:val="auto"/>
              </w:rPr>
              <w:t>“三公”经费小计</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7.2</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3</w:t>
            </w:r>
          </w:p>
        </w:tc>
        <w:tc>
          <w:tcPr>
            <w:tcW w:w="3798" w:type="dxa"/>
            <w:vAlign w:val="center"/>
          </w:tcPr>
          <w:p>
            <w:pPr>
              <w:pStyle w:val="16"/>
              <w:rPr>
                <w:color w:val="auto"/>
              </w:rPr>
            </w:pPr>
            <w:r>
              <w:rPr>
                <w:color w:val="auto"/>
              </w:rPr>
              <w:t>一、因公出国（境）费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4</w:t>
            </w:r>
          </w:p>
        </w:tc>
        <w:tc>
          <w:tcPr>
            <w:tcW w:w="3798" w:type="dxa"/>
            <w:vAlign w:val="center"/>
          </w:tcPr>
          <w:p>
            <w:pPr>
              <w:pStyle w:val="16"/>
              <w:rPr>
                <w:color w:val="auto"/>
              </w:rPr>
            </w:pPr>
            <w:r>
              <w:rPr>
                <w:color w:val="auto"/>
              </w:rPr>
              <w:t xml:space="preserve">    其中：教学科研人员因公出国（境）费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5</w:t>
            </w:r>
          </w:p>
        </w:tc>
        <w:tc>
          <w:tcPr>
            <w:tcW w:w="3798" w:type="dxa"/>
            <w:vAlign w:val="center"/>
          </w:tcPr>
          <w:p>
            <w:pPr>
              <w:pStyle w:val="16"/>
              <w:rPr>
                <w:color w:val="auto"/>
              </w:rPr>
            </w:pPr>
            <w:r>
              <w:rPr>
                <w:color w:val="auto"/>
              </w:rPr>
              <w:t xml:space="preserve">          其他因公出国（境）费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6</w:t>
            </w:r>
          </w:p>
        </w:tc>
        <w:tc>
          <w:tcPr>
            <w:tcW w:w="3798" w:type="dxa"/>
            <w:vAlign w:val="center"/>
          </w:tcPr>
          <w:p>
            <w:pPr>
              <w:pStyle w:val="16"/>
              <w:rPr>
                <w:color w:val="auto"/>
              </w:rPr>
            </w:pPr>
            <w:r>
              <w:rPr>
                <w:color w:val="auto"/>
              </w:rPr>
              <w:t>二、公务用车购置及运维费</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7</w:t>
            </w:r>
          </w:p>
        </w:tc>
        <w:tc>
          <w:tcPr>
            <w:tcW w:w="3798" w:type="dxa"/>
            <w:vAlign w:val="center"/>
          </w:tcPr>
          <w:p>
            <w:pPr>
              <w:pStyle w:val="16"/>
              <w:rPr>
                <w:color w:val="auto"/>
              </w:rPr>
            </w:pPr>
            <w:r>
              <w:rPr>
                <w:color w:val="auto"/>
              </w:rPr>
              <w:t xml:space="preserve">    其中：公务用车购置费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8</w:t>
            </w:r>
          </w:p>
        </w:tc>
        <w:tc>
          <w:tcPr>
            <w:tcW w:w="3798" w:type="dxa"/>
            <w:vAlign w:val="center"/>
          </w:tcPr>
          <w:p>
            <w:pPr>
              <w:pStyle w:val="16"/>
              <w:rPr>
                <w:color w:val="auto"/>
              </w:rPr>
            </w:pPr>
            <w:r>
              <w:rPr>
                <w:color w:val="auto"/>
              </w:rPr>
              <w:t xml:space="preserve">          公务用车运行维护费</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rFonts w:hint="eastAsia" w:eastAsia="方正书宋_GBK"/>
                <w:color w:val="auto"/>
                <w:lang w:val="en-US" w:eastAsia="zh-CN"/>
              </w:rPr>
            </w:pPr>
            <w:r>
              <w:rPr>
                <w:rFonts w:hint="eastAsia"/>
                <w:color w:val="auto"/>
                <w:lang w:val="en-US" w:eastAsia="zh-CN"/>
              </w:rPr>
              <w:t>6</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9</w:t>
            </w:r>
          </w:p>
        </w:tc>
        <w:tc>
          <w:tcPr>
            <w:tcW w:w="3798" w:type="dxa"/>
            <w:vAlign w:val="center"/>
          </w:tcPr>
          <w:p>
            <w:pPr>
              <w:pStyle w:val="16"/>
              <w:rPr>
                <w:color w:val="auto"/>
              </w:rPr>
            </w:pPr>
            <w:r>
              <w:rPr>
                <w:color w:val="auto"/>
              </w:rPr>
              <w:t>三、公务接待费</w:t>
            </w:r>
          </w:p>
        </w:tc>
        <w:tc>
          <w:tcPr>
            <w:tcW w:w="2381" w:type="dxa"/>
            <w:vAlign w:val="center"/>
          </w:tcPr>
          <w:p>
            <w:pPr>
              <w:pStyle w:val="15"/>
              <w:rPr>
                <w:rFonts w:hint="default" w:eastAsia="方正书宋_GBK"/>
                <w:color w:val="auto"/>
                <w:lang w:val="en-US" w:eastAsia="zh-CN"/>
              </w:rPr>
            </w:pPr>
            <w:r>
              <w:rPr>
                <w:rFonts w:hint="eastAsia"/>
                <w:color w:val="auto"/>
                <w:lang w:val="en-US" w:eastAsia="zh-CN"/>
              </w:rPr>
              <w:t>1.2</w:t>
            </w:r>
          </w:p>
        </w:tc>
        <w:tc>
          <w:tcPr>
            <w:tcW w:w="2381" w:type="dxa"/>
            <w:vAlign w:val="center"/>
          </w:tcPr>
          <w:p>
            <w:pPr>
              <w:pStyle w:val="15"/>
              <w:rPr>
                <w:color w:val="auto"/>
              </w:rPr>
            </w:pPr>
            <w:r>
              <w:rPr>
                <w:rFonts w:hint="eastAsia"/>
                <w:color w:val="auto"/>
                <w:lang w:val="en-US" w:eastAsia="zh-CN"/>
              </w:rPr>
              <w:t>1.2</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10</w:t>
            </w:r>
          </w:p>
        </w:tc>
        <w:tc>
          <w:tcPr>
            <w:tcW w:w="3798" w:type="dxa"/>
            <w:vAlign w:val="center"/>
          </w:tcPr>
          <w:p>
            <w:pPr>
              <w:pStyle w:val="16"/>
              <w:rPr>
                <w:color w:val="auto"/>
              </w:rPr>
            </w:pPr>
            <w:r>
              <w:rPr>
                <w:color w:val="auto"/>
              </w:rPr>
              <w:t>四、会议费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r>
              <w:rPr>
                <w:color w:val="auto"/>
              </w:rPr>
              <w:t>11</w:t>
            </w:r>
          </w:p>
        </w:tc>
        <w:tc>
          <w:tcPr>
            <w:tcW w:w="3798" w:type="dxa"/>
            <w:vAlign w:val="center"/>
          </w:tcPr>
          <w:p>
            <w:pPr>
              <w:pStyle w:val="16"/>
              <w:rPr>
                <w:color w:val="auto"/>
              </w:rPr>
            </w:pPr>
            <w:r>
              <w:rPr>
                <w:color w:val="auto"/>
              </w:rPr>
              <w:t>五、培训费</w:t>
            </w: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沙河市发展和改革局</w:t>
      </w:r>
      <w:r>
        <w:rPr>
          <w:rFonts w:hint="eastAsia" w:ascii="方正小标宋_GBK" w:hAnsi="方正小标宋_GBK" w:eastAsia="方正小标宋_GBK" w:cs="方正小标宋_GBK"/>
          <w:b w:val="0"/>
          <w:color w:val="auto"/>
          <w:sz w:val="44"/>
          <w:lang w:eastAsia="zh-CN"/>
        </w:rPr>
        <w:t>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》、《地方预决算公开操作规程》和《关于进一步推进预算公开工作的实施意见》规定，现将沙河市发展和改革局</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pStyle w:val="29"/>
        <w:rPr>
          <w:color w:val="auto"/>
        </w:rPr>
      </w:pPr>
      <w:r>
        <w:rPr>
          <w:color w:val="auto"/>
        </w:rPr>
        <w:t>（一）</w:t>
      </w:r>
      <w:r>
        <w:rPr>
          <w:rFonts w:hint="eastAsia"/>
          <w:color w:val="auto"/>
          <w:lang w:eastAsia="zh-CN"/>
        </w:rPr>
        <w:t>拟定</w:t>
      </w:r>
      <w:r>
        <w:rPr>
          <w:color w:val="auto"/>
        </w:rPr>
        <w:t>并组织实施全市国民经济和社会发展战略、中长期规划和年度计划。牵头组织统一规划体系建设。负责全市专项规划、区域规划、空间规划与市发展规划的统筹衔接。贯彻落实国民经济和社会发展、经济体制改革和对外开放的有关法规，制定规范性文件。</w:t>
      </w:r>
    </w:p>
    <w:p>
      <w:pPr>
        <w:pStyle w:val="29"/>
        <w:rPr>
          <w:color w:val="auto"/>
        </w:rPr>
      </w:pPr>
      <w:r>
        <w:rPr>
          <w:color w:val="auto"/>
        </w:rPr>
        <w:t>（二）提出加快建设全市现代化经济体系、推动高质量发展的总体目标、重大任务以及相关政策。组织开展重大战略规划、重大政策、重大工程等的评估督导，提出相关调整建议。</w:t>
      </w:r>
    </w:p>
    <w:p>
      <w:pPr>
        <w:pStyle w:val="29"/>
        <w:rPr>
          <w:color w:val="auto"/>
        </w:rPr>
      </w:pPr>
      <w:r>
        <w:rPr>
          <w:color w:val="auto"/>
        </w:rPr>
        <w:t>（三）贯彻落实国家、省和邢台市宏观调控政策，统筹提出全市国民经济和社会发展主要目标，监测预警宏观经济和社会发展态势趋势，提出经济调节政策建议。综合协调经济调节政策，牵头研究应对措施。调节经济运行，协调解决经济运行中的重大问题。</w:t>
      </w:r>
      <w:r>
        <w:rPr>
          <w:rFonts w:hint="eastAsia"/>
          <w:color w:val="auto"/>
          <w:lang w:eastAsia="zh-CN"/>
        </w:rPr>
        <w:t>拟定</w:t>
      </w:r>
      <w:r>
        <w:rPr>
          <w:color w:val="auto"/>
        </w:rPr>
        <w:t>并组织实施有关价格政策，组织制定由我市管理的重要商品、服务价格和重要收费标准。参与贯彻落实国家、省和邢台市财政政策、货币政策和土地政策。</w:t>
      </w:r>
    </w:p>
    <w:p>
      <w:pPr>
        <w:pStyle w:val="29"/>
        <w:rPr>
          <w:color w:val="auto"/>
        </w:rPr>
      </w:pPr>
      <w:r>
        <w:rPr>
          <w:color w:val="auto"/>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推进优化营商环境工作。</w:t>
      </w:r>
    </w:p>
    <w:p>
      <w:pPr>
        <w:pStyle w:val="29"/>
        <w:rPr>
          <w:color w:val="auto"/>
        </w:rPr>
      </w:pPr>
      <w:r>
        <w:rPr>
          <w:color w:val="auto"/>
        </w:rPr>
        <w:t>（五）提出全市利用外资和境外投资的战略、规划、总量平衡和结构优化政策。推进实施全市“一带一路”建设有关工作。承担统筹协调走出去有关工作。配合有关部门贯彻落实国家外商投资准入负面清单。负责全市全口径外债的总量控制、结构优化和监测工作。</w:t>
      </w:r>
    </w:p>
    <w:p>
      <w:pPr>
        <w:pStyle w:val="29"/>
        <w:rPr>
          <w:color w:val="auto"/>
        </w:rPr>
      </w:pPr>
      <w:r>
        <w:rPr>
          <w:color w:val="auto"/>
        </w:rPr>
        <w:t>（六）负责全市投资综合管理。</w:t>
      </w:r>
      <w:r>
        <w:rPr>
          <w:rFonts w:hint="eastAsia"/>
          <w:color w:val="auto"/>
          <w:lang w:eastAsia="zh-CN"/>
        </w:rPr>
        <w:t>拟定</w:t>
      </w:r>
      <w:r>
        <w:rPr>
          <w:color w:val="auto"/>
        </w:rPr>
        <w:t>全市固定资产投资总规模、结构调控目标和政策。安排全市预算内基本建设资金和有关发展性专项资金。规划全市重点建设项目和生产力布局，组织推动重点建设项目。</w:t>
      </w:r>
      <w:r>
        <w:rPr>
          <w:rFonts w:hint="eastAsia"/>
          <w:color w:val="auto"/>
          <w:lang w:eastAsia="zh-CN"/>
        </w:rPr>
        <w:t>拟定</w:t>
      </w:r>
      <w:r>
        <w:rPr>
          <w:color w:val="auto"/>
        </w:rPr>
        <w:t>并推动落实鼓励民间投资政策措施。</w:t>
      </w:r>
    </w:p>
    <w:p>
      <w:pPr>
        <w:pStyle w:val="29"/>
        <w:rPr>
          <w:color w:val="auto"/>
        </w:rPr>
      </w:pPr>
      <w:r>
        <w:rPr>
          <w:color w:val="auto"/>
        </w:rPr>
        <w:t>（七）推进落实区域协调发展战略、新型城镇化战略和重大政策，组织</w:t>
      </w:r>
      <w:r>
        <w:rPr>
          <w:rFonts w:hint="eastAsia"/>
          <w:color w:val="auto"/>
          <w:lang w:eastAsia="zh-CN"/>
        </w:rPr>
        <w:t>拟定</w:t>
      </w:r>
      <w:r>
        <w:rPr>
          <w:color w:val="auto"/>
        </w:rPr>
        <w:t>相关区域规划和政策。推进实施京津冀协同发展等区域发展战略。组织</w:t>
      </w:r>
      <w:r>
        <w:rPr>
          <w:rFonts w:hint="eastAsia"/>
          <w:color w:val="auto"/>
          <w:lang w:eastAsia="zh-CN"/>
        </w:rPr>
        <w:t>拟定</w:t>
      </w:r>
      <w:r>
        <w:rPr>
          <w:color w:val="auto"/>
        </w:rPr>
        <w:t>和实施特殊困难地区发展规划和政策。统筹协调区域合作和对口支援工作。组织编制并推动实施新型城镇化规划。</w:t>
      </w:r>
    </w:p>
    <w:p>
      <w:pPr>
        <w:pStyle w:val="29"/>
        <w:rPr>
          <w:color w:val="auto"/>
        </w:rPr>
      </w:pPr>
      <w:r>
        <w:rPr>
          <w:color w:val="auto"/>
        </w:rPr>
        <w:t>（八）组织贯彻实施国家、省和邢台市产业政策，</w:t>
      </w:r>
      <w:r>
        <w:rPr>
          <w:rFonts w:hint="eastAsia"/>
          <w:color w:val="auto"/>
          <w:lang w:eastAsia="zh-CN"/>
        </w:rPr>
        <w:t>拟定</w:t>
      </w:r>
      <w:r>
        <w:rPr>
          <w:color w:val="auto"/>
        </w:rPr>
        <w:t>全市综合性产业政策。协调一二三产业发展重大问题并统筹衔接相关发展规划和重大政策。协调推进重大基础设施建设发展，组织</w:t>
      </w:r>
      <w:r>
        <w:rPr>
          <w:rFonts w:hint="eastAsia"/>
          <w:color w:val="auto"/>
          <w:lang w:eastAsia="zh-CN"/>
        </w:rPr>
        <w:t>拟定</w:t>
      </w:r>
      <w:r>
        <w:rPr>
          <w:color w:val="auto"/>
        </w:rPr>
        <w:t>并推动实施服务业及现代物流业战略规划和重大政策。综合研判消费变动趋势，</w:t>
      </w:r>
      <w:r>
        <w:rPr>
          <w:rFonts w:hint="eastAsia"/>
          <w:color w:val="auto"/>
          <w:lang w:eastAsia="zh-CN"/>
        </w:rPr>
        <w:t>拟定</w:t>
      </w:r>
      <w:r>
        <w:rPr>
          <w:color w:val="auto"/>
        </w:rPr>
        <w:t>实施促进消费的综合性政策措施。</w:t>
      </w:r>
    </w:p>
    <w:p>
      <w:pPr>
        <w:pStyle w:val="29"/>
        <w:rPr>
          <w:color w:val="auto"/>
        </w:rPr>
      </w:pPr>
      <w:r>
        <w:rPr>
          <w:color w:val="auto"/>
        </w:rPr>
        <w:t>（九）推动实施创新驱动发展战略。会同相关部门</w:t>
      </w:r>
      <w:r>
        <w:rPr>
          <w:rFonts w:hint="eastAsia"/>
          <w:color w:val="auto"/>
          <w:lang w:eastAsia="zh-CN"/>
        </w:rPr>
        <w:t>拟定</w:t>
      </w:r>
      <w:r>
        <w:rPr>
          <w:color w:val="auto"/>
        </w:rPr>
        <w:t>全市推进创新创业的规划和政策，提出创新发展和培育经济发展新动能的政策。会同相关部门规划布局重大科技基础设施。组织</w:t>
      </w:r>
      <w:r>
        <w:rPr>
          <w:rFonts w:hint="eastAsia"/>
          <w:color w:val="auto"/>
          <w:lang w:eastAsia="zh-CN"/>
        </w:rPr>
        <w:t>拟定</w:t>
      </w:r>
      <w:r>
        <w:rPr>
          <w:color w:val="auto"/>
        </w:rPr>
        <w:t>并推动实施高技术产业和战略性新兴产业及数字经济发展规划政策，协调产业升级、重大技术装备推广应用等方面的重大问题。</w:t>
      </w:r>
    </w:p>
    <w:p>
      <w:pPr>
        <w:pStyle w:val="29"/>
        <w:rPr>
          <w:color w:val="auto"/>
        </w:rPr>
      </w:pPr>
      <w:r>
        <w:rPr>
          <w:color w:val="auto"/>
        </w:rPr>
        <w:t>（十）跟踪研判涉及经济安全、生态安全、资源安全、科技安全、社会安全等各类风险隐患，提出相关工作建议。协调落实重要工业品、原材料和重要农产品进出口调控措施。</w:t>
      </w:r>
    </w:p>
    <w:p>
      <w:pPr>
        <w:pStyle w:val="29"/>
        <w:rPr>
          <w:color w:val="auto"/>
        </w:rPr>
      </w:pPr>
      <w:r>
        <w:rPr>
          <w:color w:val="auto"/>
        </w:rPr>
        <w:t>（十一）负责全市社会发展与国民经济发展的政策衔接，协调有关重大问题。组织</w:t>
      </w:r>
      <w:r>
        <w:rPr>
          <w:rFonts w:hint="eastAsia"/>
          <w:color w:val="auto"/>
          <w:lang w:eastAsia="zh-CN"/>
        </w:rPr>
        <w:t>拟定</w:t>
      </w:r>
      <w:r>
        <w:rPr>
          <w:color w:val="auto"/>
        </w:rPr>
        <w:t>社会发展战略、总体规划，统筹推进基本公共服务体系建设和收入分配制度改革，提出促进就业、完善社会保障与经济协调发展的政策建议。</w:t>
      </w:r>
    </w:p>
    <w:p>
      <w:pPr>
        <w:pStyle w:val="29"/>
        <w:rPr>
          <w:color w:val="auto"/>
        </w:rPr>
      </w:pPr>
      <w:r>
        <w:rPr>
          <w:color w:val="auto"/>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29"/>
        <w:rPr>
          <w:color w:val="auto"/>
        </w:rPr>
      </w:pPr>
      <w:r>
        <w:rPr>
          <w:color w:val="auto"/>
        </w:rPr>
        <w:t>（十三）组织编制全市国民经济动员规划、计划，研究国民经济动员与经济建设、国防建设的关系，协调相关重大问题，组织实施全市国民经济动员有关工作。承担市国防动员委员会交办的有关具体工作。组织</w:t>
      </w:r>
      <w:r>
        <w:rPr>
          <w:rFonts w:hint="eastAsia"/>
          <w:color w:val="auto"/>
          <w:lang w:eastAsia="zh-CN"/>
        </w:rPr>
        <w:t>拟定</w:t>
      </w:r>
      <w:r>
        <w:rPr>
          <w:color w:val="auto"/>
        </w:rPr>
        <w:t>推进全市经济建设与国防建设协调发展的战略和规划，组织推进经济建设项目贯彻国防要求。</w:t>
      </w:r>
    </w:p>
    <w:p>
      <w:pPr>
        <w:pStyle w:val="29"/>
        <w:rPr>
          <w:color w:val="auto"/>
        </w:rPr>
      </w:pPr>
      <w:r>
        <w:rPr>
          <w:color w:val="auto"/>
        </w:rPr>
        <w:t>（十四）贯彻落实党中央、省委、邢台市委和沙河市委关于能源管理工作的方针政策和决策部署，坚持和加强党对能源管理工作的集中统一领导，提出能源发展战略的建议，</w:t>
      </w:r>
      <w:r>
        <w:rPr>
          <w:rFonts w:hint="eastAsia"/>
          <w:color w:val="auto"/>
          <w:lang w:eastAsia="zh-CN"/>
        </w:rPr>
        <w:t>拟定</w:t>
      </w:r>
      <w:r>
        <w:rPr>
          <w:color w:val="auto"/>
        </w:rPr>
        <w:t>能源发展规划、产业政策和年度指导计划并组织实施。起草有关能源行业的政策措施。推进能源体制改革，</w:t>
      </w:r>
      <w:r>
        <w:rPr>
          <w:rFonts w:hint="eastAsia"/>
          <w:color w:val="auto"/>
          <w:lang w:eastAsia="zh-CN"/>
        </w:rPr>
        <w:t>拟定</w:t>
      </w:r>
      <w:r>
        <w:rPr>
          <w:color w:val="auto"/>
        </w:rPr>
        <w:t>有关改革方案并组织实施。协调能源发展和改革中的重大问题。组织实施煤炭、石油、天然气、电力（核电）、新能源和可再生能源等能源，以及炼油、煤制燃料和生物质液体等燃料的产业政策和相关标准。指导协调农村能源发展工作。组织推进能源重大设备研发，指导能源科技进步、成套设备的引进消化创新，组织协调相关示范工程和推广应用新产品、新技术、新设备。负责核电管理及相关项目申报。负责能源行业节能和资源综合利用。参与研究能源消费总量控制目标建议，指导、监督能源消费总量控制有关工作，衔接能源生产建设和供需平衡。负责能源</w:t>
      </w:r>
      <w:r>
        <w:rPr>
          <w:rFonts w:hint="eastAsia"/>
          <w:color w:val="auto"/>
          <w:lang w:val="en-US" w:eastAsia="zh-CN"/>
        </w:rPr>
        <w:t>监</w:t>
      </w:r>
      <w:r>
        <w:rPr>
          <w:color w:val="auto"/>
        </w:rPr>
        <w:t>测预警。发布能源信息，参与能源运行调节和应急保障。监管油气、新能源市场运行，规范能源市场秩序。监管油气管网实施的公平开放，参与电力市场的监管。参与组织推进能源国际合作。参与制定与能源相关的资源、财税、环保及应对气候变化等政策，提出能源价格调整建议。</w:t>
      </w:r>
    </w:p>
    <w:p>
      <w:pPr>
        <w:pStyle w:val="29"/>
        <w:rPr>
          <w:color w:val="auto"/>
        </w:rPr>
      </w:pPr>
      <w:r>
        <w:rPr>
          <w:color w:val="auto"/>
        </w:rPr>
        <w:t>（十五）组织落实国家、省、邢台市、沙河市有关粮食流通和物资储备的法律、法规和政策。</w:t>
      </w:r>
      <w:r>
        <w:rPr>
          <w:rFonts w:hint="eastAsia"/>
          <w:color w:val="auto"/>
          <w:lang w:eastAsia="zh-CN"/>
        </w:rPr>
        <w:t>拟定</w:t>
      </w:r>
      <w:r>
        <w:rPr>
          <w:color w:val="auto"/>
        </w:rPr>
        <w:t>全市粮食流通、粮食储备和物资储备的政策和规章制度并组织实施。指导全市粮食流通和物资储备体制改革。落实国家、省和邢台市粮食行业发展规划和政策，制定全市粮食行业发展规划并组织实施。承担全市粮食流通宏观调控，落实国家、省和邢台市粮食购销政策，负责粮食、食糖、食盐等物资管理工作，监测市内粮食、食糖、食盐等物资供求变化并预警。承担粮食安全责任制考核日常工作。研究提出全市粮食和物资储备规划、储备品种目录建议，组织实施全市粮食、食糖、食盐和救灾物资等物资的收储、轮换和日常管理，落实有关动用计划和指令。负责贯彻落实粮食和物资储备仓储管理有关技术标准和规范，负责粮食流通、加工行业安全生产的监督管理，承担粮食、食糖、食盐和救灾物资等物资承储企业以及物资储备承储单位安全生产的监管责任。负责粮食、食糖、食盐和救灾物资等物资储备基础设施建设和管理。</w:t>
      </w:r>
      <w:r>
        <w:rPr>
          <w:rFonts w:hint="eastAsia"/>
          <w:color w:val="auto"/>
          <w:lang w:eastAsia="zh-CN"/>
        </w:rPr>
        <w:t>拟定</w:t>
      </w:r>
      <w:r>
        <w:rPr>
          <w:color w:val="auto"/>
        </w:rPr>
        <w:t>粮食流通设施建设规划并组织实施，管理有关储备基础设施和粮食流通设施投资项目。负责对粮食、食糖、食盐和救灾物资等物资储备的数量、质量和储存安全实施监督管理，对其他部门管理的物资储备进行监督指导。负责粮食流通执法督查，负责粮食收购、储存、运输环节粮食质量安全和原粮卫生的监督管理，组织实施全市粮食库存检查工作。贯彻国家和省粮食流通和物资储备有关标准、粮食质量标准和有关技术规范并监督执行。开展全市粮食和物资储备的对外合作与交流。</w:t>
      </w:r>
    </w:p>
    <w:p>
      <w:pPr>
        <w:pStyle w:val="29"/>
        <w:rPr>
          <w:color w:val="auto"/>
        </w:rPr>
      </w:pPr>
      <w:r>
        <w:rPr>
          <w:color w:val="auto"/>
        </w:rPr>
        <w:t>（十六）负责全市口岸规划、建设、开放和管理工作。</w:t>
      </w:r>
    </w:p>
    <w:p>
      <w:pPr>
        <w:pStyle w:val="29"/>
        <w:rPr>
          <w:color w:val="auto"/>
        </w:rPr>
      </w:pPr>
      <w:r>
        <w:rPr>
          <w:color w:val="auto"/>
        </w:rPr>
        <w:t>（十七）完成市委、市政府交办的其他任务。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color w:val="auto"/>
              </w:rPr>
            </w:pPr>
            <w:r>
              <w:rPr>
                <w:color w:val="auto"/>
              </w:rPr>
              <w:t>单位名称</w:t>
            </w:r>
          </w:p>
        </w:tc>
        <w:tc>
          <w:tcPr>
            <w:tcW w:w="1843" w:type="dxa"/>
            <w:vAlign w:val="center"/>
          </w:tcPr>
          <w:p>
            <w:pPr>
              <w:pStyle w:val="14"/>
              <w:rPr>
                <w:color w:val="auto"/>
              </w:rPr>
            </w:pPr>
            <w:r>
              <w:rPr>
                <w:color w:val="auto"/>
              </w:rPr>
              <w:t>单位性质</w:t>
            </w:r>
          </w:p>
        </w:tc>
        <w:tc>
          <w:tcPr>
            <w:tcW w:w="2126" w:type="dxa"/>
            <w:vAlign w:val="center"/>
          </w:tcPr>
          <w:p>
            <w:pPr>
              <w:pStyle w:val="14"/>
              <w:rPr>
                <w:color w:val="auto"/>
              </w:rPr>
            </w:pPr>
            <w:r>
              <w:rPr>
                <w:color w:val="auto"/>
              </w:rPr>
              <w:t>单位规格</w:t>
            </w:r>
          </w:p>
        </w:tc>
        <w:tc>
          <w:tcPr>
            <w:tcW w:w="3827"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color w:val="auto"/>
              </w:rPr>
            </w:pPr>
            <w:r>
              <w:rPr>
                <w:color w:val="auto"/>
              </w:rPr>
              <w:t>沙河市发展和改革局</w:t>
            </w:r>
          </w:p>
        </w:tc>
        <w:tc>
          <w:tcPr>
            <w:tcW w:w="1843" w:type="dxa"/>
            <w:vAlign w:val="center"/>
          </w:tcPr>
          <w:p>
            <w:pPr>
              <w:pStyle w:val="17"/>
              <w:rPr>
                <w:color w:val="auto"/>
              </w:rPr>
            </w:pPr>
            <w:r>
              <w:rPr>
                <w:color w:val="auto"/>
              </w:rPr>
              <w:t>行政</w:t>
            </w:r>
          </w:p>
        </w:tc>
        <w:tc>
          <w:tcPr>
            <w:tcW w:w="2126" w:type="dxa"/>
            <w:vAlign w:val="center"/>
          </w:tcPr>
          <w:p>
            <w:pPr>
              <w:pStyle w:val="17"/>
              <w:rPr>
                <w:color w:val="auto"/>
              </w:rPr>
            </w:pPr>
            <w:r>
              <w:rPr>
                <w:color w:val="auto"/>
              </w:rPr>
              <w:t>正科级</w:t>
            </w:r>
          </w:p>
        </w:tc>
        <w:tc>
          <w:tcPr>
            <w:tcW w:w="3827" w:type="dxa"/>
            <w:vAlign w:val="center"/>
          </w:tcPr>
          <w:p>
            <w:pPr>
              <w:pStyle w:val="17"/>
              <w:rPr>
                <w:color w:val="auto"/>
              </w:rPr>
            </w:pPr>
            <w:r>
              <w:rPr>
                <w:color w:val="auto"/>
              </w:rPr>
              <w:t>财政拨款</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我局</w:t>
      </w:r>
      <w:r>
        <w:rPr>
          <w:rFonts w:ascii="Times New Roman" w:hAnsi="Times New Roman" w:eastAsia="方正仿宋_GBK" w:cs="Times New Roman"/>
          <w:b w:val="0"/>
          <w:color w:val="auto"/>
          <w:sz w:val="28"/>
        </w:rPr>
        <w:t>单位预算的编制实行综合预算管理，即全部收入和支出都反映在预算中。</w:t>
      </w:r>
    </w:p>
    <w:p>
      <w:pPr>
        <w:pStyle w:val="30"/>
        <w:rPr>
          <w:color w:val="auto"/>
        </w:rPr>
      </w:pPr>
      <w:r>
        <w:rPr>
          <w:color w:val="auto"/>
        </w:rPr>
        <w:t>1、收入说明</w:t>
      </w:r>
    </w:p>
    <w:p>
      <w:pPr>
        <w:spacing w:line="610" w:lineRule="exact"/>
        <w:ind w:firstLine="640"/>
        <w:rPr>
          <w:rFonts w:ascii="??_GB2312" w:eastAsia="Times New Roman"/>
          <w:color w:val="auto"/>
          <w:sz w:val="32"/>
          <w:szCs w:val="32"/>
        </w:rPr>
      </w:pPr>
      <w:r>
        <w:rPr>
          <w:rFonts w:ascii="??_GB2312" w:eastAsia="Times New Roman"/>
          <w:color w:val="auto"/>
          <w:sz w:val="32"/>
          <w:szCs w:val="32"/>
        </w:rPr>
        <w:t>反映本部门当年全部收入。20</w:t>
      </w:r>
      <w:r>
        <w:rPr>
          <w:rFonts w:hint="eastAsia" w:ascii="??_GB2312"/>
          <w:color w:val="auto"/>
          <w:sz w:val="32"/>
          <w:szCs w:val="32"/>
          <w:lang w:val="en-US" w:eastAsia="zh-CN"/>
        </w:rPr>
        <w:t>21</w:t>
      </w:r>
      <w:r>
        <w:rPr>
          <w:rFonts w:ascii="??_GB2312" w:eastAsia="Times New Roman"/>
          <w:color w:val="auto"/>
          <w:sz w:val="32"/>
          <w:szCs w:val="32"/>
        </w:rPr>
        <w:t>年预算收入</w:t>
      </w:r>
      <w:r>
        <w:rPr>
          <w:rFonts w:hint="eastAsia" w:ascii="??_GB2312"/>
          <w:color w:val="auto"/>
          <w:sz w:val="32"/>
          <w:szCs w:val="32"/>
          <w:lang w:val="en-US" w:eastAsia="zh-CN"/>
        </w:rPr>
        <w:t>1143.59</w:t>
      </w:r>
      <w:r>
        <w:rPr>
          <w:rFonts w:ascii="??_GB2312" w:eastAsia="Times New Roman"/>
          <w:color w:val="auto"/>
          <w:sz w:val="32"/>
          <w:szCs w:val="32"/>
        </w:rPr>
        <w:t>万元，其中：一般公共预算收入</w:t>
      </w:r>
      <w:r>
        <w:rPr>
          <w:rFonts w:hint="eastAsia" w:ascii="??_GB2312"/>
          <w:color w:val="auto"/>
          <w:sz w:val="32"/>
          <w:szCs w:val="32"/>
          <w:lang w:val="en-US" w:eastAsia="zh-CN"/>
        </w:rPr>
        <w:t>1143.59</w:t>
      </w:r>
      <w:r>
        <w:rPr>
          <w:rFonts w:ascii="??_GB2312" w:eastAsia="Times New Roman"/>
          <w:color w:val="auto"/>
          <w:sz w:val="32"/>
          <w:szCs w:val="32"/>
        </w:rPr>
        <w:t>万元。</w:t>
      </w:r>
    </w:p>
    <w:p>
      <w:pPr>
        <w:pStyle w:val="30"/>
        <w:rPr>
          <w:color w:val="auto"/>
        </w:rPr>
      </w:pPr>
      <w:r>
        <w:rPr>
          <w:color w:val="auto"/>
        </w:rPr>
        <w:t>2、支出说明</w:t>
      </w:r>
    </w:p>
    <w:p>
      <w:pPr>
        <w:spacing w:line="610" w:lineRule="exact"/>
        <w:ind w:firstLine="640"/>
        <w:rPr>
          <w:color w:val="auto"/>
        </w:rPr>
      </w:pPr>
      <w:r>
        <w:rPr>
          <w:rFonts w:hint="eastAsia" w:ascii="??_GB2312" w:hAnsi="??_GB2312" w:cs="??_GB2312"/>
          <w:color w:val="auto"/>
          <w:sz w:val="32"/>
          <w:szCs w:val="32"/>
          <w:lang w:val="en-US" w:eastAsia="zh-CN"/>
        </w:rPr>
        <w:t>2021</w:t>
      </w:r>
      <w:r>
        <w:rPr>
          <w:rFonts w:hint="eastAsia" w:ascii="宋体" w:hAnsi="宋体" w:cs="宋体"/>
          <w:color w:val="auto"/>
          <w:sz w:val="32"/>
          <w:szCs w:val="32"/>
        </w:rPr>
        <w:t>年支出预算</w:t>
      </w:r>
      <w:r>
        <w:rPr>
          <w:rFonts w:hint="eastAsia" w:ascii="??_GB2312" w:hAnsi="??_GB2312" w:cs="??_GB2312"/>
          <w:color w:val="auto"/>
          <w:sz w:val="32"/>
          <w:szCs w:val="32"/>
          <w:lang w:val="en-US" w:eastAsia="zh-CN"/>
        </w:rPr>
        <w:t>1143.59</w:t>
      </w:r>
      <w:r>
        <w:rPr>
          <w:rFonts w:hint="eastAsia" w:ascii="宋体" w:hAnsi="宋体" w:cs="宋体"/>
          <w:color w:val="auto"/>
          <w:sz w:val="32"/>
          <w:szCs w:val="32"/>
        </w:rPr>
        <w:t>万元，其中基本支出</w:t>
      </w:r>
      <w:r>
        <w:rPr>
          <w:rFonts w:hint="eastAsia" w:ascii="宋体" w:hAnsi="宋体" w:cs="宋体"/>
          <w:color w:val="auto"/>
          <w:sz w:val="32"/>
          <w:szCs w:val="32"/>
          <w:lang w:val="en-US" w:eastAsia="zh-CN"/>
        </w:rPr>
        <w:t>1077.84</w:t>
      </w:r>
      <w:r>
        <w:rPr>
          <w:rFonts w:hint="eastAsia" w:ascii="宋体" w:hAnsi="宋体" w:cs="宋体"/>
          <w:color w:val="auto"/>
          <w:sz w:val="32"/>
          <w:szCs w:val="32"/>
        </w:rPr>
        <w:t>万元，包括人员经费和日常公用经费；项目支出</w:t>
      </w:r>
      <w:r>
        <w:rPr>
          <w:rFonts w:hint="eastAsia" w:ascii="??_GB2312" w:hAnsi="??_GB2312" w:cs="??_GB2312"/>
          <w:color w:val="auto"/>
          <w:sz w:val="32"/>
          <w:szCs w:val="32"/>
          <w:lang w:val="en-US" w:eastAsia="zh-CN"/>
        </w:rPr>
        <w:t>65.75</w:t>
      </w:r>
      <w:r>
        <w:rPr>
          <w:rFonts w:hint="eastAsia" w:ascii="宋体" w:hAnsi="宋体" w:cs="宋体"/>
          <w:color w:val="auto"/>
          <w:sz w:val="32"/>
          <w:szCs w:val="32"/>
        </w:rPr>
        <w:t>万元，主要是本级支出的机关运转经费。</w:t>
      </w:r>
    </w:p>
    <w:p>
      <w:pPr>
        <w:pStyle w:val="30"/>
        <w:rPr>
          <w:color w:val="auto"/>
        </w:rPr>
      </w:pPr>
      <w:r>
        <w:rPr>
          <w:color w:val="auto"/>
        </w:rPr>
        <w:t>3、比上年增减情况</w:t>
      </w:r>
    </w:p>
    <w:p>
      <w:pPr>
        <w:pStyle w:val="22"/>
        <w:rPr>
          <w:color w:val="auto"/>
        </w:rPr>
      </w:pPr>
      <w:r>
        <w:rPr>
          <w:rFonts w:hint="eastAsia" w:ascii="宋体" w:hAnsi="宋体" w:eastAsia="Times New Roman" w:cs="宋体"/>
          <w:color w:val="auto"/>
          <w:sz w:val="32"/>
          <w:szCs w:val="32"/>
          <w:lang w:val="en-US" w:eastAsia="uk-UA" w:bidi="ar-SA"/>
        </w:rPr>
        <w:t>20</w:t>
      </w:r>
      <w:r>
        <w:rPr>
          <w:rFonts w:hint="eastAsia" w:ascii="宋体" w:hAnsi="宋体" w:eastAsia="Times New Roman" w:cs="宋体"/>
          <w:color w:val="auto"/>
          <w:sz w:val="32"/>
          <w:szCs w:val="32"/>
          <w:lang w:val="en-US" w:eastAsia="zh-CN" w:bidi="ar-SA"/>
        </w:rPr>
        <w:t>21</w:t>
      </w:r>
      <w:r>
        <w:rPr>
          <w:rFonts w:hint="eastAsia" w:ascii="宋体" w:hAnsi="宋体" w:eastAsia="Times New Roman" w:cs="宋体"/>
          <w:color w:val="auto"/>
          <w:sz w:val="32"/>
          <w:szCs w:val="32"/>
          <w:lang w:val="en-US" w:eastAsia="uk-UA" w:bidi="ar-SA"/>
        </w:rPr>
        <w:t>年预算收支安排</w:t>
      </w:r>
      <w:r>
        <w:rPr>
          <w:rFonts w:hint="eastAsia" w:ascii="宋体" w:hAnsi="宋体" w:eastAsia="Times New Roman" w:cs="宋体"/>
          <w:color w:val="auto"/>
          <w:sz w:val="32"/>
          <w:szCs w:val="32"/>
          <w:lang w:val="en-US" w:eastAsia="zh-CN" w:bidi="ar-SA"/>
        </w:rPr>
        <w:t>1143.59</w:t>
      </w:r>
      <w:r>
        <w:rPr>
          <w:rFonts w:hint="eastAsia" w:ascii="宋体" w:hAnsi="宋体" w:eastAsia="Times New Roman" w:cs="宋体"/>
          <w:color w:val="auto"/>
          <w:sz w:val="32"/>
          <w:szCs w:val="32"/>
          <w:lang w:val="en-US" w:eastAsia="uk-UA" w:bidi="ar-SA"/>
        </w:rPr>
        <w:t>万元，较</w:t>
      </w:r>
      <w:r>
        <w:rPr>
          <w:rFonts w:hint="eastAsia" w:ascii="宋体" w:hAnsi="宋体" w:eastAsia="Times New Roman" w:cs="宋体"/>
          <w:color w:val="auto"/>
          <w:sz w:val="32"/>
          <w:szCs w:val="32"/>
          <w:lang w:val="en-US" w:eastAsia="zh-CN" w:bidi="ar-SA"/>
        </w:rPr>
        <w:t>2020</w:t>
      </w:r>
      <w:r>
        <w:rPr>
          <w:rFonts w:hint="eastAsia" w:ascii="宋体" w:hAnsi="宋体" w:eastAsia="Times New Roman" w:cs="宋体"/>
          <w:color w:val="auto"/>
          <w:sz w:val="32"/>
          <w:szCs w:val="32"/>
          <w:lang w:val="en-US" w:eastAsia="uk-UA" w:bidi="ar-SA"/>
        </w:rPr>
        <w:t>年预算</w:t>
      </w:r>
      <w:r>
        <w:rPr>
          <w:rFonts w:hint="eastAsia" w:ascii="宋体" w:hAnsi="宋体" w:eastAsia="Times New Roman" w:cs="宋体"/>
          <w:color w:val="auto"/>
          <w:sz w:val="32"/>
          <w:szCs w:val="32"/>
          <w:lang w:val="en-US" w:eastAsia="zh-CN" w:bidi="ar-SA"/>
        </w:rPr>
        <w:t>减少了20.71万元。</w:t>
      </w:r>
      <w:r>
        <w:rPr>
          <w:rFonts w:hint="eastAsia" w:ascii="宋体" w:hAnsi="宋体" w:eastAsia="Times New Roman" w:cs="宋体"/>
          <w:color w:val="auto"/>
          <w:sz w:val="32"/>
          <w:szCs w:val="32"/>
          <w:lang w:val="en-US" w:eastAsia="uk-UA" w:bidi="ar-SA"/>
        </w:rPr>
        <w:t>其中基本支出</w:t>
      </w:r>
      <w:r>
        <w:rPr>
          <w:rFonts w:hint="eastAsia" w:ascii="宋体" w:hAnsi="宋体" w:eastAsia="Times New Roman" w:cs="宋体"/>
          <w:color w:val="auto"/>
          <w:sz w:val="32"/>
          <w:szCs w:val="32"/>
          <w:lang w:val="en-US" w:eastAsia="zh-CN" w:bidi="ar-SA"/>
        </w:rPr>
        <w:t>减少了14.14万元，</w:t>
      </w:r>
      <w:r>
        <w:rPr>
          <w:rFonts w:hint="eastAsia" w:ascii="宋体" w:hAnsi="宋体" w:eastAsia="Times New Roman" w:cs="宋体"/>
          <w:color w:val="auto"/>
          <w:sz w:val="32"/>
          <w:szCs w:val="32"/>
          <w:lang w:val="en-US" w:eastAsia="uk-UA" w:bidi="ar-SA"/>
        </w:rPr>
        <w:t>主要</w:t>
      </w:r>
      <w:r>
        <w:rPr>
          <w:rFonts w:hint="eastAsia" w:ascii="宋体" w:hAnsi="宋体" w:eastAsia="Times New Roman" w:cs="宋体"/>
          <w:color w:val="auto"/>
          <w:sz w:val="32"/>
          <w:szCs w:val="32"/>
          <w:lang w:val="en-US" w:eastAsia="zh-CN" w:bidi="ar-SA"/>
        </w:rPr>
        <w:t>原因是有退休人员和调离，人员经费减少</w:t>
      </w:r>
      <w:r>
        <w:rPr>
          <w:rFonts w:hint="eastAsia" w:ascii="宋体" w:hAnsi="宋体" w:eastAsia="Times New Roman" w:cs="宋体"/>
          <w:color w:val="auto"/>
          <w:sz w:val="32"/>
          <w:szCs w:val="32"/>
          <w:lang w:val="en-US" w:eastAsia="uk-UA" w:bidi="ar-SA"/>
        </w:rPr>
        <w:t>；项目</w:t>
      </w:r>
      <w:r>
        <w:rPr>
          <w:rFonts w:hint="eastAsia" w:ascii="宋体" w:hAnsi="宋体" w:eastAsia="Times New Roman" w:cs="宋体"/>
          <w:color w:val="auto"/>
          <w:sz w:val="32"/>
          <w:szCs w:val="32"/>
          <w:lang w:val="en-US" w:eastAsia="zh-CN" w:bidi="ar-SA"/>
        </w:rPr>
        <w:t>支出减少6.57</w:t>
      </w:r>
      <w:r>
        <w:rPr>
          <w:rFonts w:hint="eastAsia" w:ascii="宋体" w:hAnsi="宋体" w:eastAsia="Times New Roman" w:cs="宋体"/>
          <w:color w:val="auto"/>
          <w:sz w:val="32"/>
          <w:szCs w:val="32"/>
          <w:lang w:val="en-US" w:eastAsia="uk-UA" w:bidi="ar-SA"/>
        </w:rPr>
        <w:t>万元，主要</w:t>
      </w:r>
      <w:r>
        <w:rPr>
          <w:rFonts w:hint="eastAsia" w:ascii="宋体" w:hAnsi="宋体" w:eastAsia="Times New Roman" w:cs="宋体"/>
          <w:color w:val="auto"/>
          <w:sz w:val="32"/>
          <w:szCs w:val="32"/>
          <w:lang w:val="en-US" w:eastAsia="zh-CN" w:bidi="ar-SA"/>
        </w:rPr>
        <w:t>原因</w:t>
      </w:r>
      <w:r>
        <w:rPr>
          <w:rFonts w:hint="eastAsia" w:ascii="宋体" w:hAnsi="宋体" w:eastAsia="Times New Roman" w:cs="宋体"/>
          <w:color w:val="auto"/>
          <w:sz w:val="32"/>
          <w:szCs w:val="32"/>
          <w:lang w:val="en-US" w:eastAsia="uk-UA" w:bidi="ar-SA"/>
        </w:rPr>
        <w:t>是</w:t>
      </w:r>
      <w:r>
        <w:rPr>
          <w:rFonts w:hint="eastAsia" w:ascii="宋体" w:hAnsi="宋体" w:eastAsia="Times New Roman" w:cs="宋体"/>
          <w:color w:val="auto"/>
          <w:sz w:val="32"/>
          <w:szCs w:val="32"/>
          <w:lang w:val="en-US" w:eastAsia="zh-CN" w:bidi="ar-SA"/>
        </w:rPr>
        <w:t>积极响应国家政策，厉行节约，项目经费有所减少。</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numPr>
          <w:ilvl w:val="0"/>
          <w:numId w:val="0"/>
        </w:numPr>
        <w:spacing w:before="10" w:after="10" w:line="360" w:lineRule="auto"/>
        <w:ind w:firstLine="640" w:firstLineChars="200"/>
        <w:jc w:val="left"/>
        <w:outlineLvl w:val="2"/>
        <w:rPr>
          <w:rFonts w:hint="default" w:eastAsia="方正仿宋_GBK"/>
          <w:color w:val="auto"/>
          <w:lang w:val="en-US" w:eastAsia="zh-CN"/>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51.78</w:t>
      </w:r>
      <w:r>
        <w:rPr>
          <w:rFonts w:hint="eastAsia" w:ascii="宋体" w:hAnsi="宋体" w:cs="宋体"/>
          <w:color w:val="auto"/>
          <w:sz w:val="32"/>
          <w:szCs w:val="32"/>
        </w:rPr>
        <w:t>万元，</w:t>
      </w:r>
      <w:r>
        <w:rPr>
          <w:rFonts w:hint="eastAsia" w:ascii="宋体" w:hAnsi="宋体" w:cs="宋体"/>
          <w:color w:val="auto"/>
          <w:sz w:val="32"/>
          <w:szCs w:val="32"/>
          <w:lang w:val="en-US" w:eastAsia="zh-CN"/>
        </w:rPr>
        <w:t>较去年减少了2.51万元。</w:t>
      </w:r>
      <w:r>
        <w:rPr>
          <w:rFonts w:hint="eastAsia" w:ascii="宋体" w:hAnsi="宋体" w:cs="宋体"/>
          <w:color w:val="auto"/>
          <w:sz w:val="32"/>
          <w:szCs w:val="32"/>
        </w:rPr>
        <w:t>主要用于办公费、公务用车运行维护费、公务交通补贴、工会经费及福利费等日常运转支出。</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spacing w:line="610" w:lineRule="exact"/>
        <w:ind w:firstLine="640"/>
        <w:rPr>
          <w:rFonts w:ascii="??_GB2312" w:hAnsi="??_GB2312" w:cs="??_GB2312"/>
          <w:color w:val="auto"/>
          <w:sz w:val="32"/>
          <w:szCs w:val="32"/>
        </w:rPr>
      </w:pPr>
      <w:r>
        <w:rPr>
          <w:rFonts w:ascii="??_GB2312" w:hAnsi="??_GB2312" w:cs="??_GB2312"/>
          <w:color w:val="auto"/>
          <w:sz w:val="32"/>
          <w:szCs w:val="32"/>
        </w:rPr>
        <w:t>20</w:t>
      </w:r>
      <w:r>
        <w:rPr>
          <w:rFonts w:hint="eastAsia" w:ascii="??_GB2312" w:hAnsi="??_GB2312" w:cs="??_GB2312"/>
          <w:color w:val="auto"/>
          <w:sz w:val="32"/>
          <w:szCs w:val="32"/>
          <w:lang w:val="en-US" w:eastAsia="zh-CN"/>
        </w:rPr>
        <w:t>21</w:t>
      </w:r>
      <w:r>
        <w:rPr>
          <w:rFonts w:hint="eastAsia" w:ascii="宋体" w:hAnsi="宋体" w:cs="宋体"/>
          <w:color w:val="auto"/>
          <w:sz w:val="32"/>
          <w:szCs w:val="32"/>
        </w:rPr>
        <w:t>年，我部门</w:t>
      </w:r>
      <w:r>
        <w:rPr>
          <w:rFonts w:hint="eastAsia" w:ascii="宋体" w:hAnsi="宋体" w:cs="宋体"/>
          <w:color w:val="auto"/>
          <w:sz w:val="32"/>
          <w:szCs w:val="32"/>
          <w:lang w:eastAsia="zh-CN"/>
        </w:rPr>
        <w:t>“</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7.2</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6</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6</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1.2</w:t>
      </w:r>
      <w:r>
        <w:rPr>
          <w:rFonts w:hint="eastAsia" w:ascii="宋体" w:hAnsi="宋体" w:cs="宋体"/>
          <w:color w:val="auto"/>
          <w:sz w:val="32"/>
          <w:szCs w:val="32"/>
        </w:rPr>
        <w:t>万元，较</w:t>
      </w:r>
      <w:r>
        <w:rPr>
          <w:rFonts w:ascii="宋体" w:hAnsi="宋体" w:cs="宋体"/>
          <w:color w:val="auto"/>
          <w:sz w:val="32"/>
          <w:szCs w:val="32"/>
        </w:rPr>
        <w:t>20</w:t>
      </w:r>
      <w:r>
        <w:rPr>
          <w:rFonts w:hint="eastAsia" w:ascii="宋体" w:hAnsi="宋体" w:cs="宋体"/>
          <w:color w:val="auto"/>
          <w:sz w:val="32"/>
          <w:szCs w:val="32"/>
          <w:lang w:val="en-US" w:eastAsia="zh-CN"/>
        </w:rPr>
        <w:t>20</w:t>
      </w:r>
      <w:r>
        <w:rPr>
          <w:rFonts w:hint="eastAsia" w:ascii="宋体" w:hAnsi="宋体" w:cs="宋体"/>
          <w:color w:val="auto"/>
          <w:sz w:val="32"/>
          <w:szCs w:val="32"/>
        </w:rPr>
        <w:t>年“三公”经费预算安排</w:t>
      </w:r>
      <w:r>
        <w:rPr>
          <w:rFonts w:hint="eastAsia" w:ascii="宋体" w:hAnsi="宋体" w:cs="宋体"/>
          <w:color w:val="auto"/>
          <w:sz w:val="32"/>
          <w:szCs w:val="32"/>
          <w:lang w:val="en-US" w:eastAsia="zh-CN"/>
        </w:rPr>
        <w:t>有所增加，</w:t>
      </w:r>
      <w:r>
        <w:rPr>
          <w:rFonts w:hint="eastAsia" w:ascii="宋体" w:hAnsi="宋体" w:cs="宋体"/>
          <w:color w:val="auto"/>
          <w:sz w:val="32"/>
          <w:szCs w:val="32"/>
        </w:rPr>
        <w:t>主要</w:t>
      </w:r>
      <w:r>
        <w:rPr>
          <w:rFonts w:hint="eastAsia" w:ascii="宋体" w:hAnsi="宋体" w:cs="宋体"/>
          <w:color w:val="auto"/>
          <w:sz w:val="32"/>
          <w:szCs w:val="32"/>
          <w:lang w:eastAsia="zh-CN"/>
        </w:rPr>
        <w:t>原因是业务量大，且车辆状况不佳，燃油和修理等费用有所增加。</w:t>
      </w:r>
    </w:p>
    <w:p>
      <w:pPr>
        <w:spacing w:before="10" w:after="10" w:line="240" w:lineRule="auto"/>
        <w:ind w:firstLine="640"/>
        <w:jc w:val="left"/>
        <w:outlineLvl w:val="5"/>
        <w:rPr>
          <w:color w:val="auto"/>
        </w:rPr>
        <w:sectPr>
          <w:pgSz w:w="16840" w:h="11900" w:orient="landscape"/>
          <w:pgMar w:top="1361" w:right="1020" w:bottom="1361" w:left="1020" w:header="720" w:footer="720" w:gutter="0"/>
          <w:cols w:space="720" w:num="1"/>
        </w:sectPr>
      </w:pPr>
      <w:r>
        <w:rPr>
          <w:rFonts w:ascii="黑体" w:hAnsi="黑体" w:eastAsia="黑体" w:cs="黑体"/>
          <w:color w:val="auto"/>
          <w:sz w:val="32"/>
        </w:rPr>
        <w:t>五、预算绩效信息</w:t>
      </w:r>
    </w:p>
    <w:p>
      <w:pPr>
        <w:pStyle w:val="2"/>
        <w:numPr>
          <w:ilvl w:val="0"/>
          <w:numId w:val="0"/>
        </w:numPr>
        <w:ind w:firstLine="1968" w:firstLineChars="700"/>
        <w:rPr>
          <w:rFonts w:hint="default"/>
          <w:color w:val="auto"/>
          <w:lang w:val="en-US" w:eastAsia="zh-CN"/>
        </w:rPr>
      </w:pPr>
      <w:r>
        <w:rPr>
          <w:rFonts w:ascii="方正仿宋_GBK" w:hAnsi="方正仿宋_GBK" w:eastAsia="方正仿宋_GBK" w:cs="方正仿宋_GBK"/>
          <w:b/>
          <w:color w:val="auto"/>
          <w:sz w:val="28"/>
        </w:rPr>
        <w:t>1、补助经费绩效目标表</w:t>
      </w:r>
    </w:p>
    <w:tbl>
      <w:tblPr>
        <w:tblStyle w:val="8"/>
        <w:tblW w:w="11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8"/>
        <w:gridCol w:w="1134"/>
        <w:gridCol w:w="1276"/>
        <w:gridCol w:w="1587"/>
        <w:gridCol w:w="1304"/>
        <w:gridCol w:w="1276"/>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12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2055"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130582216FNFHQORSEYNY</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635"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粮食监管经费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9</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2055"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632"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落实2021年度粮食监管任务，在邢台市年度粮食安全责任制考核工作中取得好成绩。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3331"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3331"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8"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632"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1.落实2021年度粮食监管任务。</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2.在邢台市年度粮食安全责任制考核工作中位次靠前。</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3.确保粮食监管落到实处.</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11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6"/>
        <w:gridCol w:w="1134"/>
        <w:gridCol w:w="1276"/>
        <w:gridCol w:w="2891"/>
        <w:gridCol w:w="1276"/>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2130"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储备粮食吨数达标率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储备粮食吨数达标率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国家粮食储备任务完成情况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国家粮食储备任务完成情况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很好</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按时完成粮食监管任务</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按照文件时间节点完成本年度粮食行政执法监管任务</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文件时间要求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不超预算数 </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严格控制在预算额度内</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严控在预算范围内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督查粮食监管经费落实</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督查粮食监管经费落实情况，确保粮食储备安全</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3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粮储企业和百姓满意度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粮储企业和百姓满意度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2130"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p>
        </w:tc>
      </w:tr>
    </w:tbl>
    <w:p>
      <w:pPr>
        <w:spacing w:before="0" w:after="0"/>
        <w:ind w:firstLine="560"/>
        <w:jc w:val="left"/>
        <w:outlineLvl w:val="9"/>
        <w:rPr>
          <w:color w:val="auto"/>
        </w:rPr>
      </w:pPr>
    </w:p>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p>
      <w:pPr>
        <w:rPr>
          <w:color w:val="auto"/>
        </w:rPr>
        <w:sectPr>
          <w:pgSz w:w="16840" w:h="11900" w:orient="landscape"/>
          <w:pgMar w:top="1361" w:right="1020" w:bottom="1134" w:left="1020" w:header="720" w:footer="720" w:gutter="0"/>
          <w:cols w:space="720" w:num="1"/>
        </w:sectPr>
      </w:pPr>
    </w:p>
    <w:p>
      <w:pPr>
        <w:numPr>
          <w:ilvl w:val="0"/>
          <w:numId w:val="0"/>
        </w:numPr>
        <w:ind w:left="720" w:leftChars="0"/>
        <w:jc w:val="left"/>
        <w:outlineLvl w:val="3"/>
        <w:rPr>
          <w:rFonts w:hint="eastAsia" w:asciiTheme="minorEastAsia" w:hAnsiTheme="minorEastAsia" w:eastAsiaTheme="minorEastAsia" w:cstheme="minorEastAsia"/>
          <w:b w:val="0"/>
          <w:bCs/>
          <w:color w:val="auto"/>
          <w:sz w:val="28"/>
        </w:rPr>
      </w:pPr>
      <w:r>
        <w:rPr>
          <w:rFonts w:ascii="方正仿宋_GBK" w:hAnsi="方正仿宋_GBK" w:eastAsia="方正仿宋_GBK" w:cs="方正仿宋_GBK"/>
          <w:b/>
          <w:color w:val="auto"/>
          <w:sz w:val="28"/>
        </w:rPr>
        <w:t>2、</w:t>
      </w:r>
      <w:r>
        <w:rPr>
          <w:rFonts w:hint="eastAsia" w:asciiTheme="minorEastAsia" w:hAnsiTheme="minorEastAsia" w:eastAsiaTheme="minorEastAsia" w:cstheme="minorEastAsia"/>
          <w:b w:val="0"/>
          <w:bCs/>
          <w:color w:val="auto"/>
          <w:sz w:val="28"/>
        </w:rPr>
        <w:t>重点项目经费（含体制改革）绩效目标表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130582217T25G34PYQUOR</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重点项目经费（含体制改革）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31</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19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31</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19</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加强重点项目谋划、协调，推动重点项目顺利实施，组织实施集中开工活动和重点项目观摩活动。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1.加强重点项目谋划、协调，推动重点项目顺利实施。</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2.组织实施集中开工活动和重点项目观摩活动。</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3.确保重点项目开工率在省、邢台市名列前茅。</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列入省级、邢台市级重点项目个数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列入省级、邢台市级重点项目个数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≥8个</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列入省、邢台市级重点项目个数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项目质量</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情况按照我市发展规划实施</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严格我市发展规划开展工作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按照工程计划顺利进行</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按照工程计划顺利进行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严格按照企业年初制定的计划进行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严格按照预算标准执行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不超过本年预算值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省市重点项目投资完成率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省市重点项目投资完成率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投资完成率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企业和社会对工作开展的满意程度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企业和社会对工作开展的满意程度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p>
        </w:tc>
      </w:tr>
    </w:tbl>
    <w:p>
      <w:pPr>
        <w:rPr>
          <w:color w:val="auto"/>
        </w:rPr>
        <w:sectPr>
          <w:pgSz w:w="16840" w:h="11900" w:orient="landscape"/>
          <w:pgMar w:top="1361" w:right="1020" w:bottom="1134" w:left="1020" w:header="720" w:footer="720" w:gutter="0"/>
          <w:cols w:space="720" w:num="1"/>
        </w:sectPr>
      </w:pPr>
    </w:p>
    <w:p>
      <w:pPr>
        <w:numPr>
          <w:ilvl w:val="0"/>
          <w:numId w:val="3"/>
        </w:numPr>
        <w:spacing w:before="0" w:after="0"/>
        <w:ind w:left="400" w:leftChars="0" w:firstLine="320" w:firstLineChars="0"/>
        <w:jc w:val="left"/>
        <w:outlineLvl w:val="9"/>
        <w:rPr>
          <w:rFonts w:hint="eastAsia" w:asciiTheme="minorEastAsia" w:hAnsiTheme="minorEastAsia" w:eastAsiaTheme="minorEastAsia" w:cstheme="minorEastAsia"/>
          <w:b w:val="0"/>
          <w:bCs/>
          <w:color w:val="auto"/>
          <w:sz w:val="28"/>
        </w:rPr>
      </w:pPr>
      <w:r>
        <w:rPr>
          <w:rFonts w:hint="eastAsia" w:asciiTheme="minorEastAsia" w:hAnsiTheme="minorEastAsia" w:eastAsiaTheme="minorEastAsia" w:cstheme="minorEastAsia"/>
          <w:b w:val="0"/>
          <w:bCs/>
          <w:color w:val="auto"/>
          <w:sz w:val="28"/>
        </w:rPr>
        <w:t>粮食系统业务补助经费*绩效目标表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单位：</w:t>
            </w:r>
            <w:r>
              <w:rPr>
                <w:rFonts w:hint="eastAsia" w:asciiTheme="minorEastAsia" w:hAnsiTheme="minorEastAsia" w:eastAsiaTheme="minorEastAsia" w:cstheme="minorEastAsia"/>
                <w:b w:val="0"/>
                <w:bCs/>
                <w:color w:val="auto"/>
                <w:lang w:eastAsia="zh-CN"/>
              </w:rPr>
              <w:t>万</w:t>
            </w:r>
            <w:r>
              <w:rPr>
                <w:rFonts w:hint="eastAsia" w:asciiTheme="minorEastAsia" w:hAnsiTheme="minorEastAsia" w:eastAsiaTheme="minorEastAsia" w:cstheme="minorEastAsia"/>
                <w:b w:val="0"/>
                <w:bCs/>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13058221IT9UG8XUEQDSY</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粮食系统业务补助经费*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0</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w:t>
            </w:r>
            <w:r>
              <w:rPr>
                <w:rFonts w:hint="eastAsia" w:asciiTheme="minorEastAsia" w:hAnsiTheme="minorEastAsia" w:eastAsiaTheme="minorEastAsia" w:cstheme="minorEastAsia"/>
                <w:b w:val="0"/>
                <w:bCs/>
                <w:color w:val="auto"/>
                <w:lang w:val="en-US" w:eastAsia="zh-CN"/>
              </w:rPr>
              <w:t>.</w:t>
            </w:r>
            <w:r>
              <w:rPr>
                <w:rFonts w:hint="eastAsia" w:asciiTheme="minorEastAsia" w:hAnsiTheme="minorEastAsia" w:eastAsiaTheme="minorEastAsia" w:cstheme="minorEastAsia"/>
                <w:b w:val="0"/>
                <w:bCs/>
                <w:color w:val="auto"/>
              </w:rPr>
              <w:t>0</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对全社会粮食流通进行宏观管理和对粮食购销企业进行行业管理;保证救助受灾区和水库移民区所需粮食,以及军队用粮的供应;加强粮食的库存管理,确保国家储备粮和</w:t>
            </w:r>
            <w:r>
              <w:rPr>
                <w:rFonts w:hint="eastAsia" w:asciiTheme="minorEastAsia" w:hAnsiTheme="minorEastAsia" w:eastAsiaTheme="minorEastAsia" w:cstheme="minorEastAsia"/>
                <w:b w:val="0"/>
                <w:bCs/>
                <w:color w:val="auto"/>
                <w:lang w:eastAsia="zh-CN"/>
              </w:rPr>
              <w:t>其他</w:t>
            </w:r>
            <w:r>
              <w:rPr>
                <w:rFonts w:hint="eastAsia" w:asciiTheme="minorEastAsia" w:hAnsiTheme="minorEastAsia" w:eastAsiaTheme="minorEastAsia" w:cstheme="minorEastAsia"/>
                <w:b w:val="0"/>
                <w:bCs/>
                <w:color w:val="auto"/>
              </w:rPr>
              <w:t>粮食的储存安全。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b w:val="0"/>
                <w:bCs/>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1.对全社会粮食流通进行宏观管理和对粮食购销企业进行行业管理.</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2.保证救助受灾区和水库移民区所需粮食,以及军队用粮的供应</w:t>
            </w:r>
          </w:p>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3.加强粮食的库存管理,确保国家储备粮和</w:t>
            </w:r>
            <w:r>
              <w:rPr>
                <w:rFonts w:hint="eastAsia" w:asciiTheme="minorEastAsia" w:hAnsiTheme="minorEastAsia" w:eastAsiaTheme="minorEastAsia" w:cstheme="minorEastAsia"/>
                <w:b w:val="0"/>
                <w:bCs/>
                <w:color w:val="auto"/>
                <w:lang w:eastAsia="zh-CN"/>
              </w:rPr>
              <w:t>其他</w:t>
            </w:r>
            <w:r>
              <w:rPr>
                <w:rFonts w:hint="eastAsia" w:asciiTheme="minorEastAsia" w:hAnsiTheme="minorEastAsia" w:eastAsiaTheme="minorEastAsia" w:cstheme="minorEastAsia"/>
                <w:b w:val="0"/>
                <w:bCs/>
                <w:color w:val="auto"/>
              </w:rPr>
              <w:t>粮食的储存安全</w:t>
            </w:r>
          </w:p>
        </w:tc>
      </w:tr>
    </w:tbl>
    <w:p>
      <w:pPr>
        <w:spacing w:line="14"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对粮食库存数量检查次数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对粮食库存数量检查次数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库存数量方面检查次数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对粮食库存安全检查次数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对粮食库存安全检查次数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库存安全方面检查次数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截至年底该项资金使用完成比例</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截至年底该项资金使用完成比例</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资金使用比例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不超预算数 </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严格按照预算执行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是否按照预算数执行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保障粮食供应完成率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保障粮食供应完成率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粮食供应完成率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粮食行业稳定情况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我市粮食行业稳定情况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粮食行业稳定情况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群众满意度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群众满意度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服务对象满意程度</w:t>
            </w:r>
          </w:p>
        </w:tc>
      </w:tr>
    </w:tbl>
    <w:p>
      <w:pPr>
        <w:pStyle w:val="2"/>
        <w:numPr>
          <w:ilvl w:val="0"/>
          <w:numId w:val="0"/>
        </w:numPr>
        <w:ind w:left="720" w:leftChars="0"/>
        <w:rPr>
          <w:color w:val="auto"/>
        </w:rPr>
      </w:pPr>
    </w:p>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w:t>
      </w:r>
      <w:r>
        <w:rPr>
          <w:rFonts w:hint="eastAsia" w:asciiTheme="minorEastAsia" w:hAnsiTheme="minorEastAsia" w:eastAsiaTheme="minorEastAsia" w:cstheme="minorEastAsia"/>
          <w:b/>
          <w:color w:val="auto"/>
          <w:sz w:val="28"/>
        </w:rPr>
        <w:t>价格认证中心经费绩效目标表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13058221O5VY1C13VWOWB</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价格认证中心经费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lang w:val="en-US" w:eastAsia="zh-CN"/>
              </w:rPr>
              <w:t>.0</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lang w:val="en-US" w:eastAsia="zh-CN"/>
              </w:rPr>
              <w:t>.0</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对公安、法院等</w:t>
            </w: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和行政机关涉案、涉纪、涉税资产进行价格认证，并对相关资产进行调查、勘验、评估。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1.对公安、法院等</w:t>
            </w: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和行政机关涉案、涉纪、涉税资产进行价格认证。</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2.对相关资产进行调查、勘验、评估。</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3.维护社会稳定。</w:t>
            </w:r>
          </w:p>
        </w:tc>
      </w:tr>
    </w:tbl>
    <w:p>
      <w:pPr>
        <w:spacing w:line="14"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对涉案资产进行价格认证情况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开展涉案、涉纪、涉税资产价格认证件数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≥400件</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办理涉案、涉纪、涉税价格认证资产工作件数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依法、公正、科学、效率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依法、公正、科学、效率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是否严格按照文件规定开展工作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规定时间内完成工作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7个工作日内完成评估工作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7日</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国家规定期限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工作经费不超预算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价格认证工作经费控制在预算内</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费用不超预算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维护社会稳定效果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维护社会稳定效果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办理价格认证案件及时、准确情况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司法机关</w:t>
            </w:r>
            <w:r>
              <w:rPr>
                <w:rFonts w:hint="eastAsia" w:asciiTheme="minorEastAsia" w:hAnsiTheme="minorEastAsia" w:eastAsiaTheme="minorEastAsia" w:cstheme="minorEastAsia"/>
                <w:color w:val="auto"/>
              </w:rPr>
              <w:t>和行政机关满意度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服务对象对价格认证工作开展的满意程度</w:t>
            </w:r>
          </w:p>
        </w:tc>
      </w:tr>
    </w:tbl>
    <w:p>
      <w:pPr>
        <w:numPr>
          <w:ilvl w:val="0"/>
          <w:numId w:val="0"/>
        </w:numPr>
        <w:spacing w:before="0" w:after="0"/>
        <w:ind w:left="720" w:leftChars="0"/>
        <w:jc w:val="left"/>
        <w:outlineLvl w:val="9"/>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5、</w:t>
      </w:r>
      <w:r>
        <w:rPr>
          <w:rFonts w:hint="eastAsia" w:asciiTheme="minorEastAsia" w:hAnsiTheme="minorEastAsia" w:eastAsiaTheme="minorEastAsia" w:cstheme="minorEastAsia"/>
          <w:b/>
          <w:color w:val="auto"/>
          <w:sz w:val="28"/>
        </w:rPr>
        <w:t>节能减排工作经费绩效目标表</w:t>
      </w:r>
    </w:p>
    <w:p>
      <w:pPr>
        <w:spacing w:before="0" w:after="0"/>
        <w:ind w:firstLine="560"/>
        <w:jc w:val="left"/>
        <w:outlineLvl w:val="9"/>
        <w:rPr>
          <w:color w:val="auto"/>
        </w:rPr>
      </w:pPr>
    </w:p>
    <w:tbl>
      <w:tblPr>
        <w:tblStyle w:val="8"/>
        <w:tblpPr w:leftFromText="180" w:rightFromText="180" w:vertAnchor="text" w:horzAnchor="page" w:tblpX="3800" w:tblpY="231"/>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r>
              <w:rPr>
                <w:rFonts w:hint="eastAsia" w:asciiTheme="minorEastAsia" w:hAnsiTheme="minorEastAsia" w:eastAsiaTheme="minorEastAsia" w:cstheme="minorEastAsia"/>
                <w:color w:val="auto"/>
                <w:lang w:eastAsia="zh-CN"/>
              </w:rPr>
              <w:t>万</w:t>
            </w:r>
            <w:r>
              <w:rPr>
                <w:rFonts w:hint="eastAsia" w:asciiTheme="minorEastAsia" w:hAnsiTheme="minorEastAsia" w:eastAsiaTheme="minorEastAsia" w:cstheme="minorEastAsia"/>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13058221PCOWCI378D0S8</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节能减排工作经费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14</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14</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通过采取宣传、监察等方式，确保完成节能、削煤、降碳目标任务；积极助推节能减排和大气污染防治；确保实现年度单位GDP能耗下降率。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1.通过采取宣传、监察等方式，确保完成节能、削煤、降碳目标任务。</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2.积极助推节能减排和大气污染防治；确保实现年度单位GDP能耗下降率。</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3.为我市环境保护做出贡献.</w:t>
            </w:r>
          </w:p>
        </w:tc>
      </w:tr>
    </w:tbl>
    <w:p>
      <w:pPr>
        <w:rPr>
          <w:color w:val="auto"/>
        </w:rPr>
      </w:pPr>
    </w:p>
    <w:p>
      <w:pPr>
        <w:spacing w:line="14"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开展节能监察次数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开展节能监察次数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本年度对企业开展节能监察的次数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上级下达节能监察任务完成率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上级下达节能监察任务完成率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对上级下达的各项监察工作的完成情况比例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规定期限内完成工作</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在上级下达工作要求的时限内完成工作</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上级下达的节能监察等工作要求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工作经费不超预算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严格按照预算标准执行</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不超本年度预算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单位GDP能耗的同期下降比率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单位GDP能耗的同期下降比率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下降比率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单位工业产值增加值能耗下降率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单位工业产值增加值能耗的同期下降比率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下降比率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对节能监察等工作的满意程度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服务对象对节能监察工作等的满意程度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w:t>
            </w:r>
          </w:p>
        </w:tc>
      </w:tr>
    </w:tbl>
    <w:p>
      <w:pPr>
        <w:numPr>
          <w:ilvl w:val="0"/>
          <w:numId w:val="4"/>
        </w:numPr>
        <w:spacing w:before="0" w:after="0"/>
        <w:ind w:firstLine="560"/>
        <w:jc w:val="left"/>
        <w:outlineLvl w:val="9"/>
        <w:rPr>
          <w:rFonts w:ascii="方正仿宋_GBK" w:hAnsi="方正仿宋_GBK" w:eastAsia="方正仿宋_GBK" w:cs="方正仿宋_GBK"/>
          <w:b/>
          <w:color w:val="auto"/>
          <w:sz w:val="28"/>
        </w:rPr>
      </w:pPr>
      <w:r>
        <w:rPr>
          <w:rFonts w:ascii="方正仿宋_GBK" w:hAnsi="方正仿宋_GBK" w:eastAsia="方正仿宋_GBK" w:cs="方正仿宋_GBK"/>
          <w:b/>
          <w:color w:val="auto"/>
          <w:sz w:val="28"/>
        </w:rPr>
        <w:t>市场商品价格监测办公经费绩效目标表</w:t>
      </w:r>
    </w:p>
    <w:p>
      <w:pPr>
        <w:pStyle w:val="2"/>
        <w:rPr>
          <w:rFonts w:ascii="方正仿宋_GBK" w:hAnsi="方正仿宋_GBK" w:eastAsia="方正仿宋_GBK" w:cs="方正仿宋_GBK"/>
          <w:b/>
          <w:color w:val="auto"/>
          <w:sz w:val="28"/>
        </w:rPr>
      </w:pPr>
    </w:p>
    <w:p>
      <w:pPr>
        <w:pStyle w:val="2"/>
        <w:rPr>
          <w:rFonts w:ascii="方正仿宋_GBK" w:hAnsi="方正仿宋_GBK" w:eastAsia="方正仿宋_GBK" w:cs="方正仿宋_GBK"/>
          <w:b/>
          <w:color w:val="auto"/>
          <w:sz w:val="28"/>
        </w:rPr>
      </w:pPr>
    </w:p>
    <w:p>
      <w:pPr>
        <w:pStyle w:val="2"/>
        <w:rPr>
          <w:rFonts w:ascii="方正仿宋_GBK" w:hAnsi="方正仿宋_GBK" w:eastAsia="方正仿宋_GBK" w:cs="方正仿宋_GBK"/>
          <w:b/>
          <w:color w:val="auto"/>
          <w:sz w:val="28"/>
        </w:rPr>
      </w:pPr>
    </w:p>
    <w:tbl>
      <w:tblPr>
        <w:tblStyle w:val="8"/>
        <w:tblpPr w:leftFromText="180" w:rightFromText="180" w:vertAnchor="text" w:horzAnchor="page" w:tblpX="1364" w:tblpY="305"/>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116002沙河市发展和改革局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r>
              <w:rPr>
                <w:rFonts w:hint="eastAsia" w:asciiTheme="minorEastAsia" w:hAnsiTheme="minorEastAsia" w:eastAsiaTheme="minorEastAsia" w:cstheme="minorEastAsia"/>
                <w:color w:val="auto"/>
                <w:lang w:eastAsia="zh-CN"/>
              </w:rPr>
              <w:t>万</w:t>
            </w:r>
            <w:r>
              <w:rPr>
                <w:rFonts w:hint="eastAsia" w:asciiTheme="minorEastAsia" w:hAnsiTheme="minorEastAsia" w:eastAsiaTheme="minorEastAsia" w:cstheme="minorEastAsia"/>
                <w:color w:val="auto"/>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13058221TB01P1G7Z73Z9</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市场商品价格监测办公经费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52</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rPr>
              <w:t>52</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定期对市场多种商品价格进行监测分析，及时、准确地向市政府和上级发改（物价）部门上报有关信息和动态分析，供领导决策参考。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color w:val="auto"/>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1.定期对市场多种商品价格进行监测分析。</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2.及时、准确地向市政府和上级发改（物价）部门上报有关信息和动态分析，供领导决策参考。</w:t>
            </w:r>
          </w:p>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3.为物价稳定提供数据依据。</w:t>
            </w:r>
          </w:p>
        </w:tc>
      </w:tr>
    </w:tbl>
    <w:tbl>
      <w:tblPr>
        <w:tblStyle w:val="8"/>
        <w:tblpPr w:leftFromText="180" w:rightFromText="180" w:vertAnchor="text" w:horzAnchor="page" w:tblpX="1333" w:tblpY="16"/>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信息报送次数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监测商品种类数量</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监测重要生活必需品、重要商品服务的数量</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≥50个</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监测到的重要商品的数量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商品价格信息及时上报情况</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商品价格信息及时上报情况</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监测商品费用不超预算</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监测商品费用不超预算</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费用不超预算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经济效益指标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信息上报及时完成率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信息上报及时完成率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信息上报完成率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≥98%</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信息有效比例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供应商和顾客的满意度</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供应商和顾客的满意度</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≥98%</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供应商和顾客满意度</w:t>
            </w:r>
          </w:p>
        </w:tc>
      </w:tr>
    </w:tbl>
    <w:p>
      <w:pPr>
        <w:pStyle w:val="2"/>
        <w:rPr>
          <w:rFonts w:ascii="方正仿宋_GBK" w:hAnsi="方正仿宋_GBK" w:eastAsia="方正仿宋_GBK" w:cs="方正仿宋_GBK"/>
          <w:b/>
          <w:color w:val="auto"/>
          <w:sz w:val="28"/>
        </w:rPr>
      </w:pPr>
    </w:p>
    <w:p>
      <w:pPr>
        <w:pStyle w:val="2"/>
        <w:numPr>
          <w:ilvl w:val="0"/>
          <w:numId w:val="0"/>
        </w:numPr>
        <w:spacing w:after="120" w:afterLines="0"/>
        <w:rPr>
          <w:color w:val="auto"/>
        </w:rPr>
      </w:pPr>
    </w:p>
    <w:p>
      <w:pPr>
        <w:pStyle w:val="2"/>
        <w:numPr>
          <w:ilvl w:val="0"/>
          <w:numId w:val="0"/>
        </w:numPr>
        <w:spacing w:after="120" w:afterLines="0"/>
        <w:rPr>
          <w:color w:val="auto"/>
        </w:rPr>
      </w:pPr>
    </w:p>
    <w:p>
      <w:pPr>
        <w:rPr>
          <w:color w:val="auto"/>
        </w:rPr>
      </w:pPr>
    </w:p>
    <w:p>
      <w:pPr>
        <w:pStyle w:val="2"/>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年，沙河市发展和改革局安排政府采购预算</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沙河市发展和改革局上年末固定资产金额为</w:t>
      </w:r>
      <w:r>
        <w:rPr>
          <w:rFonts w:hint="eastAsia" w:eastAsia="方正仿宋_GBK" w:cs="Times New Roman"/>
          <w:b w:val="0"/>
          <w:color w:val="auto"/>
          <w:sz w:val="28"/>
          <w:lang w:val="en-US" w:eastAsia="zh-CN"/>
        </w:rPr>
        <w:t>214.99</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116002沙河市发展和改革局</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资产总额</w:t>
            </w:r>
          </w:p>
        </w:tc>
        <w:tc>
          <w:tcPr>
            <w:tcW w:w="2835" w:type="dxa"/>
            <w:vAlign w:val="center"/>
          </w:tcPr>
          <w:p>
            <w:pPr>
              <w:pStyle w:val="17"/>
              <w:rPr>
                <w:color w:val="auto"/>
              </w:rPr>
            </w:pPr>
          </w:p>
        </w:tc>
        <w:tc>
          <w:tcPr>
            <w:tcW w:w="2835" w:type="dxa"/>
            <w:vAlign w:val="center"/>
          </w:tcPr>
          <w:p>
            <w:pPr>
              <w:pStyle w:val="15"/>
              <w:rPr>
                <w:rFonts w:hint="default" w:eastAsia="方正书宋_GBK"/>
                <w:color w:val="auto"/>
                <w:lang w:val="en-US" w:eastAsia="zh-CN"/>
              </w:rPr>
            </w:pPr>
            <w:r>
              <w:rPr>
                <w:rFonts w:hint="eastAsia"/>
                <w:color w:val="auto"/>
                <w:lang w:val="en-US" w:eastAsia="zh-CN"/>
              </w:rPr>
              <w:t>214.99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1、房屋（平方米）</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　　其中：办公用房（平方米）</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2、车辆（台、辆）</w:t>
            </w:r>
          </w:p>
        </w:tc>
        <w:tc>
          <w:tcPr>
            <w:tcW w:w="2835" w:type="dxa"/>
            <w:vAlign w:val="center"/>
          </w:tcPr>
          <w:p>
            <w:pPr>
              <w:pStyle w:val="17"/>
              <w:rPr>
                <w:rFonts w:hint="eastAsia" w:eastAsia="方正书宋_GBK"/>
                <w:color w:val="auto"/>
                <w:lang w:eastAsia="zh-CN"/>
              </w:rPr>
            </w:pPr>
            <w:r>
              <w:rPr>
                <w:rFonts w:hint="eastAsia"/>
                <w:color w:val="auto"/>
                <w:lang w:val="en-US" w:eastAsia="zh-CN"/>
              </w:rPr>
              <w:t>5</w:t>
            </w:r>
          </w:p>
        </w:tc>
        <w:tc>
          <w:tcPr>
            <w:tcW w:w="2835" w:type="dxa"/>
            <w:vAlign w:val="center"/>
          </w:tcPr>
          <w:p>
            <w:pPr>
              <w:pStyle w:val="15"/>
              <w:rPr>
                <w:rFonts w:hint="default" w:eastAsia="方正书宋_GBK"/>
                <w:color w:val="auto"/>
                <w:lang w:val="en-US" w:eastAsia="zh-CN"/>
              </w:rPr>
            </w:pPr>
            <w:r>
              <w:rPr>
                <w:rFonts w:hint="eastAsia"/>
                <w:color w:val="auto"/>
                <w:lang w:val="en-US" w:eastAsia="zh-CN"/>
              </w:rPr>
              <w:t>54.89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3、单价在20万元以上的设备</w:t>
            </w:r>
          </w:p>
        </w:tc>
        <w:tc>
          <w:tcPr>
            <w:tcW w:w="2835" w:type="dxa"/>
            <w:vAlign w:val="center"/>
          </w:tcPr>
          <w:p>
            <w:pPr>
              <w:pStyle w:val="17"/>
              <w:rPr>
                <w:color w:val="auto"/>
              </w:rPr>
            </w:pPr>
          </w:p>
        </w:tc>
        <w:tc>
          <w:tcPr>
            <w:tcW w:w="2835"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r>
              <w:rPr>
                <w:color w:val="auto"/>
              </w:rPr>
              <w:t>4、其他固定资产</w:t>
            </w:r>
          </w:p>
        </w:tc>
        <w:tc>
          <w:tcPr>
            <w:tcW w:w="2835" w:type="dxa"/>
            <w:vAlign w:val="center"/>
          </w:tcPr>
          <w:p>
            <w:pPr>
              <w:pStyle w:val="17"/>
              <w:rPr>
                <w:color w:val="auto"/>
              </w:rPr>
            </w:pPr>
          </w:p>
        </w:tc>
        <w:tc>
          <w:tcPr>
            <w:tcW w:w="2835" w:type="dxa"/>
            <w:vAlign w:val="center"/>
          </w:tcPr>
          <w:p>
            <w:pPr>
              <w:pStyle w:val="15"/>
              <w:rPr>
                <w:rFonts w:hint="default" w:eastAsia="方正书宋_GBK"/>
                <w:color w:val="auto"/>
                <w:lang w:val="en-US" w:eastAsia="zh-CN"/>
              </w:rPr>
            </w:pPr>
            <w:r>
              <w:rPr>
                <w:rFonts w:hint="eastAsia"/>
                <w:color w:val="auto"/>
                <w:lang w:val="en-US" w:eastAsia="zh-CN"/>
              </w:rPr>
              <w:t>160.1</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bookmarkStart w:id="19" w:name="_Toc_4_4_0000000020"/>
      <w:r>
        <w:rPr>
          <w:rFonts w:hint="eastAsia" w:ascii="方正小标宋_GBK" w:hAnsi="方正小标宋_GBK" w:eastAsia="方正小标宋_GBK" w:cs="方正小标宋_GBK"/>
          <w:b w:val="0"/>
          <w:color w:val="auto"/>
          <w:sz w:val="44"/>
          <w:lang w:eastAsia="zh-CN"/>
        </w:rPr>
        <w:t>二</w:t>
      </w: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节能监察</w:t>
      </w:r>
      <w:r>
        <w:rPr>
          <w:rFonts w:ascii="方正小标宋_GBK" w:hAnsi="方正小标宋_GBK" w:eastAsia="方正小标宋_GBK" w:cs="方正小标宋_GBK"/>
          <w:b w:val="0"/>
          <w:color w:val="auto"/>
          <w:sz w:val="44"/>
        </w:rPr>
        <w:t>中心收支预算</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节能监察中心</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rFonts w:hint="eastAsia" w:eastAsia="方正书宋_GBK"/>
                <w:color w:val="auto"/>
                <w:lang w:val="en-US" w:eastAsia="zh-CN"/>
              </w:rPr>
            </w:pPr>
          </w:p>
        </w:tc>
        <w:tc>
          <w:tcPr>
            <w:tcW w:w="4535" w:type="dxa"/>
            <w:vAlign w:val="center"/>
          </w:tcPr>
          <w:p>
            <w:pPr>
              <w:pStyle w:val="16"/>
              <w:rPr>
                <w:color w:val="auto"/>
              </w:rPr>
            </w:pPr>
            <w:r>
              <w:rPr>
                <w:color w:val="auto"/>
              </w:rPr>
              <w:t>一、一般公共服务支出</w:t>
            </w:r>
          </w:p>
        </w:tc>
        <w:tc>
          <w:tcPr>
            <w:tcW w:w="2126" w:type="dxa"/>
            <w:vAlign w:val="center"/>
          </w:tcPr>
          <w:p>
            <w:pPr>
              <w:pStyle w:val="15"/>
              <w:rPr>
                <w:rFonts w:hint="eastAsia"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rFonts w:hint="eastAsia" w:eastAsia="方正书宋_GBK"/>
                <w:color w:val="auto"/>
                <w:lang w:val="en-US" w:eastAsia="zh-CN"/>
              </w:rPr>
            </w:pPr>
          </w:p>
        </w:tc>
        <w:tc>
          <w:tcPr>
            <w:tcW w:w="4535" w:type="dxa"/>
            <w:vAlign w:val="center"/>
          </w:tcPr>
          <w:p>
            <w:pPr>
              <w:pStyle w:val="18"/>
              <w:rPr>
                <w:color w:val="auto"/>
              </w:rPr>
            </w:pPr>
            <w:r>
              <w:rPr>
                <w:color w:val="auto"/>
              </w:rPr>
              <w:t>本年支出合计</w:t>
            </w:r>
          </w:p>
        </w:tc>
        <w:tc>
          <w:tcPr>
            <w:tcW w:w="2126" w:type="dxa"/>
            <w:vAlign w:val="center"/>
          </w:tcPr>
          <w:p>
            <w:pPr>
              <w:pStyle w:val="19"/>
              <w:rPr>
                <w:rFonts w:hint="eastAsia"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rFonts w:hint="eastAsia" w:eastAsia="方正书宋_GBK"/>
                <w:color w:val="auto"/>
                <w:lang w:val="en-US" w:eastAsia="zh-CN"/>
              </w:rPr>
            </w:pPr>
          </w:p>
        </w:tc>
        <w:tc>
          <w:tcPr>
            <w:tcW w:w="4535" w:type="dxa"/>
            <w:vAlign w:val="center"/>
          </w:tcPr>
          <w:p>
            <w:pPr>
              <w:pStyle w:val="18"/>
              <w:rPr>
                <w:color w:val="auto"/>
              </w:rPr>
            </w:pPr>
            <w:r>
              <w:rPr>
                <w:color w:val="auto"/>
              </w:rPr>
              <w:t>支出总计</w:t>
            </w:r>
          </w:p>
        </w:tc>
        <w:tc>
          <w:tcPr>
            <w:tcW w:w="2126" w:type="dxa"/>
            <w:vAlign w:val="center"/>
          </w:tcPr>
          <w:p>
            <w:pPr>
              <w:pStyle w:val="19"/>
              <w:rPr>
                <w:rFonts w:hint="eastAsia" w:eastAsia="方正书宋_GBK"/>
                <w:color w:val="auto"/>
                <w:lang w:val="en-US" w:eastAsia="zh-CN"/>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2551" w:type="dxa"/>
            <w:gridSpan w:val="2"/>
            <w:vAlign w:val="center"/>
          </w:tcPr>
          <w:p>
            <w:pPr>
              <w:pStyle w:val="14"/>
              <w:rPr>
                <w:color w:val="auto"/>
              </w:rPr>
            </w:pPr>
            <w:r>
              <w:rPr>
                <w:color w:val="auto"/>
              </w:rPr>
              <w:t>功能分类科目</w:t>
            </w:r>
          </w:p>
        </w:tc>
        <w:tc>
          <w:tcPr>
            <w:tcW w:w="1134" w:type="dxa"/>
            <w:vMerge w:val="restart"/>
            <w:vAlign w:val="center"/>
          </w:tcPr>
          <w:p>
            <w:pPr>
              <w:pStyle w:val="14"/>
              <w:rPr>
                <w:color w:val="auto"/>
              </w:rPr>
            </w:pPr>
            <w:r>
              <w:rPr>
                <w:color w:val="auto"/>
              </w:rPr>
              <w:t>合计</w:t>
            </w:r>
          </w:p>
        </w:tc>
        <w:tc>
          <w:tcPr>
            <w:tcW w:w="9071"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1559" w:type="dxa"/>
            <w:vAlign w:val="center"/>
          </w:tcPr>
          <w:p>
            <w:pPr>
              <w:pStyle w:val="14"/>
              <w:rPr>
                <w:color w:val="auto"/>
              </w:rPr>
            </w:pPr>
            <w:r>
              <w:rPr>
                <w:color w:val="auto"/>
              </w:rPr>
              <w:t>科目名称</w:t>
            </w:r>
          </w:p>
        </w:tc>
        <w:tc>
          <w:tcPr>
            <w:tcW w:w="1134" w:type="dxa"/>
            <w:vMerge w:val="continue"/>
          </w:tcPr>
          <w:p>
            <w:pPr>
              <w:rPr>
                <w:color w:val="auto"/>
              </w:rPr>
            </w:pPr>
          </w:p>
        </w:tc>
        <w:tc>
          <w:tcPr>
            <w:tcW w:w="1134" w:type="dxa"/>
            <w:vAlign w:val="center"/>
          </w:tcPr>
          <w:p>
            <w:pPr>
              <w:pStyle w:val="14"/>
              <w:rPr>
                <w:color w:val="auto"/>
              </w:rPr>
            </w:pPr>
            <w:r>
              <w:rPr>
                <w:color w:val="auto"/>
              </w:rPr>
              <w:t>小计</w:t>
            </w:r>
          </w:p>
        </w:tc>
        <w:tc>
          <w:tcPr>
            <w:tcW w:w="1134" w:type="dxa"/>
            <w:vAlign w:val="center"/>
          </w:tcPr>
          <w:p>
            <w:pPr>
              <w:pStyle w:val="14"/>
              <w:rPr>
                <w:color w:val="auto"/>
              </w:rPr>
            </w:pPr>
            <w:r>
              <w:rPr>
                <w:color w:val="auto"/>
              </w:rPr>
              <w:t>财政拨款 收入</w:t>
            </w:r>
          </w:p>
        </w:tc>
        <w:tc>
          <w:tcPr>
            <w:tcW w:w="1134" w:type="dxa"/>
            <w:vAlign w:val="center"/>
          </w:tcPr>
          <w:p>
            <w:pPr>
              <w:pStyle w:val="14"/>
              <w:rPr>
                <w:color w:val="auto"/>
              </w:rPr>
            </w:pPr>
            <w:r>
              <w:rPr>
                <w:color w:val="auto"/>
              </w:rPr>
              <w:t>财政专户 收入</w:t>
            </w:r>
          </w:p>
        </w:tc>
        <w:tc>
          <w:tcPr>
            <w:tcW w:w="1134" w:type="dxa"/>
            <w:vAlign w:val="center"/>
          </w:tcPr>
          <w:p>
            <w:pPr>
              <w:pStyle w:val="14"/>
              <w:rPr>
                <w:color w:val="auto"/>
              </w:rPr>
            </w:pPr>
            <w:r>
              <w:rPr>
                <w:color w:val="auto"/>
              </w:rPr>
              <w:t>事业收入</w:t>
            </w:r>
          </w:p>
        </w:tc>
        <w:tc>
          <w:tcPr>
            <w:tcW w:w="1134" w:type="dxa"/>
            <w:vAlign w:val="center"/>
          </w:tcPr>
          <w:p>
            <w:pPr>
              <w:pStyle w:val="14"/>
              <w:rPr>
                <w:color w:val="auto"/>
              </w:rPr>
            </w:pPr>
            <w:r>
              <w:rPr>
                <w:color w:val="auto"/>
              </w:rPr>
              <w:t>经营收入</w:t>
            </w:r>
          </w:p>
        </w:tc>
        <w:tc>
          <w:tcPr>
            <w:tcW w:w="1134"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1559" w:type="dxa"/>
            <w:vAlign w:val="center"/>
          </w:tcPr>
          <w:p>
            <w:pPr>
              <w:pStyle w:val="14"/>
              <w:rPr>
                <w:color w:val="auto"/>
              </w:rPr>
            </w:pPr>
            <w:r>
              <w:rPr>
                <w:color w:val="auto"/>
              </w:rPr>
              <w:t>2</w:t>
            </w:r>
          </w:p>
        </w:tc>
        <w:tc>
          <w:tcPr>
            <w:tcW w:w="1134" w:type="dxa"/>
            <w:vAlign w:val="center"/>
          </w:tcPr>
          <w:p>
            <w:pPr>
              <w:pStyle w:val="14"/>
              <w:rPr>
                <w:color w:val="auto"/>
              </w:rPr>
            </w:pPr>
            <w:r>
              <w:rPr>
                <w:color w:val="auto"/>
              </w:rPr>
              <w:t>3</w:t>
            </w:r>
          </w:p>
        </w:tc>
        <w:tc>
          <w:tcPr>
            <w:tcW w:w="1134" w:type="dxa"/>
            <w:vAlign w:val="center"/>
          </w:tcPr>
          <w:p>
            <w:pPr>
              <w:pStyle w:val="14"/>
              <w:rPr>
                <w:color w:val="auto"/>
              </w:rPr>
            </w:pPr>
            <w:r>
              <w:rPr>
                <w:color w:val="auto"/>
              </w:rPr>
              <w:t>4</w:t>
            </w:r>
          </w:p>
        </w:tc>
        <w:tc>
          <w:tcPr>
            <w:tcW w:w="1134" w:type="dxa"/>
            <w:vAlign w:val="center"/>
          </w:tcPr>
          <w:p>
            <w:pPr>
              <w:pStyle w:val="14"/>
              <w:rPr>
                <w:color w:val="auto"/>
              </w:rPr>
            </w:pPr>
            <w:r>
              <w:rPr>
                <w:color w:val="auto"/>
              </w:rPr>
              <w:t>5</w:t>
            </w:r>
          </w:p>
        </w:tc>
        <w:tc>
          <w:tcPr>
            <w:tcW w:w="1134" w:type="dxa"/>
            <w:vAlign w:val="center"/>
          </w:tcPr>
          <w:p>
            <w:pPr>
              <w:pStyle w:val="14"/>
              <w:rPr>
                <w:color w:val="auto"/>
              </w:rPr>
            </w:pPr>
            <w:r>
              <w:rPr>
                <w:color w:val="auto"/>
              </w:rPr>
              <w:t>6</w:t>
            </w:r>
          </w:p>
        </w:tc>
        <w:tc>
          <w:tcPr>
            <w:tcW w:w="1134" w:type="dxa"/>
            <w:vAlign w:val="center"/>
          </w:tcPr>
          <w:p>
            <w:pPr>
              <w:pStyle w:val="14"/>
              <w:rPr>
                <w:color w:val="auto"/>
              </w:rPr>
            </w:pPr>
            <w:r>
              <w:rPr>
                <w:color w:val="auto"/>
              </w:rPr>
              <w:t>7</w:t>
            </w:r>
          </w:p>
        </w:tc>
        <w:tc>
          <w:tcPr>
            <w:tcW w:w="1134" w:type="dxa"/>
            <w:vAlign w:val="center"/>
          </w:tcPr>
          <w:p>
            <w:pPr>
              <w:pStyle w:val="14"/>
              <w:rPr>
                <w:color w:val="auto"/>
              </w:rPr>
            </w:pPr>
            <w:r>
              <w:rPr>
                <w:color w:val="auto"/>
              </w:rPr>
              <w:t>8</w:t>
            </w:r>
          </w:p>
        </w:tc>
        <w:tc>
          <w:tcPr>
            <w:tcW w:w="1134"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p>
        </w:tc>
        <w:tc>
          <w:tcPr>
            <w:tcW w:w="992" w:type="dxa"/>
            <w:vAlign w:val="center"/>
          </w:tcPr>
          <w:p>
            <w:pPr>
              <w:pStyle w:val="16"/>
              <w:rPr>
                <w:color w:val="auto"/>
              </w:rPr>
            </w:pPr>
          </w:p>
        </w:tc>
        <w:tc>
          <w:tcPr>
            <w:tcW w:w="1559" w:type="dxa"/>
            <w:vAlign w:val="center"/>
          </w:tcPr>
          <w:p>
            <w:pPr>
              <w:pStyle w:val="16"/>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注：无收入预算，空表列示。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5"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992" w:type="dxa"/>
            <w:vAlign w:val="center"/>
          </w:tcPr>
          <w:p>
            <w:pPr>
              <w:pStyle w:val="16"/>
              <w:rPr>
                <w:color w:val="auto"/>
              </w:rPr>
            </w:pPr>
          </w:p>
        </w:tc>
        <w:tc>
          <w:tcPr>
            <w:tcW w:w="4535" w:type="dxa"/>
            <w:vAlign w:val="center"/>
          </w:tcPr>
          <w:p>
            <w:pPr>
              <w:pStyle w:val="16"/>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一、一般公共服务支出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color w:val="auto"/>
              </w:rPr>
            </w:pPr>
          </w:p>
        </w:tc>
        <w:tc>
          <w:tcPr>
            <w:tcW w:w="3402" w:type="dxa"/>
            <w:vAlign w:val="center"/>
          </w:tcPr>
          <w:p>
            <w:pPr>
              <w:pStyle w:val="18"/>
              <w:rPr>
                <w:color w:val="auto"/>
              </w:rPr>
            </w:pPr>
            <w:r>
              <w:rPr>
                <w:color w:val="auto"/>
              </w:rPr>
              <w:t>本年支出合计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color w:val="auto"/>
              </w:rPr>
            </w:pPr>
          </w:p>
        </w:tc>
        <w:tc>
          <w:tcPr>
            <w:tcW w:w="3402" w:type="dxa"/>
            <w:vAlign w:val="center"/>
          </w:tcPr>
          <w:p>
            <w:pPr>
              <w:pStyle w:val="18"/>
              <w:rPr>
                <w:color w:val="auto"/>
              </w:rPr>
            </w:pPr>
            <w:r>
              <w:rPr>
                <w:color w:val="auto"/>
              </w:rPr>
              <w:t>支出总计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注：无财政拨款收支预算，空表列示。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支出部门经济分类科目</w:t>
            </w:r>
          </w:p>
        </w:tc>
        <w:tc>
          <w:tcPr>
            <w:tcW w:w="7654"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Align w:val="center"/>
          </w:tcPr>
          <w:p>
            <w:pPr>
              <w:pStyle w:val="14"/>
              <w:rPr>
                <w:color w:val="auto"/>
              </w:rPr>
            </w:pPr>
            <w:r>
              <w:rPr>
                <w:color w:val="auto"/>
              </w:rPr>
              <w:t>合计</w:t>
            </w:r>
          </w:p>
        </w:tc>
        <w:tc>
          <w:tcPr>
            <w:tcW w:w="2551" w:type="dxa"/>
            <w:vAlign w:val="center"/>
          </w:tcPr>
          <w:p>
            <w:pPr>
              <w:pStyle w:val="14"/>
              <w:rPr>
                <w:color w:val="auto"/>
              </w:rPr>
            </w:pPr>
            <w:r>
              <w:rPr>
                <w:color w:val="auto"/>
              </w:rPr>
              <w:t>人员经费</w:t>
            </w:r>
          </w:p>
        </w:tc>
        <w:tc>
          <w:tcPr>
            <w:tcW w:w="2551"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注：无一般公共预算财政拨款基本支出预算，空表列示。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p>
        </w:tc>
        <w:tc>
          <w:tcPr>
            <w:tcW w:w="3798" w:type="dxa"/>
            <w:vAlign w:val="center"/>
          </w:tcPr>
          <w:p>
            <w:pPr>
              <w:pStyle w:val="16"/>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w:t>
      </w:r>
      <w:r>
        <w:rPr>
          <w:rFonts w:hint="eastAsia" w:ascii="方正书宋_GBK" w:hAnsi="方正书宋_GBK" w:eastAsia="方正书宋_GBK" w:cs="方正书宋_GBK"/>
          <w:color w:val="auto"/>
          <w:sz w:val="21"/>
          <w:lang w:eastAsia="zh-CN"/>
        </w:rPr>
        <w:t>经费支出预算</w:t>
      </w:r>
      <w:r>
        <w:rPr>
          <w:rFonts w:ascii="方正书宋_GBK" w:hAnsi="方正书宋_GBK" w:eastAsia="方正书宋_GBK" w:cs="方正书宋_GBK"/>
          <w:color w:val="auto"/>
          <w:sz w:val="21"/>
        </w:rPr>
        <w:t>，空表列示。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w:t>
      </w:r>
      <w:r>
        <w:rPr>
          <w:rFonts w:hint="eastAsia" w:ascii="方正小标宋_GBK" w:hAnsi="方正小标宋_GBK" w:eastAsia="方正小标宋_GBK" w:cs="方正小标宋_GBK"/>
          <w:b w:val="0"/>
          <w:color w:val="auto"/>
          <w:sz w:val="44"/>
          <w:lang w:eastAsia="zh-CN"/>
        </w:rPr>
        <w:t>市节能监察</w:t>
      </w:r>
      <w:r>
        <w:rPr>
          <w:rFonts w:ascii="方正小标宋_GBK" w:hAnsi="方正小标宋_GBK" w:eastAsia="方正小标宋_GBK" w:cs="方正小标宋_GBK"/>
          <w:b w:val="0"/>
          <w:color w:val="auto"/>
          <w:sz w:val="44"/>
        </w:rPr>
        <w:t>中心</w:t>
      </w:r>
      <w:r>
        <w:rPr>
          <w:rFonts w:hint="eastAsia" w:ascii="方正小标宋_GBK" w:hAnsi="方正小标宋_GBK" w:eastAsia="方正小标宋_GBK" w:cs="方正小标宋_GBK"/>
          <w:b w:val="0"/>
          <w:color w:val="auto"/>
          <w:sz w:val="44"/>
          <w:lang w:eastAsia="zh-CN"/>
        </w:rPr>
        <w:t>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w:t>
      </w:r>
      <w:r>
        <w:rPr>
          <w:rFonts w:hint="eastAsia" w:eastAsia="方正仿宋_GBK" w:cs="Times New Roman"/>
          <w:b w:val="0"/>
          <w:color w:val="auto"/>
          <w:sz w:val="28"/>
          <w:lang w:eastAsia="zh-CN"/>
        </w:rPr>
        <w:t>节能监察</w:t>
      </w:r>
      <w:r>
        <w:rPr>
          <w:rFonts w:ascii="Times New Roman" w:hAnsi="Times New Roman" w:eastAsia="方正仿宋_GBK" w:cs="Times New Roman"/>
          <w:b w:val="0"/>
          <w:color w:val="auto"/>
          <w:sz w:val="28"/>
        </w:rPr>
        <w:t>中心</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（一）负责全市节能形势分析和监测，为政府和节能行政主管部门决策提供依据。</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（二）负责用能单位能源消耗核算以及节能标准执行情况调查，为节能监察工作提供技术服务。</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（三）负责供用能单位节能监测。</w:t>
      </w:r>
    </w:p>
    <w:p>
      <w:pPr>
        <w:spacing w:line="600" w:lineRule="exact"/>
        <w:ind w:firstLine="640" w:firstLineChars="200"/>
        <w:outlineLvl w:val="0"/>
        <w:rPr>
          <w:rFonts w:ascii="仿宋_GB2312" w:eastAsia="仿宋_GB2312"/>
          <w:color w:val="auto"/>
          <w:kern w:val="0"/>
          <w:sz w:val="32"/>
          <w:szCs w:val="32"/>
        </w:rPr>
      </w:pPr>
      <w:r>
        <w:rPr>
          <w:rFonts w:hint="eastAsia" w:ascii="仿宋_GB2312" w:eastAsia="仿宋_GB2312"/>
          <w:color w:val="auto"/>
          <w:sz w:val="32"/>
          <w:szCs w:val="32"/>
        </w:rPr>
        <w:t>（四）开展节能宣传和节能新技术推广工作。</w:t>
      </w:r>
    </w:p>
    <w:p>
      <w:pPr>
        <w:spacing w:before="0" w:after="0" w:line="240" w:lineRule="auto"/>
        <w:ind w:firstLine="640"/>
        <w:jc w:val="left"/>
        <w:outlineLvl w:val="9"/>
        <w:rPr>
          <w:rFonts w:hint="eastAsia" w:ascii="仿宋_GB2312" w:eastAsia="仿宋_GB2312"/>
          <w:color w:val="auto"/>
          <w:sz w:val="32"/>
          <w:szCs w:val="32"/>
        </w:rPr>
      </w:pPr>
      <w:r>
        <w:rPr>
          <w:rFonts w:hint="eastAsia" w:ascii="仿宋_GB2312" w:eastAsia="仿宋_GB2312"/>
          <w:color w:val="auto"/>
          <w:kern w:val="0"/>
          <w:sz w:val="32"/>
          <w:szCs w:val="32"/>
        </w:rPr>
        <w:t>（五）</w:t>
      </w:r>
      <w:r>
        <w:rPr>
          <w:rFonts w:hint="eastAsia" w:ascii="仿宋_GB2312" w:eastAsia="仿宋_GB2312"/>
          <w:color w:val="auto"/>
          <w:sz w:val="32"/>
          <w:szCs w:val="32"/>
        </w:rPr>
        <w:t>完成市发展和改革局交办的其他任务。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color w:val="auto"/>
              </w:rPr>
            </w:pPr>
            <w:r>
              <w:rPr>
                <w:color w:val="auto"/>
              </w:rPr>
              <w:t>单位名称</w:t>
            </w:r>
          </w:p>
        </w:tc>
        <w:tc>
          <w:tcPr>
            <w:tcW w:w="1843" w:type="dxa"/>
            <w:vAlign w:val="center"/>
          </w:tcPr>
          <w:p>
            <w:pPr>
              <w:pStyle w:val="14"/>
              <w:rPr>
                <w:color w:val="auto"/>
              </w:rPr>
            </w:pPr>
            <w:r>
              <w:rPr>
                <w:color w:val="auto"/>
              </w:rPr>
              <w:t>单位性质</w:t>
            </w:r>
          </w:p>
        </w:tc>
        <w:tc>
          <w:tcPr>
            <w:tcW w:w="2126" w:type="dxa"/>
            <w:vAlign w:val="center"/>
          </w:tcPr>
          <w:p>
            <w:pPr>
              <w:pStyle w:val="14"/>
              <w:rPr>
                <w:color w:val="auto"/>
              </w:rPr>
            </w:pPr>
            <w:r>
              <w:rPr>
                <w:color w:val="auto"/>
              </w:rPr>
              <w:t>单位规格</w:t>
            </w:r>
          </w:p>
        </w:tc>
        <w:tc>
          <w:tcPr>
            <w:tcW w:w="3827"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color w:val="auto"/>
              </w:rPr>
            </w:pPr>
            <w:r>
              <w:rPr>
                <w:color w:val="auto"/>
              </w:rPr>
              <w:t>沙河市</w:t>
            </w:r>
            <w:r>
              <w:rPr>
                <w:rFonts w:hint="eastAsia"/>
                <w:color w:val="auto"/>
                <w:lang w:eastAsia="zh-CN"/>
              </w:rPr>
              <w:t>节能监察</w:t>
            </w:r>
            <w:r>
              <w:rPr>
                <w:color w:val="auto"/>
              </w:rPr>
              <w:t>中心</w:t>
            </w:r>
          </w:p>
        </w:tc>
        <w:tc>
          <w:tcPr>
            <w:tcW w:w="1843" w:type="dxa"/>
            <w:vAlign w:val="center"/>
          </w:tcPr>
          <w:p>
            <w:pPr>
              <w:pStyle w:val="17"/>
              <w:rPr>
                <w:color w:val="auto"/>
              </w:rPr>
            </w:pPr>
            <w:r>
              <w:rPr>
                <w:color w:val="auto"/>
              </w:rPr>
              <w:t>事业</w:t>
            </w:r>
          </w:p>
        </w:tc>
        <w:tc>
          <w:tcPr>
            <w:tcW w:w="2126" w:type="dxa"/>
            <w:vAlign w:val="center"/>
          </w:tcPr>
          <w:p>
            <w:pPr>
              <w:pStyle w:val="17"/>
              <w:rPr>
                <w:color w:val="auto"/>
              </w:rPr>
            </w:pPr>
          </w:p>
        </w:tc>
        <w:tc>
          <w:tcPr>
            <w:tcW w:w="3827" w:type="dxa"/>
            <w:vAlign w:val="center"/>
          </w:tcPr>
          <w:p>
            <w:pPr>
              <w:pStyle w:val="17"/>
              <w:rPr>
                <w:color w:val="auto"/>
              </w:rPr>
            </w:pPr>
            <w:r>
              <w:rPr>
                <w:color w:val="auto"/>
              </w:rPr>
              <w:t>其他</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w:t>
      </w:r>
      <w:r>
        <w:rPr>
          <w:rFonts w:ascii="Times New Roman" w:hAnsi="Times New Roman" w:eastAsia="方正仿宋_GBK" w:cs="Times New Roman"/>
          <w:b w:val="0"/>
          <w:color w:val="auto"/>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1、收入说明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eastAsia="zh-CN"/>
        </w:rPr>
        <w:t>单位</w:t>
      </w:r>
      <w:r>
        <w:rPr>
          <w:rFonts w:ascii="Times New Roman" w:hAnsi="Times New Roman" w:eastAsia="方正仿宋_GBK" w:cs="Times New Roman"/>
          <w:b w:val="0"/>
          <w:color w:val="auto"/>
          <w:sz w:val="28"/>
        </w:rPr>
        <w:t>当年全部收入。</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2、支出说明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收支预算总表支出栏、基本支出表、项目支出表按经济分类和支出功能分类科目编制，反映沙河市发展和改革局</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eastAsia="zh-CN"/>
        </w:rPr>
        <w:t>单位</w:t>
      </w:r>
      <w:r>
        <w:rPr>
          <w:rFonts w:hint="eastAsia" w:ascii="Times New Roman" w:hAnsi="Times New Roman" w:eastAsia="方正仿宋_GBK" w:cs="Times New Roman"/>
          <w:b w:val="0"/>
          <w:color w:val="auto"/>
          <w:sz w:val="28"/>
        </w:rPr>
        <w:t>预算中支出预算的总体情况。</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万元，其中基本支出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3</w:t>
      </w:r>
      <w:r>
        <w:rPr>
          <w:rFonts w:hint="eastAsia" w:ascii="Times New Roman" w:hAnsi="Times New Roman" w:eastAsia="方正仿宋_GBK" w:cs="Times New Roman"/>
          <w:b w:val="0"/>
          <w:color w:val="auto"/>
          <w:sz w:val="28"/>
        </w:rPr>
        <w:t>、比上年增减情况</w:t>
      </w:r>
    </w:p>
    <w:p>
      <w:pPr>
        <w:spacing w:before="0" w:after="0" w:line="500" w:lineRule="exact"/>
        <w:ind w:firstLine="560"/>
        <w:jc w:val="left"/>
        <w:outlineLvl w:val="9"/>
        <w:rPr>
          <w:rFonts w:hint="eastAsia" w:ascii="??_GB2312" w:hAnsi="??_GB2312" w:eastAsia="方正仿宋_GBK" w:cs="??_GB2312"/>
          <w:color w:val="auto"/>
          <w:sz w:val="32"/>
          <w:szCs w:val="32"/>
          <w:lang w:val="en-US" w:eastAsia="zh-CN"/>
        </w:rPr>
      </w:pPr>
      <w:r>
        <w:rPr>
          <w:rFonts w:hint="eastAsia" w:eastAsia="方正仿宋_GBK" w:cs="Times New Roman"/>
          <w:b w:val="0"/>
          <w:color w:val="auto"/>
          <w:sz w:val="28"/>
          <w:lang w:eastAsia="zh-CN"/>
        </w:rPr>
        <w:t>2021</w:t>
      </w:r>
      <w:r>
        <w:rPr>
          <w:rFonts w:hint="eastAsia" w:ascii="Times New Roman" w:hAnsi="Times New Roman" w:eastAsia="方正仿宋_GBK" w:cs="Times New Roman"/>
          <w:b w:val="0"/>
          <w:color w:val="auto"/>
          <w:sz w:val="28"/>
        </w:rPr>
        <w:t>年预算收支</w:t>
      </w:r>
      <w:r>
        <w:rPr>
          <w:rFonts w:hint="eastAsia" w:eastAsia="方正仿宋_GBK" w:cs="Times New Roman"/>
          <w:b w:val="0"/>
          <w:color w:val="auto"/>
          <w:sz w:val="28"/>
          <w:lang w:eastAsia="zh-CN"/>
        </w:rPr>
        <w:t>与上年持平。</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31"/>
        <w:rPr>
          <w:color w:val="auto"/>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val="en-US" w:eastAsia="zh-CN"/>
        </w:rPr>
        <w:t>与去年持平。</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2"/>
        <w:rPr>
          <w:rFonts w:hint="eastAsia" w:eastAsia="方正仿宋_GBK"/>
          <w:color w:val="auto"/>
          <w:lang w:eastAsia="zh-CN"/>
        </w:rPr>
      </w:pPr>
      <w:r>
        <w:rPr>
          <w:rFonts w:hint="eastAsia" w:ascii="??_GB2312" w:hAnsi="??_GB2312" w:cs="??_GB2312"/>
          <w:color w:val="auto"/>
          <w:sz w:val="32"/>
          <w:szCs w:val="32"/>
          <w:lang w:eastAsia="zh-CN"/>
        </w:rPr>
        <w:t>2021</w:t>
      </w:r>
      <w:r>
        <w:rPr>
          <w:rFonts w:hint="eastAsia" w:ascii="宋体" w:hAnsi="宋体" w:cs="宋体"/>
          <w:color w:val="auto"/>
          <w:sz w:val="32"/>
          <w:szCs w:val="32"/>
        </w:rPr>
        <w:t>年，我</w:t>
      </w:r>
      <w:r>
        <w:rPr>
          <w:rFonts w:hint="eastAsia" w:ascii="宋体" w:hAnsi="宋体" w:cs="宋体"/>
          <w:color w:val="auto"/>
          <w:sz w:val="32"/>
          <w:szCs w:val="32"/>
          <w:lang w:eastAsia="zh-CN"/>
        </w:rPr>
        <w:t>单位“</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eastAsia="zh-CN"/>
        </w:rPr>
        <w:t>，与上年持平。</w:t>
      </w:r>
    </w:p>
    <w:p>
      <w:pPr>
        <w:numPr>
          <w:ilvl w:val="0"/>
          <w:numId w:val="5"/>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预算绩效信息</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绩效目标：绩效目标：通过采取宣传、监察等方式，确保完成节能、削煤、降碳目标任务；积极助推节能减排和大气污染防治；确保实现年度单位GDP能耗下降率。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年度内对企业开展节能监察次数不低于3次。②质量指标：100%完成上级下达的各项节能监察任务。③时效指标：严格按照相关文件要求，在上级下达工作要求的时限内高效地完成工作。④成本指标：严格按照预算执行标准。</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2）.效果指标：①经济效益指标：单位GDP能耗的同期下降比率不低于3.6%。②社会效益指标：单位工业产值增加值能耗的同期下降比率不低于3%。</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3）.满意度指标：①服务对象满意度指标：服务对象对节能监察工作等的满意程度不低于95%。</w:t>
      </w:r>
    </w:p>
    <w:p>
      <w:pPr>
        <w:pStyle w:val="2"/>
        <w:numPr>
          <w:ilvl w:val="0"/>
          <w:numId w:val="0"/>
        </w:numPr>
        <w:spacing w:after="120" w:afterLines="0"/>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w:t>
      </w:r>
      <w:r>
        <w:rPr>
          <w:rFonts w:hint="eastAsia" w:eastAsia="方正仿宋_GBK" w:cs="Times New Roman"/>
          <w:b w:val="0"/>
          <w:color w:val="auto"/>
          <w:sz w:val="28"/>
          <w:lang w:eastAsia="zh-CN"/>
        </w:rPr>
        <w:t>节能监察</w:t>
      </w:r>
      <w:r>
        <w:rPr>
          <w:rFonts w:ascii="Times New Roman" w:hAnsi="Times New Roman" w:eastAsia="方正仿宋_GBK" w:cs="Times New Roman"/>
          <w:b w:val="0"/>
          <w:color w:val="auto"/>
          <w:sz w:val="28"/>
        </w:rPr>
        <w:t>中心安排政府采购预算0.00万元。具体内容见下表。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w:t>
      </w:r>
      <w:r>
        <w:rPr>
          <w:rFonts w:hint="eastAsia" w:eastAsia="方正仿宋_GBK" w:cs="Times New Roman"/>
          <w:b w:val="0"/>
          <w:color w:val="auto"/>
          <w:sz w:val="28"/>
          <w:lang w:eastAsia="zh-CN"/>
        </w:rPr>
        <w:t>节能监察</w:t>
      </w:r>
      <w:r>
        <w:rPr>
          <w:rFonts w:ascii="Times New Roman" w:hAnsi="Times New Roman" w:eastAsia="方正仿宋_GBK" w:cs="Times New Roman"/>
          <w:b w:val="0"/>
          <w:color w:val="auto"/>
          <w:sz w:val="28"/>
        </w:rPr>
        <w:t>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节能监察</w:t>
            </w:r>
            <w:r>
              <w:rPr>
                <w:color w:val="auto"/>
              </w:rPr>
              <w:t>中心</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p>
        </w:tc>
        <w:tc>
          <w:tcPr>
            <w:tcW w:w="2835" w:type="dxa"/>
            <w:vAlign w:val="center"/>
          </w:tcPr>
          <w:p>
            <w:pPr>
              <w:pStyle w:val="17"/>
              <w:rPr>
                <w:color w:val="auto"/>
              </w:rPr>
            </w:pPr>
          </w:p>
        </w:tc>
        <w:tc>
          <w:tcPr>
            <w:tcW w:w="2835" w:type="dxa"/>
            <w:vAlign w:val="center"/>
          </w:tcPr>
          <w:p>
            <w:pPr>
              <w:pStyle w:val="15"/>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ind w:firstLine="560" w:firstLineChars="200"/>
        <w:jc w:val="both"/>
        <w:outlineLvl w:val="3"/>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color w:val="auto"/>
        </w:rPr>
      </w:pPr>
      <w:r>
        <w:rPr>
          <w:rFonts w:hint="eastAsia" w:ascii="方正小标宋_GBK" w:hAnsi="方正小标宋_GBK" w:eastAsia="方正小标宋_GBK" w:cs="方正小标宋_GBK"/>
          <w:b w:val="0"/>
          <w:color w:val="auto"/>
          <w:sz w:val="44"/>
          <w:lang w:eastAsia="zh-CN"/>
        </w:rPr>
        <w:t>三</w:t>
      </w: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经济信息</w:t>
      </w:r>
      <w:r>
        <w:rPr>
          <w:rFonts w:ascii="方正小标宋_GBK" w:hAnsi="方正小标宋_GBK" w:eastAsia="方正小标宋_GBK" w:cs="方正小标宋_GBK"/>
          <w:b w:val="0"/>
          <w:color w:val="auto"/>
          <w:sz w:val="44"/>
        </w:rPr>
        <w:t>中心收支预算</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一、一般公共服务支出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color w:val="auto"/>
              </w:rPr>
            </w:pPr>
          </w:p>
        </w:tc>
        <w:tc>
          <w:tcPr>
            <w:tcW w:w="4535" w:type="dxa"/>
            <w:vAlign w:val="center"/>
          </w:tcPr>
          <w:p>
            <w:pPr>
              <w:pStyle w:val="18"/>
              <w:rPr>
                <w:color w:val="auto"/>
              </w:rPr>
            </w:pPr>
            <w:r>
              <w:rPr>
                <w:color w:val="auto"/>
              </w:rPr>
              <w:t>本年支出合计</w:t>
            </w:r>
          </w:p>
        </w:tc>
        <w:tc>
          <w:tcPr>
            <w:tcW w:w="2126"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color w:val="auto"/>
              </w:rPr>
            </w:pPr>
          </w:p>
        </w:tc>
        <w:tc>
          <w:tcPr>
            <w:tcW w:w="4535" w:type="dxa"/>
            <w:vAlign w:val="center"/>
          </w:tcPr>
          <w:p>
            <w:pPr>
              <w:pStyle w:val="18"/>
              <w:rPr>
                <w:color w:val="auto"/>
              </w:rPr>
            </w:pPr>
            <w:r>
              <w:rPr>
                <w:color w:val="auto"/>
              </w:rPr>
              <w:t>支出总计</w:t>
            </w:r>
          </w:p>
        </w:tc>
        <w:tc>
          <w:tcPr>
            <w:tcW w:w="2126"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2551" w:type="dxa"/>
            <w:gridSpan w:val="2"/>
            <w:vAlign w:val="center"/>
          </w:tcPr>
          <w:p>
            <w:pPr>
              <w:pStyle w:val="14"/>
              <w:rPr>
                <w:color w:val="auto"/>
              </w:rPr>
            </w:pPr>
            <w:r>
              <w:rPr>
                <w:color w:val="auto"/>
              </w:rPr>
              <w:t>功能分类科目</w:t>
            </w:r>
          </w:p>
        </w:tc>
        <w:tc>
          <w:tcPr>
            <w:tcW w:w="1134" w:type="dxa"/>
            <w:vMerge w:val="restart"/>
            <w:vAlign w:val="center"/>
          </w:tcPr>
          <w:p>
            <w:pPr>
              <w:pStyle w:val="14"/>
              <w:rPr>
                <w:color w:val="auto"/>
              </w:rPr>
            </w:pPr>
            <w:r>
              <w:rPr>
                <w:color w:val="auto"/>
              </w:rPr>
              <w:t>合计</w:t>
            </w:r>
          </w:p>
        </w:tc>
        <w:tc>
          <w:tcPr>
            <w:tcW w:w="9071"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1559" w:type="dxa"/>
            <w:vAlign w:val="center"/>
          </w:tcPr>
          <w:p>
            <w:pPr>
              <w:pStyle w:val="14"/>
              <w:rPr>
                <w:color w:val="auto"/>
              </w:rPr>
            </w:pPr>
            <w:r>
              <w:rPr>
                <w:color w:val="auto"/>
              </w:rPr>
              <w:t>科目名称</w:t>
            </w:r>
          </w:p>
        </w:tc>
        <w:tc>
          <w:tcPr>
            <w:tcW w:w="1134" w:type="dxa"/>
            <w:vMerge w:val="continue"/>
          </w:tcPr>
          <w:p>
            <w:pPr>
              <w:rPr>
                <w:color w:val="auto"/>
              </w:rPr>
            </w:pPr>
          </w:p>
        </w:tc>
        <w:tc>
          <w:tcPr>
            <w:tcW w:w="1134" w:type="dxa"/>
            <w:vAlign w:val="center"/>
          </w:tcPr>
          <w:p>
            <w:pPr>
              <w:pStyle w:val="14"/>
              <w:rPr>
                <w:color w:val="auto"/>
              </w:rPr>
            </w:pPr>
            <w:r>
              <w:rPr>
                <w:color w:val="auto"/>
              </w:rPr>
              <w:t>小计</w:t>
            </w:r>
          </w:p>
        </w:tc>
        <w:tc>
          <w:tcPr>
            <w:tcW w:w="1134" w:type="dxa"/>
            <w:vAlign w:val="center"/>
          </w:tcPr>
          <w:p>
            <w:pPr>
              <w:pStyle w:val="14"/>
              <w:rPr>
                <w:color w:val="auto"/>
              </w:rPr>
            </w:pPr>
            <w:r>
              <w:rPr>
                <w:color w:val="auto"/>
              </w:rPr>
              <w:t>财政拨款 收入</w:t>
            </w:r>
          </w:p>
        </w:tc>
        <w:tc>
          <w:tcPr>
            <w:tcW w:w="1134" w:type="dxa"/>
            <w:vAlign w:val="center"/>
          </w:tcPr>
          <w:p>
            <w:pPr>
              <w:pStyle w:val="14"/>
              <w:rPr>
                <w:color w:val="auto"/>
              </w:rPr>
            </w:pPr>
            <w:r>
              <w:rPr>
                <w:color w:val="auto"/>
              </w:rPr>
              <w:t>财政专户 收入</w:t>
            </w:r>
          </w:p>
        </w:tc>
        <w:tc>
          <w:tcPr>
            <w:tcW w:w="1134" w:type="dxa"/>
            <w:vAlign w:val="center"/>
          </w:tcPr>
          <w:p>
            <w:pPr>
              <w:pStyle w:val="14"/>
              <w:rPr>
                <w:color w:val="auto"/>
              </w:rPr>
            </w:pPr>
            <w:r>
              <w:rPr>
                <w:color w:val="auto"/>
              </w:rPr>
              <w:t>事业收入</w:t>
            </w:r>
          </w:p>
        </w:tc>
        <w:tc>
          <w:tcPr>
            <w:tcW w:w="1134" w:type="dxa"/>
            <w:vAlign w:val="center"/>
          </w:tcPr>
          <w:p>
            <w:pPr>
              <w:pStyle w:val="14"/>
              <w:rPr>
                <w:color w:val="auto"/>
              </w:rPr>
            </w:pPr>
            <w:r>
              <w:rPr>
                <w:color w:val="auto"/>
              </w:rPr>
              <w:t>经营收入</w:t>
            </w:r>
          </w:p>
        </w:tc>
        <w:tc>
          <w:tcPr>
            <w:tcW w:w="1134"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1559" w:type="dxa"/>
            <w:vAlign w:val="center"/>
          </w:tcPr>
          <w:p>
            <w:pPr>
              <w:pStyle w:val="14"/>
              <w:rPr>
                <w:color w:val="auto"/>
              </w:rPr>
            </w:pPr>
            <w:r>
              <w:rPr>
                <w:color w:val="auto"/>
              </w:rPr>
              <w:t>2</w:t>
            </w:r>
          </w:p>
        </w:tc>
        <w:tc>
          <w:tcPr>
            <w:tcW w:w="1134" w:type="dxa"/>
            <w:vAlign w:val="center"/>
          </w:tcPr>
          <w:p>
            <w:pPr>
              <w:pStyle w:val="14"/>
              <w:rPr>
                <w:color w:val="auto"/>
              </w:rPr>
            </w:pPr>
            <w:r>
              <w:rPr>
                <w:color w:val="auto"/>
              </w:rPr>
              <w:t>3</w:t>
            </w:r>
          </w:p>
        </w:tc>
        <w:tc>
          <w:tcPr>
            <w:tcW w:w="1134" w:type="dxa"/>
            <w:vAlign w:val="center"/>
          </w:tcPr>
          <w:p>
            <w:pPr>
              <w:pStyle w:val="14"/>
              <w:rPr>
                <w:color w:val="auto"/>
              </w:rPr>
            </w:pPr>
            <w:r>
              <w:rPr>
                <w:color w:val="auto"/>
              </w:rPr>
              <w:t>4</w:t>
            </w:r>
          </w:p>
        </w:tc>
        <w:tc>
          <w:tcPr>
            <w:tcW w:w="1134" w:type="dxa"/>
            <w:vAlign w:val="center"/>
          </w:tcPr>
          <w:p>
            <w:pPr>
              <w:pStyle w:val="14"/>
              <w:rPr>
                <w:color w:val="auto"/>
              </w:rPr>
            </w:pPr>
            <w:r>
              <w:rPr>
                <w:color w:val="auto"/>
              </w:rPr>
              <w:t>5</w:t>
            </w:r>
          </w:p>
        </w:tc>
        <w:tc>
          <w:tcPr>
            <w:tcW w:w="1134" w:type="dxa"/>
            <w:vAlign w:val="center"/>
          </w:tcPr>
          <w:p>
            <w:pPr>
              <w:pStyle w:val="14"/>
              <w:rPr>
                <w:color w:val="auto"/>
              </w:rPr>
            </w:pPr>
            <w:r>
              <w:rPr>
                <w:color w:val="auto"/>
              </w:rPr>
              <w:t>6</w:t>
            </w:r>
          </w:p>
        </w:tc>
        <w:tc>
          <w:tcPr>
            <w:tcW w:w="1134" w:type="dxa"/>
            <w:vAlign w:val="center"/>
          </w:tcPr>
          <w:p>
            <w:pPr>
              <w:pStyle w:val="14"/>
              <w:rPr>
                <w:color w:val="auto"/>
              </w:rPr>
            </w:pPr>
            <w:r>
              <w:rPr>
                <w:color w:val="auto"/>
              </w:rPr>
              <w:t>7</w:t>
            </w:r>
          </w:p>
        </w:tc>
        <w:tc>
          <w:tcPr>
            <w:tcW w:w="1134" w:type="dxa"/>
            <w:vAlign w:val="center"/>
          </w:tcPr>
          <w:p>
            <w:pPr>
              <w:pStyle w:val="14"/>
              <w:rPr>
                <w:color w:val="auto"/>
              </w:rPr>
            </w:pPr>
            <w:r>
              <w:rPr>
                <w:color w:val="auto"/>
              </w:rPr>
              <w:t>8</w:t>
            </w:r>
          </w:p>
        </w:tc>
        <w:tc>
          <w:tcPr>
            <w:tcW w:w="1134"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p>
        </w:tc>
        <w:tc>
          <w:tcPr>
            <w:tcW w:w="992" w:type="dxa"/>
            <w:vAlign w:val="center"/>
          </w:tcPr>
          <w:p>
            <w:pPr>
              <w:pStyle w:val="16"/>
              <w:rPr>
                <w:color w:val="auto"/>
              </w:rPr>
            </w:pPr>
          </w:p>
        </w:tc>
        <w:tc>
          <w:tcPr>
            <w:tcW w:w="1559" w:type="dxa"/>
            <w:vAlign w:val="center"/>
          </w:tcPr>
          <w:p>
            <w:pPr>
              <w:pStyle w:val="16"/>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注：无收入预算，空表列示。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5"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992" w:type="dxa"/>
            <w:vAlign w:val="center"/>
          </w:tcPr>
          <w:p>
            <w:pPr>
              <w:pStyle w:val="16"/>
              <w:rPr>
                <w:color w:val="auto"/>
              </w:rPr>
            </w:pPr>
          </w:p>
        </w:tc>
        <w:tc>
          <w:tcPr>
            <w:tcW w:w="4535" w:type="dxa"/>
            <w:vAlign w:val="center"/>
          </w:tcPr>
          <w:p>
            <w:pPr>
              <w:pStyle w:val="16"/>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一、一般公共服务支出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color w:val="auto"/>
              </w:rPr>
            </w:pPr>
          </w:p>
        </w:tc>
        <w:tc>
          <w:tcPr>
            <w:tcW w:w="3402" w:type="dxa"/>
            <w:vAlign w:val="center"/>
          </w:tcPr>
          <w:p>
            <w:pPr>
              <w:pStyle w:val="18"/>
              <w:rPr>
                <w:color w:val="auto"/>
              </w:rPr>
            </w:pPr>
            <w:r>
              <w:rPr>
                <w:color w:val="auto"/>
              </w:rPr>
              <w:t>本年支出合计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color w:val="auto"/>
              </w:rPr>
            </w:pPr>
          </w:p>
        </w:tc>
        <w:tc>
          <w:tcPr>
            <w:tcW w:w="3402" w:type="dxa"/>
            <w:vAlign w:val="center"/>
          </w:tcPr>
          <w:p>
            <w:pPr>
              <w:pStyle w:val="18"/>
              <w:rPr>
                <w:color w:val="auto"/>
              </w:rPr>
            </w:pPr>
            <w:r>
              <w:rPr>
                <w:color w:val="auto"/>
              </w:rPr>
              <w:t>支出总计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注：无财政拨款收支预算，空表列示。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支出部门经济分类科目</w:t>
            </w:r>
          </w:p>
        </w:tc>
        <w:tc>
          <w:tcPr>
            <w:tcW w:w="7654"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Align w:val="center"/>
          </w:tcPr>
          <w:p>
            <w:pPr>
              <w:pStyle w:val="14"/>
              <w:rPr>
                <w:color w:val="auto"/>
              </w:rPr>
            </w:pPr>
            <w:r>
              <w:rPr>
                <w:color w:val="auto"/>
              </w:rPr>
              <w:t>合计</w:t>
            </w:r>
          </w:p>
        </w:tc>
        <w:tc>
          <w:tcPr>
            <w:tcW w:w="2551" w:type="dxa"/>
            <w:vAlign w:val="center"/>
          </w:tcPr>
          <w:p>
            <w:pPr>
              <w:pStyle w:val="14"/>
              <w:rPr>
                <w:color w:val="auto"/>
              </w:rPr>
            </w:pPr>
            <w:r>
              <w:rPr>
                <w:color w:val="auto"/>
              </w:rPr>
              <w:t>人员经费</w:t>
            </w:r>
          </w:p>
        </w:tc>
        <w:tc>
          <w:tcPr>
            <w:tcW w:w="2551"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注：无一般公共预算财政拨款基本支出预算，空表列示。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p>
        </w:tc>
        <w:tc>
          <w:tcPr>
            <w:tcW w:w="3798" w:type="dxa"/>
            <w:vAlign w:val="center"/>
          </w:tcPr>
          <w:p>
            <w:pPr>
              <w:pStyle w:val="16"/>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w:t>
      </w:r>
      <w:r>
        <w:rPr>
          <w:rFonts w:hint="eastAsia" w:ascii="方正书宋_GBK" w:hAnsi="方正书宋_GBK" w:eastAsia="方正书宋_GBK" w:cs="方正书宋_GBK"/>
          <w:color w:val="auto"/>
          <w:sz w:val="21"/>
          <w:lang w:eastAsia="zh-CN"/>
        </w:rPr>
        <w:t>经费支出预算</w:t>
      </w:r>
      <w:r>
        <w:rPr>
          <w:rFonts w:ascii="方正书宋_GBK" w:hAnsi="方正书宋_GBK" w:eastAsia="方正书宋_GBK" w:cs="方正书宋_GBK"/>
          <w:color w:val="auto"/>
          <w:sz w:val="21"/>
        </w:rPr>
        <w:t>，空表列示。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经济信息</w:t>
      </w:r>
      <w:r>
        <w:rPr>
          <w:rFonts w:ascii="方正小标宋_GBK" w:hAnsi="方正小标宋_GBK" w:eastAsia="方正小标宋_GBK" w:cs="方正小标宋_GBK"/>
          <w:b w:val="0"/>
          <w:color w:val="auto"/>
          <w:sz w:val="44"/>
        </w:rPr>
        <w:t>中心</w:t>
      </w:r>
      <w:r>
        <w:rPr>
          <w:rFonts w:hint="eastAsia" w:ascii="方正小标宋_GBK" w:hAnsi="方正小标宋_GBK" w:eastAsia="方正小标宋_GBK" w:cs="方正小标宋_GBK"/>
          <w:b w:val="0"/>
          <w:color w:val="auto"/>
          <w:sz w:val="44"/>
          <w:lang w:eastAsia="zh-CN"/>
        </w:rPr>
        <w:t>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w:t>
      </w:r>
      <w:r>
        <w:rPr>
          <w:rFonts w:hint="eastAsia" w:eastAsia="方正仿宋_GBK" w:cs="Times New Roman"/>
          <w:b w:val="0"/>
          <w:color w:val="auto"/>
          <w:sz w:val="28"/>
          <w:lang w:eastAsia="zh-CN"/>
        </w:rPr>
        <w:t>经济信息</w:t>
      </w:r>
      <w:r>
        <w:rPr>
          <w:rFonts w:ascii="Times New Roman" w:hAnsi="Times New Roman" w:eastAsia="方正仿宋_GBK" w:cs="Times New Roman"/>
          <w:b w:val="0"/>
          <w:color w:val="auto"/>
          <w:sz w:val="28"/>
        </w:rPr>
        <w:t>中心</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（一）负责对宏观经济运行情况进行监测和预测，为政府和社会提供信息技术服务。</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（二）负责经济信息资源的开发利用。</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（三）承担经济信息系统网络建设的技术支撑工作，在同级保密部门业务指导下，负责经济信息的保密工作。</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（四）负责市发展改革局办公系统和门户网站及</w:t>
      </w:r>
      <w:r>
        <w:rPr>
          <w:rFonts w:hint="eastAsia" w:ascii="仿宋_GB2312" w:eastAsia="仿宋_GB2312"/>
          <w:color w:val="auto"/>
          <w:sz w:val="32"/>
          <w:szCs w:val="32"/>
          <w:lang w:eastAsia="zh-CN"/>
        </w:rPr>
        <w:t>其他</w:t>
      </w:r>
      <w:r>
        <w:rPr>
          <w:rFonts w:hint="eastAsia" w:ascii="仿宋_GB2312" w:eastAsia="仿宋_GB2312"/>
          <w:color w:val="auto"/>
          <w:sz w:val="32"/>
          <w:szCs w:val="32"/>
        </w:rPr>
        <w:t>信息系统运行维护。</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（五）为市直有关部门提供经济信息的技术支撑工作，促进信息交流和资源共享。</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（六）完成市发展和改革局交办的其他任务。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color w:val="auto"/>
              </w:rPr>
            </w:pPr>
            <w:r>
              <w:rPr>
                <w:color w:val="auto"/>
              </w:rPr>
              <w:t>单位名称</w:t>
            </w:r>
          </w:p>
        </w:tc>
        <w:tc>
          <w:tcPr>
            <w:tcW w:w="1843" w:type="dxa"/>
            <w:vAlign w:val="center"/>
          </w:tcPr>
          <w:p>
            <w:pPr>
              <w:pStyle w:val="14"/>
              <w:rPr>
                <w:color w:val="auto"/>
              </w:rPr>
            </w:pPr>
            <w:r>
              <w:rPr>
                <w:color w:val="auto"/>
              </w:rPr>
              <w:t>单位性质</w:t>
            </w:r>
          </w:p>
        </w:tc>
        <w:tc>
          <w:tcPr>
            <w:tcW w:w="2126" w:type="dxa"/>
            <w:vAlign w:val="center"/>
          </w:tcPr>
          <w:p>
            <w:pPr>
              <w:pStyle w:val="14"/>
              <w:rPr>
                <w:color w:val="auto"/>
              </w:rPr>
            </w:pPr>
            <w:r>
              <w:rPr>
                <w:color w:val="auto"/>
              </w:rPr>
              <w:t>单位规格</w:t>
            </w:r>
          </w:p>
        </w:tc>
        <w:tc>
          <w:tcPr>
            <w:tcW w:w="3827"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color w:val="auto"/>
              </w:rPr>
            </w:pPr>
            <w:r>
              <w:rPr>
                <w:color w:val="auto"/>
              </w:rPr>
              <w:t>沙河市</w:t>
            </w:r>
            <w:r>
              <w:rPr>
                <w:rFonts w:hint="eastAsia"/>
                <w:color w:val="auto"/>
                <w:lang w:eastAsia="zh-CN"/>
              </w:rPr>
              <w:t>经济信息</w:t>
            </w:r>
            <w:r>
              <w:rPr>
                <w:color w:val="auto"/>
              </w:rPr>
              <w:t>中心</w:t>
            </w:r>
          </w:p>
        </w:tc>
        <w:tc>
          <w:tcPr>
            <w:tcW w:w="1843" w:type="dxa"/>
            <w:vAlign w:val="center"/>
          </w:tcPr>
          <w:p>
            <w:pPr>
              <w:pStyle w:val="17"/>
              <w:rPr>
                <w:color w:val="auto"/>
              </w:rPr>
            </w:pPr>
            <w:r>
              <w:rPr>
                <w:color w:val="auto"/>
              </w:rPr>
              <w:t>事业</w:t>
            </w:r>
          </w:p>
        </w:tc>
        <w:tc>
          <w:tcPr>
            <w:tcW w:w="2126" w:type="dxa"/>
            <w:vAlign w:val="center"/>
          </w:tcPr>
          <w:p>
            <w:pPr>
              <w:pStyle w:val="17"/>
              <w:rPr>
                <w:color w:val="auto"/>
              </w:rPr>
            </w:pPr>
          </w:p>
        </w:tc>
        <w:tc>
          <w:tcPr>
            <w:tcW w:w="3827" w:type="dxa"/>
            <w:vAlign w:val="center"/>
          </w:tcPr>
          <w:p>
            <w:pPr>
              <w:pStyle w:val="17"/>
              <w:rPr>
                <w:color w:val="auto"/>
              </w:rPr>
            </w:pPr>
            <w:r>
              <w:rPr>
                <w:color w:val="auto"/>
              </w:rPr>
              <w:t>其他</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w:t>
      </w:r>
      <w:r>
        <w:rPr>
          <w:rFonts w:ascii="Times New Roman" w:hAnsi="Times New Roman" w:eastAsia="方正仿宋_GBK" w:cs="Times New Roman"/>
          <w:b w:val="0"/>
          <w:color w:val="auto"/>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1、收入说明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eastAsia="zh-CN"/>
        </w:rPr>
        <w:t>单位</w:t>
      </w:r>
      <w:r>
        <w:rPr>
          <w:rFonts w:ascii="Times New Roman" w:hAnsi="Times New Roman" w:eastAsia="方正仿宋_GBK" w:cs="Times New Roman"/>
          <w:b w:val="0"/>
          <w:color w:val="auto"/>
          <w:sz w:val="28"/>
        </w:rPr>
        <w:t>当年全部收入。</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2、支出说明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收支预算总表支出栏、基本支出表、项目支出表按经济分类和支出功能分类科目编制，反映沙河市发展和改革局</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eastAsia="zh-CN"/>
        </w:rPr>
        <w:t>单位</w:t>
      </w:r>
      <w:r>
        <w:rPr>
          <w:rFonts w:hint="eastAsia" w:ascii="Times New Roman" w:hAnsi="Times New Roman" w:eastAsia="方正仿宋_GBK" w:cs="Times New Roman"/>
          <w:b w:val="0"/>
          <w:color w:val="auto"/>
          <w:sz w:val="28"/>
        </w:rPr>
        <w:t>预算中支出预算的总体情况。</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万元，其中基本支出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3</w:t>
      </w:r>
      <w:r>
        <w:rPr>
          <w:rFonts w:hint="eastAsia" w:ascii="Times New Roman" w:hAnsi="Times New Roman" w:eastAsia="方正仿宋_GBK" w:cs="Times New Roman"/>
          <w:b w:val="0"/>
          <w:color w:val="auto"/>
          <w:sz w:val="28"/>
        </w:rPr>
        <w:t>、比上年增减情况</w:t>
      </w:r>
    </w:p>
    <w:p>
      <w:pPr>
        <w:spacing w:before="0" w:after="0" w:line="500" w:lineRule="exact"/>
        <w:ind w:firstLine="560"/>
        <w:jc w:val="left"/>
        <w:outlineLvl w:val="9"/>
        <w:rPr>
          <w:rFonts w:hint="eastAsia" w:ascii="??_GB2312" w:hAnsi="??_GB2312" w:eastAsia="方正仿宋_GBK" w:cs="??_GB2312"/>
          <w:color w:val="auto"/>
          <w:sz w:val="32"/>
          <w:szCs w:val="32"/>
          <w:lang w:val="en-US" w:eastAsia="zh-CN"/>
        </w:rPr>
      </w:pPr>
      <w:r>
        <w:rPr>
          <w:rFonts w:hint="eastAsia" w:eastAsia="方正仿宋_GBK" w:cs="Times New Roman"/>
          <w:b w:val="0"/>
          <w:color w:val="auto"/>
          <w:sz w:val="28"/>
          <w:lang w:eastAsia="zh-CN"/>
        </w:rPr>
        <w:t>2021</w:t>
      </w:r>
      <w:r>
        <w:rPr>
          <w:rFonts w:hint="eastAsia" w:ascii="Times New Roman" w:hAnsi="Times New Roman" w:eastAsia="方正仿宋_GBK" w:cs="Times New Roman"/>
          <w:b w:val="0"/>
          <w:color w:val="auto"/>
          <w:sz w:val="28"/>
        </w:rPr>
        <w:t>年预算收支</w:t>
      </w:r>
      <w:r>
        <w:rPr>
          <w:rFonts w:hint="eastAsia" w:eastAsia="方正仿宋_GBK" w:cs="Times New Roman"/>
          <w:b w:val="0"/>
          <w:color w:val="auto"/>
          <w:sz w:val="28"/>
          <w:lang w:eastAsia="zh-CN"/>
        </w:rPr>
        <w:t>与上年持平。</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31"/>
        <w:rPr>
          <w:color w:val="auto"/>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val="en-US" w:eastAsia="zh-CN"/>
        </w:rPr>
        <w:t>与去年持平。</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2"/>
        <w:rPr>
          <w:rFonts w:hint="eastAsia" w:eastAsia="方正仿宋_GBK"/>
          <w:color w:val="auto"/>
          <w:lang w:eastAsia="zh-CN"/>
        </w:rPr>
      </w:pPr>
      <w:r>
        <w:rPr>
          <w:rFonts w:hint="eastAsia" w:ascii="??_GB2312" w:hAnsi="??_GB2312" w:cs="??_GB2312"/>
          <w:color w:val="auto"/>
          <w:sz w:val="32"/>
          <w:szCs w:val="32"/>
          <w:lang w:eastAsia="zh-CN"/>
        </w:rPr>
        <w:t>2021</w:t>
      </w:r>
      <w:r>
        <w:rPr>
          <w:rFonts w:hint="eastAsia" w:ascii="宋体" w:hAnsi="宋体" w:cs="宋体"/>
          <w:color w:val="auto"/>
          <w:sz w:val="32"/>
          <w:szCs w:val="32"/>
        </w:rPr>
        <w:t>年，我</w:t>
      </w:r>
      <w:r>
        <w:rPr>
          <w:rFonts w:hint="eastAsia" w:ascii="宋体" w:hAnsi="宋体" w:cs="宋体"/>
          <w:color w:val="auto"/>
          <w:sz w:val="32"/>
          <w:szCs w:val="32"/>
          <w:lang w:eastAsia="zh-CN"/>
        </w:rPr>
        <w:t>单位“</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eastAsia="zh-CN"/>
        </w:rPr>
        <w:t>，与上年持平。</w:t>
      </w:r>
    </w:p>
    <w:p>
      <w:pPr>
        <w:numPr>
          <w:ilvl w:val="0"/>
          <w:numId w:val="5"/>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预算绩效信息</w:t>
      </w:r>
    </w:p>
    <w:p>
      <w:pPr>
        <w:spacing w:line="600" w:lineRule="exact"/>
        <w:ind w:firstLine="640" w:firstLineChars="200"/>
        <w:outlineLvl w:val="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通过对我市宏观经济运行情况进行监测和预测，为政府和社会提供信息技术服务；对经济信息资源进行开发利用，为经济信息系统网络建设提供技术支撑；维护发改局办公系统和门户网站及其他信息系统，促进信息交流和资源共享。</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1）.产出指标：从数量指标、质量指标、时效指标和成本指标四个方面，高效开展我局的经济信息工作，维护好我局办公系统和门户网站，促进资源共享。</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2）.效果指标：①社会效益指标：通过经济信息工作的开展，提高我局信息网络的安全系数，为高效办公提供技术支持和保障。</w:t>
      </w:r>
    </w:p>
    <w:p>
      <w:pPr>
        <w:pStyle w:val="2"/>
        <w:numPr>
          <w:ilvl w:val="0"/>
          <w:numId w:val="0"/>
        </w:numPr>
        <w:spacing w:after="120" w:afterLines="0"/>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3）.满意度指标：①服务对象满意度指标：职工满意度不低于95%。</w:t>
      </w:r>
    </w:p>
    <w:p>
      <w:pPr>
        <w:pStyle w:val="2"/>
        <w:numPr>
          <w:ilvl w:val="0"/>
          <w:numId w:val="0"/>
        </w:numPr>
        <w:spacing w:after="120" w:afterLines="0"/>
        <w:ind w:firstLine="640" w:firstLineChars="200"/>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w:t>
      </w:r>
      <w:r>
        <w:rPr>
          <w:rFonts w:hint="eastAsia" w:eastAsia="方正仿宋_GBK" w:cs="Times New Roman"/>
          <w:b w:val="0"/>
          <w:color w:val="auto"/>
          <w:sz w:val="28"/>
          <w:lang w:eastAsia="zh-CN"/>
        </w:rPr>
        <w:t>经济信息</w:t>
      </w:r>
      <w:r>
        <w:rPr>
          <w:rFonts w:ascii="Times New Roman" w:hAnsi="Times New Roman" w:eastAsia="方正仿宋_GBK" w:cs="Times New Roman"/>
          <w:b w:val="0"/>
          <w:color w:val="auto"/>
          <w:sz w:val="28"/>
        </w:rPr>
        <w:t>中心安排政府采购预算0.00万元。具体内容见下表。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w:t>
      </w:r>
      <w:r>
        <w:rPr>
          <w:rFonts w:hint="eastAsia" w:eastAsia="方正仿宋_GBK" w:cs="Times New Roman"/>
          <w:b w:val="0"/>
          <w:color w:val="auto"/>
          <w:sz w:val="28"/>
          <w:lang w:eastAsia="zh-CN"/>
        </w:rPr>
        <w:t>经济信息</w:t>
      </w:r>
      <w:r>
        <w:rPr>
          <w:rFonts w:ascii="Times New Roman" w:hAnsi="Times New Roman" w:eastAsia="方正仿宋_GBK" w:cs="Times New Roman"/>
          <w:b w:val="0"/>
          <w:color w:val="auto"/>
          <w:sz w:val="28"/>
        </w:rPr>
        <w:t>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116003沙河市</w:t>
            </w:r>
            <w:r>
              <w:rPr>
                <w:rFonts w:hint="eastAsia"/>
                <w:color w:val="auto"/>
                <w:lang w:eastAsia="zh-CN"/>
              </w:rPr>
              <w:t>经济信息</w:t>
            </w:r>
            <w:r>
              <w:rPr>
                <w:color w:val="auto"/>
              </w:rPr>
              <w:t>中心</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p>
        </w:tc>
        <w:tc>
          <w:tcPr>
            <w:tcW w:w="2835" w:type="dxa"/>
            <w:vAlign w:val="center"/>
          </w:tcPr>
          <w:p>
            <w:pPr>
              <w:pStyle w:val="17"/>
              <w:rPr>
                <w:color w:val="auto"/>
              </w:rPr>
            </w:pPr>
          </w:p>
        </w:tc>
        <w:tc>
          <w:tcPr>
            <w:tcW w:w="2835" w:type="dxa"/>
            <w:vAlign w:val="center"/>
          </w:tcPr>
          <w:p>
            <w:pPr>
              <w:pStyle w:val="15"/>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ind w:firstLine="560" w:firstLineChars="200"/>
        <w:jc w:val="both"/>
        <w:outlineLvl w:val="3"/>
        <w:rPr>
          <w:rFonts w:ascii="方正小标宋_GBK" w:hAnsi="方正小标宋_GBK" w:eastAsia="方正小标宋_GBK" w:cs="方正小标宋_GBK"/>
          <w:b w:val="0"/>
          <w:color w:val="auto"/>
          <w:sz w:val="44"/>
        </w:r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color w:val="auto"/>
        </w:rPr>
      </w:pPr>
      <w:r>
        <w:rPr>
          <w:rFonts w:hint="eastAsia" w:ascii="方正小标宋_GBK" w:hAnsi="方正小标宋_GBK" w:eastAsia="方正小标宋_GBK" w:cs="方正小标宋_GBK"/>
          <w:b w:val="0"/>
          <w:color w:val="auto"/>
          <w:sz w:val="44"/>
          <w:lang w:eastAsia="zh-CN"/>
        </w:rPr>
        <w:t>四</w:t>
      </w: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墙体材料革新办公室</w:t>
      </w:r>
      <w:r>
        <w:rPr>
          <w:rFonts w:ascii="方正小标宋_GBK" w:hAnsi="方正小标宋_GBK" w:eastAsia="方正小标宋_GBK" w:cs="方正小标宋_GBK"/>
          <w:b w:val="0"/>
          <w:color w:val="auto"/>
          <w:sz w:val="44"/>
        </w:rPr>
        <w:t>收支预算</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一、一般公共服务支出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color w:val="auto"/>
              </w:rPr>
            </w:pPr>
          </w:p>
        </w:tc>
        <w:tc>
          <w:tcPr>
            <w:tcW w:w="4535" w:type="dxa"/>
            <w:vAlign w:val="center"/>
          </w:tcPr>
          <w:p>
            <w:pPr>
              <w:pStyle w:val="18"/>
              <w:rPr>
                <w:color w:val="auto"/>
              </w:rPr>
            </w:pPr>
            <w:r>
              <w:rPr>
                <w:color w:val="auto"/>
              </w:rPr>
              <w:t>本年支出合计</w:t>
            </w:r>
          </w:p>
        </w:tc>
        <w:tc>
          <w:tcPr>
            <w:tcW w:w="2126"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color w:val="auto"/>
              </w:rPr>
            </w:pPr>
          </w:p>
        </w:tc>
        <w:tc>
          <w:tcPr>
            <w:tcW w:w="4535" w:type="dxa"/>
            <w:vAlign w:val="center"/>
          </w:tcPr>
          <w:p>
            <w:pPr>
              <w:pStyle w:val="18"/>
              <w:rPr>
                <w:color w:val="auto"/>
              </w:rPr>
            </w:pPr>
            <w:r>
              <w:rPr>
                <w:color w:val="auto"/>
              </w:rPr>
              <w:t>支出总计</w:t>
            </w:r>
          </w:p>
        </w:tc>
        <w:tc>
          <w:tcPr>
            <w:tcW w:w="2126"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2551" w:type="dxa"/>
            <w:gridSpan w:val="2"/>
            <w:vAlign w:val="center"/>
          </w:tcPr>
          <w:p>
            <w:pPr>
              <w:pStyle w:val="14"/>
              <w:rPr>
                <w:color w:val="auto"/>
              </w:rPr>
            </w:pPr>
            <w:r>
              <w:rPr>
                <w:color w:val="auto"/>
              </w:rPr>
              <w:t>功能分类科目</w:t>
            </w:r>
          </w:p>
        </w:tc>
        <w:tc>
          <w:tcPr>
            <w:tcW w:w="1134" w:type="dxa"/>
            <w:vMerge w:val="restart"/>
            <w:vAlign w:val="center"/>
          </w:tcPr>
          <w:p>
            <w:pPr>
              <w:pStyle w:val="14"/>
              <w:rPr>
                <w:color w:val="auto"/>
              </w:rPr>
            </w:pPr>
            <w:r>
              <w:rPr>
                <w:color w:val="auto"/>
              </w:rPr>
              <w:t>合计</w:t>
            </w:r>
          </w:p>
        </w:tc>
        <w:tc>
          <w:tcPr>
            <w:tcW w:w="9071"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1559" w:type="dxa"/>
            <w:vAlign w:val="center"/>
          </w:tcPr>
          <w:p>
            <w:pPr>
              <w:pStyle w:val="14"/>
              <w:rPr>
                <w:color w:val="auto"/>
              </w:rPr>
            </w:pPr>
            <w:r>
              <w:rPr>
                <w:color w:val="auto"/>
              </w:rPr>
              <w:t>科目名称</w:t>
            </w:r>
          </w:p>
        </w:tc>
        <w:tc>
          <w:tcPr>
            <w:tcW w:w="1134" w:type="dxa"/>
            <w:vMerge w:val="continue"/>
          </w:tcPr>
          <w:p>
            <w:pPr>
              <w:rPr>
                <w:color w:val="auto"/>
              </w:rPr>
            </w:pPr>
          </w:p>
        </w:tc>
        <w:tc>
          <w:tcPr>
            <w:tcW w:w="1134" w:type="dxa"/>
            <w:vAlign w:val="center"/>
          </w:tcPr>
          <w:p>
            <w:pPr>
              <w:pStyle w:val="14"/>
              <w:rPr>
                <w:color w:val="auto"/>
              </w:rPr>
            </w:pPr>
            <w:r>
              <w:rPr>
                <w:color w:val="auto"/>
              </w:rPr>
              <w:t>小计</w:t>
            </w:r>
          </w:p>
        </w:tc>
        <w:tc>
          <w:tcPr>
            <w:tcW w:w="1134" w:type="dxa"/>
            <w:vAlign w:val="center"/>
          </w:tcPr>
          <w:p>
            <w:pPr>
              <w:pStyle w:val="14"/>
              <w:rPr>
                <w:color w:val="auto"/>
              </w:rPr>
            </w:pPr>
            <w:r>
              <w:rPr>
                <w:color w:val="auto"/>
              </w:rPr>
              <w:t>财政拨款 收入</w:t>
            </w:r>
          </w:p>
        </w:tc>
        <w:tc>
          <w:tcPr>
            <w:tcW w:w="1134" w:type="dxa"/>
            <w:vAlign w:val="center"/>
          </w:tcPr>
          <w:p>
            <w:pPr>
              <w:pStyle w:val="14"/>
              <w:rPr>
                <w:color w:val="auto"/>
              </w:rPr>
            </w:pPr>
            <w:r>
              <w:rPr>
                <w:color w:val="auto"/>
              </w:rPr>
              <w:t>财政专户 收入</w:t>
            </w:r>
          </w:p>
        </w:tc>
        <w:tc>
          <w:tcPr>
            <w:tcW w:w="1134" w:type="dxa"/>
            <w:vAlign w:val="center"/>
          </w:tcPr>
          <w:p>
            <w:pPr>
              <w:pStyle w:val="14"/>
              <w:rPr>
                <w:color w:val="auto"/>
              </w:rPr>
            </w:pPr>
            <w:r>
              <w:rPr>
                <w:color w:val="auto"/>
              </w:rPr>
              <w:t>事业收入</w:t>
            </w:r>
          </w:p>
        </w:tc>
        <w:tc>
          <w:tcPr>
            <w:tcW w:w="1134" w:type="dxa"/>
            <w:vAlign w:val="center"/>
          </w:tcPr>
          <w:p>
            <w:pPr>
              <w:pStyle w:val="14"/>
              <w:rPr>
                <w:color w:val="auto"/>
              </w:rPr>
            </w:pPr>
            <w:r>
              <w:rPr>
                <w:color w:val="auto"/>
              </w:rPr>
              <w:t>经营收入</w:t>
            </w:r>
          </w:p>
        </w:tc>
        <w:tc>
          <w:tcPr>
            <w:tcW w:w="1134"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1559" w:type="dxa"/>
            <w:vAlign w:val="center"/>
          </w:tcPr>
          <w:p>
            <w:pPr>
              <w:pStyle w:val="14"/>
              <w:rPr>
                <w:color w:val="auto"/>
              </w:rPr>
            </w:pPr>
            <w:r>
              <w:rPr>
                <w:color w:val="auto"/>
              </w:rPr>
              <w:t>2</w:t>
            </w:r>
          </w:p>
        </w:tc>
        <w:tc>
          <w:tcPr>
            <w:tcW w:w="1134" w:type="dxa"/>
            <w:vAlign w:val="center"/>
          </w:tcPr>
          <w:p>
            <w:pPr>
              <w:pStyle w:val="14"/>
              <w:rPr>
                <w:color w:val="auto"/>
              </w:rPr>
            </w:pPr>
            <w:r>
              <w:rPr>
                <w:color w:val="auto"/>
              </w:rPr>
              <w:t>3</w:t>
            </w:r>
          </w:p>
        </w:tc>
        <w:tc>
          <w:tcPr>
            <w:tcW w:w="1134" w:type="dxa"/>
            <w:vAlign w:val="center"/>
          </w:tcPr>
          <w:p>
            <w:pPr>
              <w:pStyle w:val="14"/>
              <w:rPr>
                <w:color w:val="auto"/>
              </w:rPr>
            </w:pPr>
            <w:r>
              <w:rPr>
                <w:color w:val="auto"/>
              </w:rPr>
              <w:t>4</w:t>
            </w:r>
          </w:p>
        </w:tc>
        <w:tc>
          <w:tcPr>
            <w:tcW w:w="1134" w:type="dxa"/>
            <w:vAlign w:val="center"/>
          </w:tcPr>
          <w:p>
            <w:pPr>
              <w:pStyle w:val="14"/>
              <w:rPr>
                <w:color w:val="auto"/>
              </w:rPr>
            </w:pPr>
            <w:r>
              <w:rPr>
                <w:color w:val="auto"/>
              </w:rPr>
              <w:t>5</w:t>
            </w:r>
          </w:p>
        </w:tc>
        <w:tc>
          <w:tcPr>
            <w:tcW w:w="1134" w:type="dxa"/>
            <w:vAlign w:val="center"/>
          </w:tcPr>
          <w:p>
            <w:pPr>
              <w:pStyle w:val="14"/>
              <w:rPr>
                <w:color w:val="auto"/>
              </w:rPr>
            </w:pPr>
            <w:r>
              <w:rPr>
                <w:color w:val="auto"/>
              </w:rPr>
              <w:t>6</w:t>
            </w:r>
          </w:p>
        </w:tc>
        <w:tc>
          <w:tcPr>
            <w:tcW w:w="1134" w:type="dxa"/>
            <w:vAlign w:val="center"/>
          </w:tcPr>
          <w:p>
            <w:pPr>
              <w:pStyle w:val="14"/>
              <w:rPr>
                <w:color w:val="auto"/>
              </w:rPr>
            </w:pPr>
            <w:r>
              <w:rPr>
                <w:color w:val="auto"/>
              </w:rPr>
              <w:t>7</w:t>
            </w:r>
          </w:p>
        </w:tc>
        <w:tc>
          <w:tcPr>
            <w:tcW w:w="1134" w:type="dxa"/>
            <w:vAlign w:val="center"/>
          </w:tcPr>
          <w:p>
            <w:pPr>
              <w:pStyle w:val="14"/>
              <w:rPr>
                <w:color w:val="auto"/>
              </w:rPr>
            </w:pPr>
            <w:r>
              <w:rPr>
                <w:color w:val="auto"/>
              </w:rPr>
              <w:t>8</w:t>
            </w:r>
          </w:p>
        </w:tc>
        <w:tc>
          <w:tcPr>
            <w:tcW w:w="1134"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p>
        </w:tc>
        <w:tc>
          <w:tcPr>
            <w:tcW w:w="992" w:type="dxa"/>
            <w:vAlign w:val="center"/>
          </w:tcPr>
          <w:p>
            <w:pPr>
              <w:pStyle w:val="16"/>
              <w:rPr>
                <w:color w:val="auto"/>
              </w:rPr>
            </w:pPr>
          </w:p>
        </w:tc>
        <w:tc>
          <w:tcPr>
            <w:tcW w:w="1559" w:type="dxa"/>
            <w:vAlign w:val="center"/>
          </w:tcPr>
          <w:p>
            <w:pPr>
              <w:pStyle w:val="16"/>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注：无收入预算，空表列示。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5"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992" w:type="dxa"/>
            <w:vAlign w:val="center"/>
          </w:tcPr>
          <w:p>
            <w:pPr>
              <w:pStyle w:val="16"/>
              <w:rPr>
                <w:color w:val="auto"/>
              </w:rPr>
            </w:pPr>
          </w:p>
        </w:tc>
        <w:tc>
          <w:tcPr>
            <w:tcW w:w="4535" w:type="dxa"/>
            <w:vAlign w:val="center"/>
          </w:tcPr>
          <w:p>
            <w:pPr>
              <w:pStyle w:val="16"/>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一、一般公共服务支出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color w:val="auto"/>
              </w:rPr>
            </w:pPr>
          </w:p>
        </w:tc>
        <w:tc>
          <w:tcPr>
            <w:tcW w:w="3402" w:type="dxa"/>
            <w:vAlign w:val="center"/>
          </w:tcPr>
          <w:p>
            <w:pPr>
              <w:pStyle w:val="18"/>
              <w:rPr>
                <w:color w:val="auto"/>
              </w:rPr>
            </w:pPr>
            <w:r>
              <w:rPr>
                <w:color w:val="auto"/>
              </w:rPr>
              <w:t>本年支出合计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color w:val="auto"/>
              </w:rPr>
            </w:pPr>
          </w:p>
        </w:tc>
        <w:tc>
          <w:tcPr>
            <w:tcW w:w="3402" w:type="dxa"/>
            <w:vAlign w:val="center"/>
          </w:tcPr>
          <w:p>
            <w:pPr>
              <w:pStyle w:val="18"/>
              <w:rPr>
                <w:color w:val="auto"/>
              </w:rPr>
            </w:pPr>
            <w:r>
              <w:rPr>
                <w:color w:val="auto"/>
              </w:rPr>
              <w:t>支出总计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注：无财政拨款收支预算，空表列示。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支出部门经济分类科目</w:t>
            </w:r>
          </w:p>
        </w:tc>
        <w:tc>
          <w:tcPr>
            <w:tcW w:w="7654"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Align w:val="center"/>
          </w:tcPr>
          <w:p>
            <w:pPr>
              <w:pStyle w:val="14"/>
              <w:rPr>
                <w:color w:val="auto"/>
              </w:rPr>
            </w:pPr>
            <w:r>
              <w:rPr>
                <w:color w:val="auto"/>
              </w:rPr>
              <w:t>合计</w:t>
            </w:r>
          </w:p>
        </w:tc>
        <w:tc>
          <w:tcPr>
            <w:tcW w:w="2551" w:type="dxa"/>
            <w:vAlign w:val="center"/>
          </w:tcPr>
          <w:p>
            <w:pPr>
              <w:pStyle w:val="14"/>
              <w:rPr>
                <w:color w:val="auto"/>
              </w:rPr>
            </w:pPr>
            <w:r>
              <w:rPr>
                <w:color w:val="auto"/>
              </w:rPr>
              <w:t>人员经费</w:t>
            </w:r>
          </w:p>
        </w:tc>
        <w:tc>
          <w:tcPr>
            <w:tcW w:w="2551"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注：无一般公共预算财政拨款基本支出预算，空表列示。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p>
        </w:tc>
        <w:tc>
          <w:tcPr>
            <w:tcW w:w="3798" w:type="dxa"/>
            <w:vAlign w:val="center"/>
          </w:tcPr>
          <w:p>
            <w:pPr>
              <w:pStyle w:val="16"/>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w:t>
      </w:r>
      <w:r>
        <w:rPr>
          <w:rFonts w:hint="eastAsia" w:ascii="方正书宋_GBK" w:hAnsi="方正书宋_GBK" w:eastAsia="方正书宋_GBK" w:cs="方正书宋_GBK"/>
          <w:color w:val="auto"/>
          <w:sz w:val="21"/>
          <w:lang w:eastAsia="zh-CN"/>
        </w:rPr>
        <w:t>经费支出预算</w:t>
      </w:r>
      <w:r>
        <w:rPr>
          <w:rFonts w:ascii="方正书宋_GBK" w:hAnsi="方正书宋_GBK" w:eastAsia="方正书宋_GBK" w:cs="方正书宋_GBK"/>
          <w:color w:val="auto"/>
          <w:sz w:val="21"/>
        </w:rPr>
        <w:t>，空表列示。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墙体材料革新办公室2021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w:t>
      </w:r>
      <w:r>
        <w:rPr>
          <w:rFonts w:hint="eastAsia" w:eastAsia="方正仿宋_GBK" w:cs="Times New Roman"/>
          <w:b w:val="0"/>
          <w:color w:val="auto"/>
          <w:sz w:val="28"/>
          <w:lang w:eastAsia="zh-CN"/>
        </w:rPr>
        <w:t>墙体材料革新办公室2021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（一）贯彻执行国家、省有关发展新型墙体材料的法律、法规和规章。</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（二）承担限制和淘汰实心粘土砖的</w:t>
      </w:r>
      <w:bookmarkStart w:id="20" w:name="_GoBack"/>
      <w:r>
        <w:rPr>
          <w:rFonts w:hint="eastAsia" w:ascii="仿宋_GB2312" w:eastAsia="仿宋_GB2312"/>
          <w:color w:val="auto"/>
          <w:sz w:val="32"/>
          <w:szCs w:val="32"/>
        </w:rPr>
        <w:t>行政辅助工作</w:t>
      </w:r>
      <w:bookmarkEnd w:id="20"/>
      <w:r>
        <w:rPr>
          <w:rFonts w:hint="eastAsia" w:ascii="仿宋_GB2312" w:eastAsia="仿宋_GB2312"/>
          <w:color w:val="auto"/>
          <w:sz w:val="32"/>
          <w:szCs w:val="32"/>
        </w:rPr>
        <w:t>，促进新型墙体材料发展。</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（三）承担新型墙体材料行业管理的行政辅助工作。</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（四）负责指导协调新型墙体科研、生产和推广应用。</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（五）负责新型墙体材料行业的统计分析、信息咨询、业务培训等工作。</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（六）完成市发展和改革局交办的其他任务。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06" w:type="dxa"/>
            <w:vAlign w:val="center"/>
          </w:tcPr>
          <w:p>
            <w:pPr>
              <w:pStyle w:val="14"/>
              <w:rPr>
                <w:color w:val="auto"/>
              </w:rPr>
            </w:pPr>
            <w:r>
              <w:rPr>
                <w:color w:val="auto"/>
              </w:rPr>
              <w:t>单位名称</w:t>
            </w:r>
          </w:p>
        </w:tc>
        <w:tc>
          <w:tcPr>
            <w:tcW w:w="2464" w:type="dxa"/>
            <w:vAlign w:val="center"/>
          </w:tcPr>
          <w:p>
            <w:pPr>
              <w:pStyle w:val="14"/>
              <w:rPr>
                <w:color w:val="auto"/>
              </w:rPr>
            </w:pPr>
            <w:r>
              <w:rPr>
                <w:color w:val="auto"/>
              </w:rPr>
              <w:t>单位性质</w:t>
            </w:r>
          </w:p>
        </w:tc>
        <w:tc>
          <w:tcPr>
            <w:tcW w:w="2464" w:type="dxa"/>
            <w:vAlign w:val="center"/>
          </w:tcPr>
          <w:p>
            <w:pPr>
              <w:pStyle w:val="14"/>
              <w:rPr>
                <w:color w:val="auto"/>
              </w:rPr>
            </w:pPr>
            <w:r>
              <w:rPr>
                <w:color w:val="auto"/>
              </w:rPr>
              <w:t>单位规格</w:t>
            </w:r>
          </w:p>
        </w:tc>
        <w:tc>
          <w:tcPr>
            <w:tcW w:w="2464"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Align w:val="center"/>
          </w:tcPr>
          <w:p>
            <w:pPr>
              <w:pStyle w:val="16"/>
              <w:rPr>
                <w:rFonts w:hint="eastAsia" w:eastAsia="方正书宋_GBK"/>
                <w:color w:val="auto"/>
                <w:lang w:eastAsia="zh-CN"/>
              </w:rPr>
            </w:pPr>
            <w:r>
              <w:rPr>
                <w:color w:val="auto"/>
              </w:rPr>
              <w:t>沙河市</w:t>
            </w:r>
            <w:r>
              <w:rPr>
                <w:rFonts w:hint="eastAsia"/>
                <w:color w:val="auto"/>
                <w:lang w:eastAsia="zh-CN"/>
              </w:rPr>
              <w:t>墙体材料革新办公室</w:t>
            </w:r>
          </w:p>
        </w:tc>
        <w:tc>
          <w:tcPr>
            <w:tcW w:w="2464" w:type="dxa"/>
            <w:vAlign w:val="center"/>
          </w:tcPr>
          <w:p>
            <w:pPr>
              <w:pStyle w:val="17"/>
              <w:rPr>
                <w:color w:val="auto"/>
              </w:rPr>
            </w:pPr>
            <w:r>
              <w:rPr>
                <w:color w:val="auto"/>
              </w:rPr>
              <w:t>事业</w:t>
            </w:r>
          </w:p>
        </w:tc>
        <w:tc>
          <w:tcPr>
            <w:tcW w:w="2464" w:type="dxa"/>
            <w:vAlign w:val="center"/>
          </w:tcPr>
          <w:p>
            <w:pPr>
              <w:pStyle w:val="17"/>
              <w:rPr>
                <w:color w:val="auto"/>
              </w:rPr>
            </w:pPr>
          </w:p>
        </w:tc>
        <w:tc>
          <w:tcPr>
            <w:tcW w:w="2464" w:type="dxa"/>
            <w:vAlign w:val="center"/>
          </w:tcPr>
          <w:p>
            <w:pPr>
              <w:pStyle w:val="17"/>
              <w:rPr>
                <w:color w:val="auto"/>
              </w:rPr>
            </w:pPr>
            <w:r>
              <w:rPr>
                <w:color w:val="auto"/>
              </w:rPr>
              <w:t>其他</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w:t>
      </w:r>
      <w:r>
        <w:rPr>
          <w:rFonts w:ascii="Times New Roman" w:hAnsi="Times New Roman" w:eastAsia="方正仿宋_GBK" w:cs="Times New Roman"/>
          <w:b w:val="0"/>
          <w:color w:val="auto"/>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1、收入说明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eastAsia="zh-CN"/>
        </w:rPr>
        <w:t>单位</w:t>
      </w:r>
      <w:r>
        <w:rPr>
          <w:rFonts w:ascii="Times New Roman" w:hAnsi="Times New Roman" w:eastAsia="方正仿宋_GBK" w:cs="Times New Roman"/>
          <w:b w:val="0"/>
          <w:color w:val="auto"/>
          <w:sz w:val="28"/>
        </w:rPr>
        <w:t>当年全部收入。</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2、支出说明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收支预算总表支出栏、基本支出表、项目支出表按经济分类和支出功能分类科目编制，反映沙河市发展和改革局</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eastAsia="zh-CN"/>
        </w:rPr>
        <w:t>单位</w:t>
      </w:r>
      <w:r>
        <w:rPr>
          <w:rFonts w:hint="eastAsia" w:ascii="Times New Roman" w:hAnsi="Times New Roman" w:eastAsia="方正仿宋_GBK" w:cs="Times New Roman"/>
          <w:b w:val="0"/>
          <w:color w:val="auto"/>
          <w:sz w:val="28"/>
        </w:rPr>
        <w:t>预算中支出预算的总体情况。</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万元，其中基本支出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3</w:t>
      </w:r>
      <w:r>
        <w:rPr>
          <w:rFonts w:hint="eastAsia" w:ascii="Times New Roman" w:hAnsi="Times New Roman" w:eastAsia="方正仿宋_GBK" w:cs="Times New Roman"/>
          <w:b w:val="0"/>
          <w:color w:val="auto"/>
          <w:sz w:val="28"/>
        </w:rPr>
        <w:t>、比上年增减情况</w:t>
      </w:r>
    </w:p>
    <w:p>
      <w:pPr>
        <w:spacing w:before="0" w:after="0" w:line="500" w:lineRule="exact"/>
        <w:ind w:firstLine="560"/>
        <w:jc w:val="left"/>
        <w:outlineLvl w:val="9"/>
        <w:rPr>
          <w:rFonts w:hint="eastAsia" w:ascii="??_GB2312" w:hAnsi="??_GB2312" w:eastAsia="方正仿宋_GBK" w:cs="??_GB2312"/>
          <w:color w:val="auto"/>
          <w:sz w:val="32"/>
          <w:szCs w:val="32"/>
          <w:lang w:val="en-US" w:eastAsia="zh-CN"/>
        </w:rPr>
      </w:pPr>
      <w:r>
        <w:rPr>
          <w:rFonts w:hint="eastAsia" w:eastAsia="方正仿宋_GBK" w:cs="Times New Roman"/>
          <w:b w:val="0"/>
          <w:color w:val="auto"/>
          <w:sz w:val="28"/>
          <w:lang w:eastAsia="zh-CN"/>
        </w:rPr>
        <w:t>2021</w:t>
      </w:r>
      <w:r>
        <w:rPr>
          <w:rFonts w:hint="eastAsia" w:ascii="Times New Roman" w:hAnsi="Times New Roman" w:eastAsia="方正仿宋_GBK" w:cs="Times New Roman"/>
          <w:b w:val="0"/>
          <w:color w:val="auto"/>
          <w:sz w:val="28"/>
        </w:rPr>
        <w:t>年预算收支</w:t>
      </w:r>
      <w:r>
        <w:rPr>
          <w:rFonts w:hint="eastAsia" w:eastAsia="方正仿宋_GBK" w:cs="Times New Roman"/>
          <w:b w:val="0"/>
          <w:color w:val="auto"/>
          <w:sz w:val="28"/>
          <w:lang w:eastAsia="zh-CN"/>
        </w:rPr>
        <w:t>与上年持平。</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31"/>
        <w:rPr>
          <w:color w:val="auto"/>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val="en-US" w:eastAsia="zh-CN"/>
        </w:rPr>
        <w:t>与去年持平。</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2"/>
        <w:rPr>
          <w:rFonts w:hint="eastAsia" w:eastAsia="方正仿宋_GBK"/>
          <w:color w:val="auto"/>
          <w:lang w:eastAsia="zh-CN"/>
        </w:rPr>
      </w:pPr>
      <w:r>
        <w:rPr>
          <w:rFonts w:hint="eastAsia" w:ascii="??_GB2312" w:hAnsi="??_GB2312" w:cs="??_GB2312"/>
          <w:color w:val="auto"/>
          <w:sz w:val="32"/>
          <w:szCs w:val="32"/>
          <w:lang w:eastAsia="zh-CN"/>
        </w:rPr>
        <w:t>2021</w:t>
      </w:r>
      <w:r>
        <w:rPr>
          <w:rFonts w:hint="eastAsia" w:ascii="宋体" w:hAnsi="宋体" w:cs="宋体"/>
          <w:color w:val="auto"/>
          <w:sz w:val="32"/>
          <w:szCs w:val="32"/>
        </w:rPr>
        <w:t>年，我</w:t>
      </w:r>
      <w:r>
        <w:rPr>
          <w:rFonts w:hint="eastAsia" w:ascii="宋体" w:hAnsi="宋体" w:cs="宋体"/>
          <w:color w:val="auto"/>
          <w:sz w:val="32"/>
          <w:szCs w:val="32"/>
          <w:lang w:eastAsia="zh-CN"/>
        </w:rPr>
        <w:t>单位“</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eastAsia="zh-CN"/>
        </w:rPr>
        <w:t>，与上年持平。</w:t>
      </w:r>
    </w:p>
    <w:p>
      <w:pPr>
        <w:numPr>
          <w:ilvl w:val="0"/>
          <w:numId w:val="5"/>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预算绩效信息</w:t>
      </w:r>
    </w:p>
    <w:p>
      <w:pPr>
        <w:spacing w:line="600" w:lineRule="exact"/>
        <w:ind w:firstLine="640" w:firstLineChars="200"/>
        <w:outlineLvl w:val="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绩效目标：开展新型墙体材料相关工作，为行业发展提供政策依据和信息咨询等服务。</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1）.产出指标：从数量指标、质量指标、时效指标、成本指标四个方面为新型墙体材料行业提供服务。</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2）.效果指标：①社会效益指标：通过各项工作的开展，达到维护行业秩序、促进新型墙体材料稳步发展的效果。</w:t>
      </w:r>
    </w:p>
    <w:p>
      <w:pPr>
        <w:pStyle w:val="2"/>
        <w:numPr>
          <w:ilvl w:val="0"/>
          <w:numId w:val="0"/>
        </w:numPr>
        <w:spacing w:after="120" w:afterLines="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3）.满意度指标：①服务对象满意度指标：行业对我局工作开展的满意度不低于95%。</w:t>
      </w:r>
    </w:p>
    <w:p>
      <w:pPr>
        <w:pStyle w:val="2"/>
        <w:numPr>
          <w:ilvl w:val="0"/>
          <w:numId w:val="0"/>
        </w:numPr>
        <w:spacing w:after="120" w:afterLines="0"/>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w:t>
      </w:r>
      <w:r>
        <w:rPr>
          <w:rFonts w:hint="eastAsia" w:eastAsia="方正仿宋_GBK" w:cs="Times New Roman"/>
          <w:b w:val="0"/>
          <w:color w:val="auto"/>
          <w:sz w:val="28"/>
          <w:lang w:eastAsia="zh-CN"/>
        </w:rPr>
        <w:t>墙体材料革新办公室</w:t>
      </w:r>
      <w:r>
        <w:rPr>
          <w:rFonts w:ascii="Times New Roman" w:hAnsi="Times New Roman" w:eastAsia="方正仿宋_GBK" w:cs="Times New Roman"/>
          <w:b w:val="0"/>
          <w:color w:val="auto"/>
          <w:sz w:val="28"/>
        </w:rPr>
        <w:t>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w:t>
      </w:r>
      <w:r>
        <w:rPr>
          <w:rFonts w:hint="eastAsia" w:eastAsia="方正仿宋_GBK" w:cs="Times New Roman"/>
          <w:b w:val="0"/>
          <w:color w:val="auto"/>
          <w:sz w:val="28"/>
          <w:lang w:eastAsia="zh-CN"/>
        </w:rPr>
        <w:t>墙体材料革新办公室</w:t>
      </w:r>
      <w:r>
        <w:rPr>
          <w:rFonts w:ascii="Times New Roman" w:hAnsi="Times New Roman" w:eastAsia="方正仿宋_GBK" w:cs="Times New Roman"/>
          <w:b w:val="0"/>
          <w:color w:val="auto"/>
          <w:sz w:val="28"/>
        </w:rPr>
        <w:t>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墙体材料革新办公室</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p>
        </w:tc>
        <w:tc>
          <w:tcPr>
            <w:tcW w:w="2835" w:type="dxa"/>
            <w:vAlign w:val="center"/>
          </w:tcPr>
          <w:p>
            <w:pPr>
              <w:pStyle w:val="17"/>
              <w:rPr>
                <w:color w:val="auto"/>
              </w:rPr>
            </w:pPr>
          </w:p>
        </w:tc>
        <w:tc>
          <w:tcPr>
            <w:tcW w:w="2835" w:type="dxa"/>
            <w:vAlign w:val="center"/>
          </w:tcPr>
          <w:p>
            <w:pPr>
              <w:pStyle w:val="15"/>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ind w:firstLine="560" w:firstLineChars="200"/>
        <w:jc w:val="both"/>
        <w:outlineLvl w:val="3"/>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ascii="Times New Roman" w:hAnsi="Times New Roman" w:eastAsia="方正仿宋_GBK" w:cs="Times New Roman"/>
          <w:b w:val="0"/>
          <w:color w:val="auto"/>
          <w:sz w:val="28"/>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color w:val="auto"/>
        </w:rPr>
      </w:pPr>
      <w:r>
        <w:rPr>
          <w:rFonts w:hint="eastAsia" w:ascii="方正小标宋_GBK" w:hAnsi="方正小标宋_GBK" w:eastAsia="方正小标宋_GBK" w:cs="方正小标宋_GBK"/>
          <w:b w:val="0"/>
          <w:color w:val="auto"/>
          <w:sz w:val="44"/>
          <w:lang w:eastAsia="zh-CN"/>
        </w:rPr>
        <w:t>五</w:t>
      </w: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散装水泥办公室</w:t>
      </w:r>
      <w:r>
        <w:rPr>
          <w:rFonts w:ascii="方正小标宋_GBK" w:hAnsi="方正小标宋_GBK" w:eastAsia="方正小标宋_GBK" w:cs="方正小标宋_GBK"/>
          <w:b w:val="0"/>
          <w:color w:val="auto"/>
          <w:sz w:val="44"/>
        </w:rPr>
        <w:t>收支预算</w:t>
      </w:r>
      <w:bookmarkEnd w:id="19"/>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一、一般公共服务支出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color w:val="auto"/>
              </w:rPr>
            </w:pPr>
          </w:p>
        </w:tc>
        <w:tc>
          <w:tcPr>
            <w:tcW w:w="4535" w:type="dxa"/>
            <w:vAlign w:val="center"/>
          </w:tcPr>
          <w:p>
            <w:pPr>
              <w:pStyle w:val="18"/>
              <w:rPr>
                <w:color w:val="auto"/>
              </w:rPr>
            </w:pPr>
            <w:r>
              <w:rPr>
                <w:color w:val="auto"/>
              </w:rPr>
              <w:t>本年支出合计</w:t>
            </w:r>
          </w:p>
        </w:tc>
        <w:tc>
          <w:tcPr>
            <w:tcW w:w="2126"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color w:val="auto"/>
              </w:rPr>
            </w:pPr>
          </w:p>
        </w:tc>
        <w:tc>
          <w:tcPr>
            <w:tcW w:w="4535" w:type="dxa"/>
            <w:vAlign w:val="center"/>
          </w:tcPr>
          <w:p>
            <w:pPr>
              <w:pStyle w:val="18"/>
              <w:rPr>
                <w:color w:val="auto"/>
              </w:rPr>
            </w:pPr>
            <w:r>
              <w:rPr>
                <w:color w:val="auto"/>
              </w:rPr>
              <w:t>支出总计</w:t>
            </w:r>
          </w:p>
        </w:tc>
        <w:tc>
          <w:tcPr>
            <w:tcW w:w="2126"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2551" w:type="dxa"/>
            <w:gridSpan w:val="2"/>
            <w:vAlign w:val="center"/>
          </w:tcPr>
          <w:p>
            <w:pPr>
              <w:pStyle w:val="14"/>
              <w:rPr>
                <w:color w:val="auto"/>
              </w:rPr>
            </w:pPr>
            <w:r>
              <w:rPr>
                <w:color w:val="auto"/>
              </w:rPr>
              <w:t>功能分类科目</w:t>
            </w:r>
          </w:p>
        </w:tc>
        <w:tc>
          <w:tcPr>
            <w:tcW w:w="1134" w:type="dxa"/>
            <w:vMerge w:val="restart"/>
            <w:vAlign w:val="center"/>
          </w:tcPr>
          <w:p>
            <w:pPr>
              <w:pStyle w:val="14"/>
              <w:rPr>
                <w:color w:val="auto"/>
              </w:rPr>
            </w:pPr>
            <w:r>
              <w:rPr>
                <w:color w:val="auto"/>
              </w:rPr>
              <w:t>合计</w:t>
            </w:r>
          </w:p>
        </w:tc>
        <w:tc>
          <w:tcPr>
            <w:tcW w:w="9071"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1559" w:type="dxa"/>
            <w:vAlign w:val="center"/>
          </w:tcPr>
          <w:p>
            <w:pPr>
              <w:pStyle w:val="14"/>
              <w:rPr>
                <w:color w:val="auto"/>
              </w:rPr>
            </w:pPr>
            <w:r>
              <w:rPr>
                <w:color w:val="auto"/>
              </w:rPr>
              <w:t>科目名称</w:t>
            </w:r>
          </w:p>
        </w:tc>
        <w:tc>
          <w:tcPr>
            <w:tcW w:w="1134" w:type="dxa"/>
            <w:vMerge w:val="continue"/>
          </w:tcPr>
          <w:p>
            <w:pPr>
              <w:rPr>
                <w:color w:val="auto"/>
              </w:rPr>
            </w:pPr>
          </w:p>
        </w:tc>
        <w:tc>
          <w:tcPr>
            <w:tcW w:w="1134" w:type="dxa"/>
            <w:vAlign w:val="center"/>
          </w:tcPr>
          <w:p>
            <w:pPr>
              <w:pStyle w:val="14"/>
              <w:rPr>
                <w:color w:val="auto"/>
              </w:rPr>
            </w:pPr>
            <w:r>
              <w:rPr>
                <w:color w:val="auto"/>
              </w:rPr>
              <w:t>小计</w:t>
            </w:r>
          </w:p>
        </w:tc>
        <w:tc>
          <w:tcPr>
            <w:tcW w:w="1134" w:type="dxa"/>
            <w:vAlign w:val="center"/>
          </w:tcPr>
          <w:p>
            <w:pPr>
              <w:pStyle w:val="14"/>
              <w:rPr>
                <w:color w:val="auto"/>
              </w:rPr>
            </w:pPr>
            <w:r>
              <w:rPr>
                <w:color w:val="auto"/>
              </w:rPr>
              <w:t>财政拨款 收入</w:t>
            </w:r>
          </w:p>
        </w:tc>
        <w:tc>
          <w:tcPr>
            <w:tcW w:w="1134" w:type="dxa"/>
            <w:vAlign w:val="center"/>
          </w:tcPr>
          <w:p>
            <w:pPr>
              <w:pStyle w:val="14"/>
              <w:rPr>
                <w:color w:val="auto"/>
              </w:rPr>
            </w:pPr>
            <w:r>
              <w:rPr>
                <w:color w:val="auto"/>
              </w:rPr>
              <w:t>财政专户 收入</w:t>
            </w:r>
          </w:p>
        </w:tc>
        <w:tc>
          <w:tcPr>
            <w:tcW w:w="1134" w:type="dxa"/>
            <w:vAlign w:val="center"/>
          </w:tcPr>
          <w:p>
            <w:pPr>
              <w:pStyle w:val="14"/>
              <w:rPr>
                <w:color w:val="auto"/>
              </w:rPr>
            </w:pPr>
            <w:r>
              <w:rPr>
                <w:color w:val="auto"/>
              </w:rPr>
              <w:t>事业收入</w:t>
            </w:r>
          </w:p>
        </w:tc>
        <w:tc>
          <w:tcPr>
            <w:tcW w:w="1134" w:type="dxa"/>
            <w:vAlign w:val="center"/>
          </w:tcPr>
          <w:p>
            <w:pPr>
              <w:pStyle w:val="14"/>
              <w:rPr>
                <w:color w:val="auto"/>
              </w:rPr>
            </w:pPr>
            <w:r>
              <w:rPr>
                <w:color w:val="auto"/>
              </w:rPr>
              <w:t>经营收入</w:t>
            </w:r>
          </w:p>
        </w:tc>
        <w:tc>
          <w:tcPr>
            <w:tcW w:w="1134"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1559" w:type="dxa"/>
            <w:vAlign w:val="center"/>
          </w:tcPr>
          <w:p>
            <w:pPr>
              <w:pStyle w:val="14"/>
              <w:rPr>
                <w:color w:val="auto"/>
              </w:rPr>
            </w:pPr>
            <w:r>
              <w:rPr>
                <w:color w:val="auto"/>
              </w:rPr>
              <w:t>2</w:t>
            </w:r>
          </w:p>
        </w:tc>
        <w:tc>
          <w:tcPr>
            <w:tcW w:w="1134" w:type="dxa"/>
            <w:vAlign w:val="center"/>
          </w:tcPr>
          <w:p>
            <w:pPr>
              <w:pStyle w:val="14"/>
              <w:rPr>
                <w:color w:val="auto"/>
              </w:rPr>
            </w:pPr>
            <w:r>
              <w:rPr>
                <w:color w:val="auto"/>
              </w:rPr>
              <w:t>3</w:t>
            </w:r>
          </w:p>
        </w:tc>
        <w:tc>
          <w:tcPr>
            <w:tcW w:w="1134" w:type="dxa"/>
            <w:vAlign w:val="center"/>
          </w:tcPr>
          <w:p>
            <w:pPr>
              <w:pStyle w:val="14"/>
              <w:rPr>
                <w:color w:val="auto"/>
              </w:rPr>
            </w:pPr>
            <w:r>
              <w:rPr>
                <w:color w:val="auto"/>
              </w:rPr>
              <w:t>4</w:t>
            </w:r>
          </w:p>
        </w:tc>
        <w:tc>
          <w:tcPr>
            <w:tcW w:w="1134" w:type="dxa"/>
            <w:vAlign w:val="center"/>
          </w:tcPr>
          <w:p>
            <w:pPr>
              <w:pStyle w:val="14"/>
              <w:rPr>
                <w:color w:val="auto"/>
              </w:rPr>
            </w:pPr>
            <w:r>
              <w:rPr>
                <w:color w:val="auto"/>
              </w:rPr>
              <w:t>5</w:t>
            </w:r>
          </w:p>
        </w:tc>
        <w:tc>
          <w:tcPr>
            <w:tcW w:w="1134" w:type="dxa"/>
            <w:vAlign w:val="center"/>
          </w:tcPr>
          <w:p>
            <w:pPr>
              <w:pStyle w:val="14"/>
              <w:rPr>
                <w:color w:val="auto"/>
              </w:rPr>
            </w:pPr>
            <w:r>
              <w:rPr>
                <w:color w:val="auto"/>
              </w:rPr>
              <w:t>6</w:t>
            </w:r>
          </w:p>
        </w:tc>
        <w:tc>
          <w:tcPr>
            <w:tcW w:w="1134" w:type="dxa"/>
            <w:vAlign w:val="center"/>
          </w:tcPr>
          <w:p>
            <w:pPr>
              <w:pStyle w:val="14"/>
              <w:rPr>
                <w:color w:val="auto"/>
              </w:rPr>
            </w:pPr>
            <w:r>
              <w:rPr>
                <w:color w:val="auto"/>
              </w:rPr>
              <w:t>7</w:t>
            </w:r>
          </w:p>
        </w:tc>
        <w:tc>
          <w:tcPr>
            <w:tcW w:w="1134" w:type="dxa"/>
            <w:vAlign w:val="center"/>
          </w:tcPr>
          <w:p>
            <w:pPr>
              <w:pStyle w:val="14"/>
              <w:rPr>
                <w:color w:val="auto"/>
              </w:rPr>
            </w:pPr>
            <w:r>
              <w:rPr>
                <w:color w:val="auto"/>
              </w:rPr>
              <w:t>8</w:t>
            </w:r>
          </w:p>
        </w:tc>
        <w:tc>
          <w:tcPr>
            <w:tcW w:w="1134"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p>
        </w:tc>
        <w:tc>
          <w:tcPr>
            <w:tcW w:w="992" w:type="dxa"/>
            <w:vAlign w:val="center"/>
          </w:tcPr>
          <w:p>
            <w:pPr>
              <w:pStyle w:val="16"/>
              <w:rPr>
                <w:color w:val="auto"/>
              </w:rPr>
            </w:pPr>
          </w:p>
        </w:tc>
        <w:tc>
          <w:tcPr>
            <w:tcW w:w="1559" w:type="dxa"/>
            <w:vAlign w:val="center"/>
          </w:tcPr>
          <w:p>
            <w:pPr>
              <w:pStyle w:val="16"/>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注：无收入预算，空表列示。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5"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992" w:type="dxa"/>
            <w:vAlign w:val="center"/>
          </w:tcPr>
          <w:p>
            <w:pPr>
              <w:pStyle w:val="16"/>
              <w:rPr>
                <w:color w:val="auto"/>
              </w:rPr>
            </w:pPr>
          </w:p>
        </w:tc>
        <w:tc>
          <w:tcPr>
            <w:tcW w:w="4535" w:type="dxa"/>
            <w:vAlign w:val="center"/>
          </w:tcPr>
          <w:p>
            <w:pPr>
              <w:pStyle w:val="16"/>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一、一般公共服务支出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color w:val="auto"/>
              </w:rPr>
            </w:pPr>
          </w:p>
        </w:tc>
        <w:tc>
          <w:tcPr>
            <w:tcW w:w="3402" w:type="dxa"/>
            <w:vAlign w:val="center"/>
          </w:tcPr>
          <w:p>
            <w:pPr>
              <w:pStyle w:val="18"/>
              <w:rPr>
                <w:color w:val="auto"/>
              </w:rPr>
            </w:pPr>
            <w:r>
              <w:rPr>
                <w:color w:val="auto"/>
              </w:rPr>
              <w:t>本年支出合计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color w:val="auto"/>
              </w:rPr>
            </w:pPr>
          </w:p>
        </w:tc>
        <w:tc>
          <w:tcPr>
            <w:tcW w:w="3402" w:type="dxa"/>
            <w:vAlign w:val="center"/>
          </w:tcPr>
          <w:p>
            <w:pPr>
              <w:pStyle w:val="18"/>
              <w:rPr>
                <w:color w:val="auto"/>
              </w:rPr>
            </w:pPr>
            <w:r>
              <w:rPr>
                <w:color w:val="auto"/>
              </w:rPr>
              <w:t>支出总计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注：无财政拨款收支预算，空表列示。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支出部门经济分类科目</w:t>
            </w:r>
          </w:p>
        </w:tc>
        <w:tc>
          <w:tcPr>
            <w:tcW w:w="7654"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Align w:val="center"/>
          </w:tcPr>
          <w:p>
            <w:pPr>
              <w:pStyle w:val="14"/>
              <w:rPr>
                <w:color w:val="auto"/>
              </w:rPr>
            </w:pPr>
            <w:r>
              <w:rPr>
                <w:color w:val="auto"/>
              </w:rPr>
              <w:t>合计</w:t>
            </w:r>
          </w:p>
        </w:tc>
        <w:tc>
          <w:tcPr>
            <w:tcW w:w="2551" w:type="dxa"/>
            <w:vAlign w:val="center"/>
          </w:tcPr>
          <w:p>
            <w:pPr>
              <w:pStyle w:val="14"/>
              <w:rPr>
                <w:color w:val="auto"/>
              </w:rPr>
            </w:pPr>
            <w:r>
              <w:rPr>
                <w:color w:val="auto"/>
              </w:rPr>
              <w:t>人员经费</w:t>
            </w:r>
          </w:p>
        </w:tc>
        <w:tc>
          <w:tcPr>
            <w:tcW w:w="2551"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注：无一般公共预算财政拨款基本支出预算，空表列示。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p>
        </w:tc>
        <w:tc>
          <w:tcPr>
            <w:tcW w:w="3798" w:type="dxa"/>
            <w:vAlign w:val="center"/>
          </w:tcPr>
          <w:p>
            <w:pPr>
              <w:pStyle w:val="16"/>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w:t>
      </w:r>
      <w:r>
        <w:rPr>
          <w:rFonts w:hint="eastAsia" w:ascii="方正书宋_GBK" w:hAnsi="方正书宋_GBK" w:eastAsia="方正书宋_GBK" w:cs="方正书宋_GBK"/>
          <w:color w:val="auto"/>
          <w:sz w:val="21"/>
          <w:lang w:eastAsia="zh-CN"/>
        </w:rPr>
        <w:t>经费支出预算</w:t>
      </w:r>
      <w:r>
        <w:rPr>
          <w:rFonts w:ascii="方正书宋_GBK" w:hAnsi="方正书宋_GBK" w:eastAsia="方正书宋_GBK" w:cs="方正书宋_GBK"/>
          <w:color w:val="auto"/>
          <w:sz w:val="21"/>
        </w:rPr>
        <w:t>，空表列示。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散装水泥办公室2021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w:t>
      </w:r>
      <w:r>
        <w:rPr>
          <w:rFonts w:hint="eastAsia" w:eastAsia="方正仿宋_GBK" w:cs="Times New Roman"/>
          <w:b w:val="0"/>
          <w:color w:val="auto"/>
          <w:sz w:val="28"/>
          <w:lang w:eastAsia="zh-CN"/>
        </w:rPr>
        <w:t>散装水泥办公室2021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（一）贯彻执行国家、省有关发展散装水泥的法律、法规和规章。</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（二）承担全市散装水泥行业技术创新以及科技成果的推广应用工作。</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（三）承担散装水泥建设项目立项审查和竣工验收的行政辅助工作。</w:t>
      </w:r>
    </w:p>
    <w:p>
      <w:pPr>
        <w:spacing w:line="600" w:lineRule="exact"/>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（四）承担散装水泥行业管理的行政辅助工作。</w:t>
      </w:r>
    </w:p>
    <w:p>
      <w:pPr>
        <w:pStyle w:val="29"/>
        <w:numPr>
          <w:ilvl w:val="0"/>
          <w:numId w:val="0"/>
        </w:numPr>
        <w:ind w:firstLine="640" w:firstLineChars="200"/>
        <w:rPr>
          <w:rFonts w:hint="default"/>
          <w:color w:val="auto"/>
          <w:lang w:val="en-US" w:eastAsia="zh-CN"/>
        </w:rPr>
      </w:pPr>
      <w:r>
        <w:rPr>
          <w:rFonts w:hint="eastAsia" w:ascii="仿宋_GB2312" w:eastAsia="仿宋_GB2312"/>
          <w:color w:val="auto"/>
          <w:sz w:val="32"/>
          <w:szCs w:val="32"/>
        </w:rPr>
        <w:t>（五）协调全市发展散装水泥推广应用中出现的重大问题，承担行业统计分析、信息咨询、业务培训等工作。</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color w:val="auto"/>
              </w:rPr>
            </w:pPr>
            <w:r>
              <w:rPr>
                <w:color w:val="auto"/>
              </w:rPr>
              <w:t>单位名称</w:t>
            </w:r>
          </w:p>
        </w:tc>
        <w:tc>
          <w:tcPr>
            <w:tcW w:w="1843" w:type="dxa"/>
            <w:vAlign w:val="center"/>
          </w:tcPr>
          <w:p>
            <w:pPr>
              <w:pStyle w:val="14"/>
              <w:rPr>
                <w:color w:val="auto"/>
              </w:rPr>
            </w:pPr>
            <w:r>
              <w:rPr>
                <w:color w:val="auto"/>
              </w:rPr>
              <w:t>单位性质</w:t>
            </w:r>
          </w:p>
        </w:tc>
        <w:tc>
          <w:tcPr>
            <w:tcW w:w="2126" w:type="dxa"/>
            <w:vAlign w:val="center"/>
          </w:tcPr>
          <w:p>
            <w:pPr>
              <w:pStyle w:val="14"/>
              <w:rPr>
                <w:color w:val="auto"/>
              </w:rPr>
            </w:pPr>
            <w:r>
              <w:rPr>
                <w:color w:val="auto"/>
              </w:rPr>
              <w:t>单位规格</w:t>
            </w:r>
          </w:p>
        </w:tc>
        <w:tc>
          <w:tcPr>
            <w:tcW w:w="3827"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eastAsia="方正书宋_GBK"/>
                <w:color w:val="auto"/>
                <w:lang w:eastAsia="zh-CN"/>
              </w:rPr>
            </w:pPr>
            <w:r>
              <w:rPr>
                <w:color w:val="auto"/>
              </w:rPr>
              <w:t>沙河市</w:t>
            </w:r>
            <w:r>
              <w:rPr>
                <w:rFonts w:hint="eastAsia"/>
                <w:color w:val="auto"/>
                <w:lang w:eastAsia="zh-CN"/>
              </w:rPr>
              <w:t>散装水泥办公室</w:t>
            </w:r>
          </w:p>
        </w:tc>
        <w:tc>
          <w:tcPr>
            <w:tcW w:w="1843" w:type="dxa"/>
            <w:vAlign w:val="center"/>
          </w:tcPr>
          <w:p>
            <w:pPr>
              <w:pStyle w:val="17"/>
              <w:rPr>
                <w:color w:val="auto"/>
              </w:rPr>
            </w:pPr>
            <w:r>
              <w:rPr>
                <w:color w:val="auto"/>
              </w:rPr>
              <w:t>事业</w:t>
            </w:r>
          </w:p>
        </w:tc>
        <w:tc>
          <w:tcPr>
            <w:tcW w:w="2126" w:type="dxa"/>
            <w:vAlign w:val="center"/>
          </w:tcPr>
          <w:p>
            <w:pPr>
              <w:pStyle w:val="17"/>
              <w:rPr>
                <w:color w:val="auto"/>
              </w:rPr>
            </w:pPr>
          </w:p>
        </w:tc>
        <w:tc>
          <w:tcPr>
            <w:tcW w:w="3827" w:type="dxa"/>
            <w:vAlign w:val="center"/>
          </w:tcPr>
          <w:p>
            <w:pPr>
              <w:pStyle w:val="17"/>
              <w:rPr>
                <w:color w:val="auto"/>
              </w:rPr>
            </w:pPr>
            <w:r>
              <w:rPr>
                <w:color w:val="auto"/>
              </w:rPr>
              <w:t>其他</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w:t>
      </w:r>
      <w:r>
        <w:rPr>
          <w:rFonts w:ascii="Times New Roman" w:hAnsi="Times New Roman" w:eastAsia="方正仿宋_GBK" w:cs="Times New Roman"/>
          <w:b w:val="0"/>
          <w:color w:val="auto"/>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1、收入说明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eastAsia="zh-CN"/>
        </w:rPr>
        <w:t>单位</w:t>
      </w:r>
      <w:r>
        <w:rPr>
          <w:rFonts w:ascii="Times New Roman" w:hAnsi="Times New Roman" w:eastAsia="方正仿宋_GBK" w:cs="Times New Roman"/>
          <w:b w:val="0"/>
          <w:color w:val="auto"/>
          <w:sz w:val="28"/>
        </w:rPr>
        <w:t>当年全部收入。</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2、支出说明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收支预算总表支出栏、基本支出表、项目支出表按经济分类和支出功能分类科目编制，反映沙河市发展和改革局</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eastAsia="zh-CN"/>
        </w:rPr>
        <w:t>单位</w:t>
      </w:r>
      <w:r>
        <w:rPr>
          <w:rFonts w:hint="eastAsia" w:ascii="Times New Roman" w:hAnsi="Times New Roman" w:eastAsia="方正仿宋_GBK" w:cs="Times New Roman"/>
          <w:b w:val="0"/>
          <w:color w:val="auto"/>
          <w:sz w:val="28"/>
        </w:rPr>
        <w:t>预算中支出预算的总体情况。</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万元，其中基本支出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3</w:t>
      </w:r>
      <w:r>
        <w:rPr>
          <w:rFonts w:hint="eastAsia" w:ascii="Times New Roman" w:hAnsi="Times New Roman" w:eastAsia="方正仿宋_GBK" w:cs="Times New Roman"/>
          <w:b w:val="0"/>
          <w:color w:val="auto"/>
          <w:sz w:val="28"/>
        </w:rPr>
        <w:t>、比上年增减情况</w:t>
      </w:r>
    </w:p>
    <w:p>
      <w:pPr>
        <w:spacing w:before="0" w:after="0" w:line="500" w:lineRule="exact"/>
        <w:ind w:firstLine="560"/>
        <w:jc w:val="left"/>
        <w:outlineLvl w:val="9"/>
        <w:rPr>
          <w:rFonts w:hint="eastAsia" w:ascii="??_GB2312" w:hAnsi="??_GB2312" w:eastAsia="方正仿宋_GBK" w:cs="??_GB2312"/>
          <w:color w:val="auto"/>
          <w:sz w:val="32"/>
          <w:szCs w:val="32"/>
          <w:lang w:val="en-US" w:eastAsia="zh-CN"/>
        </w:rPr>
      </w:pPr>
      <w:r>
        <w:rPr>
          <w:rFonts w:hint="eastAsia" w:eastAsia="方正仿宋_GBK" w:cs="Times New Roman"/>
          <w:b w:val="0"/>
          <w:color w:val="auto"/>
          <w:sz w:val="28"/>
          <w:lang w:eastAsia="zh-CN"/>
        </w:rPr>
        <w:t>2021</w:t>
      </w:r>
      <w:r>
        <w:rPr>
          <w:rFonts w:hint="eastAsia" w:ascii="Times New Roman" w:hAnsi="Times New Roman" w:eastAsia="方正仿宋_GBK" w:cs="Times New Roman"/>
          <w:b w:val="0"/>
          <w:color w:val="auto"/>
          <w:sz w:val="28"/>
        </w:rPr>
        <w:t>年预算收支</w:t>
      </w:r>
      <w:r>
        <w:rPr>
          <w:rFonts w:hint="eastAsia" w:eastAsia="方正仿宋_GBK" w:cs="Times New Roman"/>
          <w:b w:val="0"/>
          <w:color w:val="auto"/>
          <w:sz w:val="28"/>
          <w:lang w:eastAsia="zh-CN"/>
        </w:rPr>
        <w:t>与上年持平。</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31"/>
        <w:rPr>
          <w:color w:val="auto"/>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val="en-US" w:eastAsia="zh-CN"/>
        </w:rPr>
        <w:t>与去年持平。</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2"/>
        <w:rPr>
          <w:rFonts w:hint="eastAsia" w:eastAsia="方正仿宋_GBK"/>
          <w:color w:val="auto"/>
          <w:lang w:eastAsia="zh-CN"/>
        </w:rPr>
      </w:pPr>
      <w:r>
        <w:rPr>
          <w:rFonts w:hint="eastAsia" w:ascii="??_GB2312" w:hAnsi="??_GB2312" w:cs="??_GB2312"/>
          <w:color w:val="auto"/>
          <w:sz w:val="32"/>
          <w:szCs w:val="32"/>
          <w:lang w:eastAsia="zh-CN"/>
        </w:rPr>
        <w:t>2021</w:t>
      </w:r>
      <w:r>
        <w:rPr>
          <w:rFonts w:hint="eastAsia" w:ascii="宋体" w:hAnsi="宋体" w:cs="宋体"/>
          <w:color w:val="auto"/>
          <w:sz w:val="32"/>
          <w:szCs w:val="32"/>
        </w:rPr>
        <w:t>年，我</w:t>
      </w:r>
      <w:r>
        <w:rPr>
          <w:rFonts w:hint="eastAsia" w:ascii="宋体" w:hAnsi="宋体" w:cs="宋体"/>
          <w:color w:val="auto"/>
          <w:sz w:val="32"/>
          <w:szCs w:val="32"/>
          <w:lang w:eastAsia="zh-CN"/>
        </w:rPr>
        <w:t>单位“</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eastAsia="zh-CN"/>
        </w:rPr>
        <w:t>，与上年持平。</w:t>
      </w:r>
    </w:p>
    <w:p>
      <w:pPr>
        <w:numPr>
          <w:ilvl w:val="0"/>
          <w:numId w:val="5"/>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预算绩效信息</w:t>
      </w:r>
    </w:p>
    <w:p>
      <w:pPr>
        <w:spacing w:line="600" w:lineRule="exact"/>
        <w:ind w:firstLine="640" w:firstLineChars="200"/>
        <w:outlineLvl w:val="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开展全市散装水泥行业技术创新以及科技成果的推广应用工作，为散装水泥建设项目立项审查和竣工验收进行行政辅助工作，同时协调好全市发展散装水泥推广应用中出现的重大问题，承担行业统计分析、信息咨询、业务培训等工作。</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1）.产出指标：从数量指标、质量指标、时效指标和成本指标等方面对我市散装水泥行业进行技术指导及政策支持，积极为企业创新以及科技成果推广提供助力，为助推我市经济社会发展提供助力。</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2）.效果指标：①社会效益指标：通过各项工作的开展，达到促进社会经济发展想效果。</w:t>
      </w:r>
    </w:p>
    <w:p>
      <w:pPr>
        <w:pStyle w:val="2"/>
        <w:numPr>
          <w:ilvl w:val="0"/>
          <w:numId w:val="0"/>
        </w:numPr>
        <w:spacing w:after="120" w:afterLines="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3）.满意度指标：①服务对象满意度指标：企业满意度不低于95%。</w:t>
      </w:r>
    </w:p>
    <w:p>
      <w:pPr>
        <w:pStyle w:val="2"/>
        <w:numPr>
          <w:ilvl w:val="0"/>
          <w:numId w:val="0"/>
        </w:numPr>
        <w:spacing w:after="120" w:afterLines="0"/>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w:t>
      </w:r>
      <w:r>
        <w:rPr>
          <w:rFonts w:hint="eastAsia" w:eastAsia="方正仿宋_GBK" w:cs="Times New Roman"/>
          <w:b w:val="0"/>
          <w:color w:val="auto"/>
          <w:sz w:val="28"/>
          <w:lang w:eastAsia="zh-CN"/>
        </w:rPr>
        <w:t>散装水泥办公室</w:t>
      </w:r>
      <w:r>
        <w:rPr>
          <w:rFonts w:ascii="Times New Roman" w:hAnsi="Times New Roman" w:eastAsia="方正仿宋_GBK" w:cs="Times New Roman"/>
          <w:b w:val="0"/>
          <w:color w:val="auto"/>
          <w:sz w:val="28"/>
        </w:rPr>
        <w:t>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w:t>
      </w:r>
      <w:r>
        <w:rPr>
          <w:rFonts w:hint="eastAsia" w:eastAsia="方正仿宋_GBK" w:cs="Times New Roman"/>
          <w:b w:val="0"/>
          <w:color w:val="auto"/>
          <w:sz w:val="28"/>
          <w:lang w:eastAsia="zh-CN"/>
        </w:rPr>
        <w:t>散装水泥办公室</w:t>
      </w:r>
      <w:r>
        <w:rPr>
          <w:rFonts w:ascii="Times New Roman" w:hAnsi="Times New Roman" w:eastAsia="方正仿宋_GBK" w:cs="Times New Roman"/>
          <w:b w:val="0"/>
          <w:color w:val="auto"/>
          <w:sz w:val="28"/>
        </w:rPr>
        <w:t>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eastAsia="方正小标宋_GBK"/>
                <w:color w:val="auto"/>
                <w:lang w:eastAsia="zh-CN"/>
              </w:rPr>
            </w:pPr>
            <w:r>
              <w:rPr>
                <w:color w:val="auto"/>
              </w:rPr>
              <w:t>116003沙河市</w:t>
            </w:r>
            <w:r>
              <w:rPr>
                <w:rFonts w:hint="eastAsia"/>
                <w:color w:val="auto"/>
                <w:lang w:eastAsia="zh-CN"/>
              </w:rPr>
              <w:t>散装水泥办公室</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p>
        </w:tc>
        <w:tc>
          <w:tcPr>
            <w:tcW w:w="2835" w:type="dxa"/>
            <w:vAlign w:val="center"/>
          </w:tcPr>
          <w:p>
            <w:pPr>
              <w:pStyle w:val="17"/>
              <w:rPr>
                <w:color w:val="auto"/>
              </w:rPr>
            </w:pPr>
          </w:p>
        </w:tc>
        <w:tc>
          <w:tcPr>
            <w:tcW w:w="2835" w:type="dxa"/>
            <w:vAlign w:val="center"/>
          </w:tcPr>
          <w:p>
            <w:pPr>
              <w:pStyle w:val="15"/>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我单位无其他需要说明的事项。</w:t>
      </w: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rFonts w:hint="eastAsia" w:ascii="方正小标宋_GBK" w:hAnsi="方正小标宋_GBK" w:eastAsia="方正小标宋_GBK" w:cs="方正小标宋_GBK"/>
          <w:b w:val="0"/>
          <w:color w:val="auto"/>
          <w:sz w:val="44"/>
          <w:lang w:eastAsia="zh-CN"/>
        </w:rPr>
      </w:pPr>
    </w:p>
    <w:p>
      <w:pPr>
        <w:spacing w:before="0" w:after="0"/>
        <w:ind w:firstLine="0"/>
        <w:jc w:val="center"/>
        <w:outlineLvl w:val="3"/>
        <w:rPr>
          <w:color w:val="auto"/>
        </w:rPr>
      </w:pPr>
      <w:r>
        <w:rPr>
          <w:rFonts w:hint="eastAsia" w:ascii="方正小标宋_GBK" w:hAnsi="方正小标宋_GBK" w:eastAsia="方正小标宋_GBK" w:cs="方正小标宋_GBK"/>
          <w:b w:val="0"/>
          <w:color w:val="auto"/>
          <w:sz w:val="44"/>
          <w:lang w:eastAsia="zh-CN"/>
        </w:rPr>
        <w:t>六</w:t>
      </w:r>
      <w:r>
        <w:rPr>
          <w:rFonts w:ascii="方正小标宋_GBK" w:hAnsi="方正小标宋_GBK" w:eastAsia="方正小标宋_GBK" w:cs="方正小标宋_GBK"/>
          <w:b w:val="0"/>
          <w:color w:val="auto"/>
          <w:sz w:val="44"/>
        </w:rPr>
        <w:t>、沙河市</w:t>
      </w:r>
      <w:r>
        <w:rPr>
          <w:rFonts w:hint="eastAsia" w:ascii="方正小标宋_GBK" w:hAnsi="方正小标宋_GBK" w:eastAsia="方正小标宋_GBK" w:cs="方正小标宋_GBK"/>
          <w:b w:val="0"/>
          <w:color w:val="auto"/>
          <w:sz w:val="44"/>
          <w:lang w:eastAsia="zh-CN"/>
        </w:rPr>
        <w:t>价格认证中心</w:t>
      </w:r>
      <w:r>
        <w:rPr>
          <w:rFonts w:ascii="方正小标宋_GBK" w:hAnsi="方正小标宋_GBK" w:eastAsia="方正小标宋_GBK" w:cs="方正小标宋_GBK"/>
          <w:b w:val="0"/>
          <w:color w:val="auto"/>
          <w:sz w:val="44"/>
        </w:rPr>
        <w:t>收支预算</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一、一般公共服务支出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8"/>
              <w:rPr>
                <w:color w:val="auto"/>
              </w:rPr>
            </w:pPr>
            <w:r>
              <w:rPr>
                <w:color w:val="auto"/>
              </w:rPr>
              <w:t>本年收入合计</w:t>
            </w:r>
          </w:p>
        </w:tc>
        <w:tc>
          <w:tcPr>
            <w:tcW w:w="2126" w:type="dxa"/>
            <w:vAlign w:val="center"/>
          </w:tcPr>
          <w:p>
            <w:pPr>
              <w:pStyle w:val="19"/>
              <w:rPr>
                <w:color w:val="auto"/>
              </w:rPr>
            </w:pPr>
          </w:p>
        </w:tc>
        <w:tc>
          <w:tcPr>
            <w:tcW w:w="4535" w:type="dxa"/>
            <w:vAlign w:val="center"/>
          </w:tcPr>
          <w:p>
            <w:pPr>
              <w:pStyle w:val="18"/>
              <w:rPr>
                <w:color w:val="auto"/>
              </w:rPr>
            </w:pPr>
            <w:r>
              <w:rPr>
                <w:color w:val="auto"/>
              </w:rPr>
              <w:t>本年支出合计</w:t>
            </w:r>
          </w:p>
        </w:tc>
        <w:tc>
          <w:tcPr>
            <w:tcW w:w="2126"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8"/>
              <w:rPr>
                <w:color w:val="auto"/>
              </w:rPr>
            </w:pPr>
            <w:r>
              <w:rPr>
                <w:color w:val="auto"/>
              </w:rPr>
              <w:t>收入总计</w:t>
            </w:r>
          </w:p>
        </w:tc>
        <w:tc>
          <w:tcPr>
            <w:tcW w:w="2126" w:type="dxa"/>
            <w:vAlign w:val="center"/>
          </w:tcPr>
          <w:p>
            <w:pPr>
              <w:pStyle w:val="19"/>
              <w:rPr>
                <w:color w:val="auto"/>
              </w:rPr>
            </w:pPr>
          </w:p>
        </w:tc>
        <w:tc>
          <w:tcPr>
            <w:tcW w:w="4535" w:type="dxa"/>
            <w:vAlign w:val="center"/>
          </w:tcPr>
          <w:p>
            <w:pPr>
              <w:pStyle w:val="18"/>
              <w:rPr>
                <w:color w:val="auto"/>
              </w:rPr>
            </w:pPr>
            <w:r>
              <w:rPr>
                <w:color w:val="auto"/>
              </w:rPr>
              <w:t>支出总计</w:t>
            </w:r>
          </w:p>
        </w:tc>
        <w:tc>
          <w:tcPr>
            <w:tcW w:w="2126"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2551" w:type="dxa"/>
            <w:gridSpan w:val="2"/>
            <w:vAlign w:val="center"/>
          </w:tcPr>
          <w:p>
            <w:pPr>
              <w:pStyle w:val="14"/>
              <w:rPr>
                <w:color w:val="auto"/>
              </w:rPr>
            </w:pPr>
            <w:r>
              <w:rPr>
                <w:color w:val="auto"/>
              </w:rPr>
              <w:t>功能分类科目</w:t>
            </w:r>
          </w:p>
        </w:tc>
        <w:tc>
          <w:tcPr>
            <w:tcW w:w="1134" w:type="dxa"/>
            <w:vMerge w:val="restart"/>
            <w:vAlign w:val="center"/>
          </w:tcPr>
          <w:p>
            <w:pPr>
              <w:pStyle w:val="14"/>
              <w:rPr>
                <w:color w:val="auto"/>
              </w:rPr>
            </w:pPr>
            <w:r>
              <w:rPr>
                <w:color w:val="auto"/>
              </w:rPr>
              <w:t>合计</w:t>
            </w:r>
          </w:p>
        </w:tc>
        <w:tc>
          <w:tcPr>
            <w:tcW w:w="9071"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1559" w:type="dxa"/>
            <w:vAlign w:val="center"/>
          </w:tcPr>
          <w:p>
            <w:pPr>
              <w:pStyle w:val="14"/>
              <w:rPr>
                <w:color w:val="auto"/>
              </w:rPr>
            </w:pPr>
            <w:r>
              <w:rPr>
                <w:color w:val="auto"/>
              </w:rPr>
              <w:t>科目名称</w:t>
            </w:r>
          </w:p>
        </w:tc>
        <w:tc>
          <w:tcPr>
            <w:tcW w:w="1134" w:type="dxa"/>
            <w:vMerge w:val="continue"/>
          </w:tcPr>
          <w:p>
            <w:pPr>
              <w:rPr>
                <w:color w:val="auto"/>
              </w:rPr>
            </w:pPr>
          </w:p>
        </w:tc>
        <w:tc>
          <w:tcPr>
            <w:tcW w:w="1134" w:type="dxa"/>
            <w:vAlign w:val="center"/>
          </w:tcPr>
          <w:p>
            <w:pPr>
              <w:pStyle w:val="14"/>
              <w:rPr>
                <w:color w:val="auto"/>
              </w:rPr>
            </w:pPr>
            <w:r>
              <w:rPr>
                <w:color w:val="auto"/>
              </w:rPr>
              <w:t>小计</w:t>
            </w:r>
          </w:p>
        </w:tc>
        <w:tc>
          <w:tcPr>
            <w:tcW w:w="1134" w:type="dxa"/>
            <w:vAlign w:val="center"/>
          </w:tcPr>
          <w:p>
            <w:pPr>
              <w:pStyle w:val="14"/>
              <w:rPr>
                <w:color w:val="auto"/>
              </w:rPr>
            </w:pPr>
            <w:r>
              <w:rPr>
                <w:color w:val="auto"/>
              </w:rPr>
              <w:t>财政拨款 收入</w:t>
            </w:r>
          </w:p>
        </w:tc>
        <w:tc>
          <w:tcPr>
            <w:tcW w:w="1134" w:type="dxa"/>
            <w:vAlign w:val="center"/>
          </w:tcPr>
          <w:p>
            <w:pPr>
              <w:pStyle w:val="14"/>
              <w:rPr>
                <w:color w:val="auto"/>
              </w:rPr>
            </w:pPr>
            <w:r>
              <w:rPr>
                <w:color w:val="auto"/>
              </w:rPr>
              <w:t>财政专户 收入</w:t>
            </w:r>
          </w:p>
        </w:tc>
        <w:tc>
          <w:tcPr>
            <w:tcW w:w="1134" w:type="dxa"/>
            <w:vAlign w:val="center"/>
          </w:tcPr>
          <w:p>
            <w:pPr>
              <w:pStyle w:val="14"/>
              <w:rPr>
                <w:color w:val="auto"/>
              </w:rPr>
            </w:pPr>
            <w:r>
              <w:rPr>
                <w:color w:val="auto"/>
              </w:rPr>
              <w:t>事业收入</w:t>
            </w:r>
          </w:p>
        </w:tc>
        <w:tc>
          <w:tcPr>
            <w:tcW w:w="1134" w:type="dxa"/>
            <w:vAlign w:val="center"/>
          </w:tcPr>
          <w:p>
            <w:pPr>
              <w:pStyle w:val="14"/>
              <w:rPr>
                <w:color w:val="auto"/>
              </w:rPr>
            </w:pPr>
            <w:r>
              <w:rPr>
                <w:color w:val="auto"/>
              </w:rPr>
              <w:t>经营收入</w:t>
            </w:r>
          </w:p>
        </w:tc>
        <w:tc>
          <w:tcPr>
            <w:tcW w:w="1134"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1559" w:type="dxa"/>
            <w:vAlign w:val="center"/>
          </w:tcPr>
          <w:p>
            <w:pPr>
              <w:pStyle w:val="14"/>
              <w:rPr>
                <w:color w:val="auto"/>
              </w:rPr>
            </w:pPr>
            <w:r>
              <w:rPr>
                <w:color w:val="auto"/>
              </w:rPr>
              <w:t>2</w:t>
            </w:r>
          </w:p>
        </w:tc>
        <w:tc>
          <w:tcPr>
            <w:tcW w:w="1134" w:type="dxa"/>
            <w:vAlign w:val="center"/>
          </w:tcPr>
          <w:p>
            <w:pPr>
              <w:pStyle w:val="14"/>
              <w:rPr>
                <w:color w:val="auto"/>
              </w:rPr>
            </w:pPr>
            <w:r>
              <w:rPr>
                <w:color w:val="auto"/>
              </w:rPr>
              <w:t>3</w:t>
            </w:r>
          </w:p>
        </w:tc>
        <w:tc>
          <w:tcPr>
            <w:tcW w:w="1134" w:type="dxa"/>
            <w:vAlign w:val="center"/>
          </w:tcPr>
          <w:p>
            <w:pPr>
              <w:pStyle w:val="14"/>
              <w:rPr>
                <w:color w:val="auto"/>
              </w:rPr>
            </w:pPr>
            <w:r>
              <w:rPr>
                <w:color w:val="auto"/>
              </w:rPr>
              <w:t>4</w:t>
            </w:r>
          </w:p>
        </w:tc>
        <w:tc>
          <w:tcPr>
            <w:tcW w:w="1134" w:type="dxa"/>
            <w:vAlign w:val="center"/>
          </w:tcPr>
          <w:p>
            <w:pPr>
              <w:pStyle w:val="14"/>
              <w:rPr>
                <w:color w:val="auto"/>
              </w:rPr>
            </w:pPr>
            <w:r>
              <w:rPr>
                <w:color w:val="auto"/>
              </w:rPr>
              <w:t>5</w:t>
            </w:r>
          </w:p>
        </w:tc>
        <w:tc>
          <w:tcPr>
            <w:tcW w:w="1134" w:type="dxa"/>
            <w:vAlign w:val="center"/>
          </w:tcPr>
          <w:p>
            <w:pPr>
              <w:pStyle w:val="14"/>
              <w:rPr>
                <w:color w:val="auto"/>
              </w:rPr>
            </w:pPr>
            <w:r>
              <w:rPr>
                <w:color w:val="auto"/>
              </w:rPr>
              <w:t>6</w:t>
            </w:r>
          </w:p>
        </w:tc>
        <w:tc>
          <w:tcPr>
            <w:tcW w:w="1134" w:type="dxa"/>
            <w:vAlign w:val="center"/>
          </w:tcPr>
          <w:p>
            <w:pPr>
              <w:pStyle w:val="14"/>
              <w:rPr>
                <w:color w:val="auto"/>
              </w:rPr>
            </w:pPr>
            <w:r>
              <w:rPr>
                <w:color w:val="auto"/>
              </w:rPr>
              <w:t>7</w:t>
            </w:r>
          </w:p>
        </w:tc>
        <w:tc>
          <w:tcPr>
            <w:tcW w:w="1134" w:type="dxa"/>
            <w:vAlign w:val="center"/>
          </w:tcPr>
          <w:p>
            <w:pPr>
              <w:pStyle w:val="14"/>
              <w:rPr>
                <w:color w:val="auto"/>
              </w:rPr>
            </w:pPr>
            <w:r>
              <w:rPr>
                <w:color w:val="auto"/>
              </w:rPr>
              <w:t>8</w:t>
            </w:r>
          </w:p>
        </w:tc>
        <w:tc>
          <w:tcPr>
            <w:tcW w:w="1134"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p>
        </w:tc>
        <w:tc>
          <w:tcPr>
            <w:tcW w:w="992" w:type="dxa"/>
            <w:vAlign w:val="center"/>
          </w:tcPr>
          <w:p>
            <w:pPr>
              <w:pStyle w:val="16"/>
              <w:rPr>
                <w:color w:val="auto"/>
              </w:rPr>
            </w:pPr>
          </w:p>
        </w:tc>
        <w:tc>
          <w:tcPr>
            <w:tcW w:w="1559" w:type="dxa"/>
            <w:vAlign w:val="center"/>
          </w:tcPr>
          <w:p>
            <w:pPr>
              <w:pStyle w:val="16"/>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注：无收入预算，空表列示。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5"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992" w:type="dxa"/>
            <w:vAlign w:val="center"/>
          </w:tcPr>
          <w:p>
            <w:pPr>
              <w:pStyle w:val="16"/>
              <w:rPr>
                <w:color w:val="auto"/>
              </w:rPr>
            </w:pPr>
          </w:p>
        </w:tc>
        <w:tc>
          <w:tcPr>
            <w:tcW w:w="4535" w:type="dxa"/>
            <w:vAlign w:val="center"/>
          </w:tcPr>
          <w:p>
            <w:pPr>
              <w:pStyle w:val="16"/>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4876" w:type="dxa"/>
            <w:gridSpan w:val="2"/>
            <w:vAlign w:val="center"/>
          </w:tcPr>
          <w:p>
            <w:pPr>
              <w:pStyle w:val="14"/>
              <w:rPr>
                <w:color w:val="auto"/>
              </w:rPr>
            </w:pPr>
            <w:r>
              <w:rPr>
                <w:color w:val="auto"/>
              </w:rPr>
              <w:t>收入</w:t>
            </w:r>
          </w:p>
        </w:tc>
        <w:tc>
          <w:tcPr>
            <w:tcW w:w="9298" w:type="dxa"/>
            <w:gridSpan w:val="5"/>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金额</w:t>
            </w:r>
          </w:p>
        </w:tc>
        <w:tc>
          <w:tcPr>
            <w:tcW w:w="3402" w:type="dxa"/>
            <w:vAlign w:val="center"/>
          </w:tcPr>
          <w:p>
            <w:pPr>
              <w:pStyle w:val="14"/>
              <w:rPr>
                <w:color w:val="auto"/>
              </w:rPr>
            </w:pPr>
            <w:r>
              <w:rPr>
                <w:color w:val="auto"/>
              </w:rPr>
              <w:t>项  目</w:t>
            </w:r>
          </w:p>
        </w:tc>
        <w:tc>
          <w:tcPr>
            <w:tcW w:w="1474" w:type="dxa"/>
            <w:vAlign w:val="center"/>
          </w:tcPr>
          <w:p>
            <w:pPr>
              <w:pStyle w:val="14"/>
              <w:rPr>
                <w:color w:val="auto"/>
              </w:rPr>
            </w:pPr>
            <w:r>
              <w:rPr>
                <w:color w:val="auto"/>
              </w:rPr>
              <w:t>合计</w:t>
            </w:r>
          </w:p>
        </w:tc>
        <w:tc>
          <w:tcPr>
            <w:tcW w:w="1474" w:type="dxa"/>
            <w:vAlign w:val="center"/>
          </w:tcPr>
          <w:p>
            <w:pPr>
              <w:pStyle w:val="14"/>
              <w:rPr>
                <w:color w:val="auto"/>
              </w:rPr>
            </w:pPr>
            <w:r>
              <w:rPr>
                <w:color w:val="auto"/>
              </w:rPr>
              <w:t>一般公共预算财政拨款</w:t>
            </w:r>
          </w:p>
        </w:tc>
        <w:tc>
          <w:tcPr>
            <w:tcW w:w="1474" w:type="dxa"/>
            <w:vAlign w:val="center"/>
          </w:tcPr>
          <w:p>
            <w:pPr>
              <w:pStyle w:val="14"/>
              <w:rPr>
                <w:color w:val="auto"/>
              </w:rPr>
            </w:pPr>
            <w:r>
              <w:rPr>
                <w:color w:val="auto"/>
              </w:rPr>
              <w:t>政府性基金预算财政    拨款</w:t>
            </w:r>
          </w:p>
        </w:tc>
        <w:tc>
          <w:tcPr>
            <w:tcW w:w="1474" w:type="dxa"/>
            <w:vAlign w:val="center"/>
          </w:tcPr>
          <w:p>
            <w:pPr>
              <w:pStyle w:val="14"/>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3402" w:type="dxa"/>
            <w:vAlign w:val="center"/>
          </w:tcPr>
          <w:p>
            <w:pPr>
              <w:pStyle w:val="14"/>
              <w:rPr>
                <w:color w:val="auto"/>
              </w:rPr>
            </w:pPr>
            <w:r>
              <w:rPr>
                <w:color w:val="auto"/>
              </w:rPr>
              <w:t>1</w:t>
            </w:r>
          </w:p>
        </w:tc>
        <w:tc>
          <w:tcPr>
            <w:tcW w:w="1474" w:type="dxa"/>
            <w:vAlign w:val="center"/>
          </w:tcPr>
          <w:p>
            <w:pPr>
              <w:pStyle w:val="14"/>
              <w:rPr>
                <w:color w:val="auto"/>
              </w:rPr>
            </w:pPr>
            <w:r>
              <w:rPr>
                <w:color w:val="auto"/>
              </w:rPr>
              <w:t>2</w:t>
            </w:r>
          </w:p>
        </w:tc>
        <w:tc>
          <w:tcPr>
            <w:tcW w:w="3402" w:type="dxa"/>
            <w:vAlign w:val="center"/>
          </w:tcPr>
          <w:p>
            <w:pPr>
              <w:pStyle w:val="14"/>
              <w:rPr>
                <w:color w:val="auto"/>
              </w:rPr>
            </w:pPr>
            <w:r>
              <w:rPr>
                <w:color w:val="auto"/>
              </w:rPr>
              <w:t>3</w:t>
            </w:r>
          </w:p>
        </w:tc>
        <w:tc>
          <w:tcPr>
            <w:tcW w:w="1474" w:type="dxa"/>
            <w:vAlign w:val="center"/>
          </w:tcPr>
          <w:p>
            <w:pPr>
              <w:pStyle w:val="14"/>
              <w:rPr>
                <w:color w:val="auto"/>
              </w:rPr>
            </w:pPr>
            <w:r>
              <w:rPr>
                <w:color w:val="auto"/>
              </w:rPr>
              <w:t>4</w:t>
            </w:r>
          </w:p>
        </w:tc>
        <w:tc>
          <w:tcPr>
            <w:tcW w:w="1474" w:type="dxa"/>
            <w:vAlign w:val="center"/>
          </w:tcPr>
          <w:p>
            <w:pPr>
              <w:pStyle w:val="14"/>
              <w:rPr>
                <w:color w:val="auto"/>
              </w:rPr>
            </w:pPr>
            <w:r>
              <w:rPr>
                <w:color w:val="auto"/>
              </w:rPr>
              <w:t>5</w:t>
            </w:r>
          </w:p>
        </w:tc>
        <w:tc>
          <w:tcPr>
            <w:tcW w:w="1474" w:type="dxa"/>
            <w:vAlign w:val="center"/>
          </w:tcPr>
          <w:p>
            <w:pPr>
              <w:pStyle w:val="14"/>
              <w:rPr>
                <w:color w:val="auto"/>
              </w:rPr>
            </w:pPr>
            <w:r>
              <w:rPr>
                <w:color w:val="auto"/>
              </w:rPr>
              <w:t>6</w:t>
            </w:r>
          </w:p>
        </w:tc>
        <w:tc>
          <w:tcPr>
            <w:tcW w:w="1474" w:type="dxa"/>
            <w:vAlign w:val="center"/>
          </w:tcPr>
          <w:p>
            <w:pPr>
              <w:pStyle w:val="14"/>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一、一般公共服务支出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二、外交支出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r>
              <w:rPr>
                <w:color w:val="auto"/>
              </w:rPr>
              <w:t>三、国防支出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四、公共安全支出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五、教育支出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六、科学技术支出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七、文化旅游体育与传媒支出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八、社会保障和就业支出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九、社会保险基金支出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十、卫生健康支出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十一、节能环保支出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十二、城乡社区支出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十三、农林水支出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十四、交通运输支出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十五、资源勘探工业信息等支出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十六、商业服务业等支出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十七、金融支出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十八、援助其他地区支出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十九、自然资源海洋气象等支出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二十、住房保障支出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二十一、粮油物资储备支出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二十二、国有资本经营预算支出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二十三、灾害防治及应急管理支出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二十四、预备费</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二十五、其他支出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二十六、转移性支出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二十七、债务还本支出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二十八、债务付息支出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二十九、债务发行费用支出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3402" w:type="dxa"/>
            <w:vAlign w:val="center"/>
          </w:tcPr>
          <w:p>
            <w:pPr>
              <w:pStyle w:val="16"/>
              <w:rPr>
                <w:color w:val="auto"/>
              </w:rPr>
            </w:pPr>
          </w:p>
        </w:tc>
        <w:tc>
          <w:tcPr>
            <w:tcW w:w="1474" w:type="dxa"/>
            <w:vAlign w:val="center"/>
          </w:tcPr>
          <w:p>
            <w:pPr>
              <w:pStyle w:val="15"/>
              <w:rPr>
                <w:color w:val="auto"/>
              </w:rPr>
            </w:pPr>
          </w:p>
        </w:tc>
        <w:tc>
          <w:tcPr>
            <w:tcW w:w="3402" w:type="dxa"/>
            <w:vAlign w:val="center"/>
          </w:tcPr>
          <w:p>
            <w:pPr>
              <w:pStyle w:val="16"/>
              <w:rPr>
                <w:color w:val="auto"/>
              </w:rPr>
            </w:pPr>
            <w:r>
              <w:rPr>
                <w:color w:val="auto"/>
              </w:rPr>
              <w:t>三十、抗疫特别国债安排的支出</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3402" w:type="dxa"/>
            <w:vAlign w:val="center"/>
          </w:tcPr>
          <w:p>
            <w:pPr>
              <w:pStyle w:val="18"/>
              <w:rPr>
                <w:color w:val="auto"/>
              </w:rPr>
            </w:pPr>
            <w:r>
              <w:rPr>
                <w:color w:val="auto"/>
              </w:rPr>
              <w:t>本年收入合计</w:t>
            </w:r>
          </w:p>
        </w:tc>
        <w:tc>
          <w:tcPr>
            <w:tcW w:w="1474" w:type="dxa"/>
            <w:vAlign w:val="center"/>
          </w:tcPr>
          <w:p>
            <w:pPr>
              <w:pStyle w:val="19"/>
              <w:rPr>
                <w:color w:val="auto"/>
              </w:rPr>
            </w:pPr>
          </w:p>
        </w:tc>
        <w:tc>
          <w:tcPr>
            <w:tcW w:w="3402" w:type="dxa"/>
            <w:vAlign w:val="center"/>
          </w:tcPr>
          <w:p>
            <w:pPr>
              <w:pStyle w:val="18"/>
              <w:rPr>
                <w:color w:val="auto"/>
              </w:rPr>
            </w:pPr>
            <w:r>
              <w:rPr>
                <w:color w:val="auto"/>
              </w:rPr>
              <w:t>本年支出合计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3402" w:type="dxa"/>
            <w:vAlign w:val="center"/>
          </w:tcPr>
          <w:p>
            <w:pPr>
              <w:pStyle w:val="16"/>
              <w:rPr>
                <w:color w:val="auto"/>
              </w:rPr>
            </w:pPr>
            <w:r>
              <w:rPr>
                <w:color w:val="auto"/>
              </w:rPr>
              <w:t>年初财政拨款结转和结余</w:t>
            </w:r>
          </w:p>
        </w:tc>
        <w:tc>
          <w:tcPr>
            <w:tcW w:w="1474" w:type="dxa"/>
            <w:vAlign w:val="center"/>
          </w:tcPr>
          <w:p>
            <w:pPr>
              <w:pStyle w:val="15"/>
              <w:rPr>
                <w:color w:val="auto"/>
              </w:rPr>
            </w:pPr>
          </w:p>
        </w:tc>
        <w:tc>
          <w:tcPr>
            <w:tcW w:w="3402" w:type="dxa"/>
            <w:vAlign w:val="center"/>
          </w:tcPr>
          <w:p>
            <w:pPr>
              <w:pStyle w:val="16"/>
              <w:rPr>
                <w:color w:val="auto"/>
              </w:rPr>
            </w:pPr>
            <w:r>
              <w:rPr>
                <w:color w:val="auto"/>
              </w:rPr>
              <w:t>年末财政拨款结转和结余</w:t>
            </w: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3402" w:type="dxa"/>
            <w:vAlign w:val="center"/>
          </w:tcPr>
          <w:p>
            <w:pPr>
              <w:pStyle w:val="16"/>
              <w:rPr>
                <w:color w:val="auto"/>
              </w:rPr>
            </w:pPr>
            <w:r>
              <w:rPr>
                <w:color w:val="auto"/>
              </w:rPr>
              <w:t>一、一般公共预算拨款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3402" w:type="dxa"/>
            <w:vAlign w:val="center"/>
          </w:tcPr>
          <w:p>
            <w:pPr>
              <w:pStyle w:val="16"/>
              <w:rPr>
                <w:color w:val="auto"/>
              </w:rPr>
            </w:pPr>
            <w:r>
              <w:rPr>
                <w:color w:val="auto"/>
              </w:rPr>
              <w:t>二、政府性基金预算拨款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35</w:t>
            </w:r>
          </w:p>
        </w:tc>
        <w:tc>
          <w:tcPr>
            <w:tcW w:w="3402" w:type="dxa"/>
            <w:vAlign w:val="center"/>
          </w:tcPr>
          <w:p>
            <w:pPr>
              <w:pStyle w:val="16"/>
              <w:rPr>
                <w:color w:val="auto"/>
              </w:rPr>
            </w:pPr>
            <w:r>
              <w:rPr>
                <w:color w:val="auto"/>
              </w:rPr>
              <w:t>三、国有资本经营预算拨款</w:t>
            </w:r>
          </w:p>
        </w:tc>
        <w:tc>
          <w:tcPr>
            <w:tcW w:w="1474" w:type="dxa"/>
            <w:vAlign w:val="center"/>
          </w:tcPr>
          <w:p>
            <w:pPr>
              <w:pStyle w:val="15"/>
              <w:rPr>
                <w:color w:val="auto"/>
              </w:rPr>
            </w:pPr>
          </w:p>
        </w:tc>
        <w:tc>
          <w:tcPr>
            <w:tcW w:w="3402" w:type="dxa"/>
            <w:vAlign w:val="center"/>
          </w:tcPr>
          <w:p>
            <w:pPr>
              <w:pStyle w:val="16"/>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36</w:t>
            </w:r>
          </w:p>
        </w:tc>
        <w:tc>
          <w:tcPr>
            <w:tcW w:w="3402" w:type="dxa"/>
            <w:vAlign w:val="center"/>
          </w:tcPr>
          <w:p>
            <w:pPr>
              <w:pStyle w:val="18"/>
              <w:rPr>
                <w:color w:val="auto"/>
              </w:rPr>
            </w:pPr>
            <w:r>
              <w:rPr>
                <w:color w:val="auto"/>
              </w:rPr>
              <w:t>收入总计</w:t>
            </w:r>
          </w:p>
        </w:tc>
        <w:tc>
          <w:tcPr>
            <w:tcW w:w="1474" w:type="dxa"/>
            <w:vAlign w:val="center"/>
          </w:tcPr>
          <w:p>
            <w:pPr>
              <w:pStyle w:val="19"/>
              <w:rPr>
                <w:color w:val="auto"/>
              </w:rPr>
            </w:pPr>
          </w:p>
        </w:tc>
        <w:tc>
          <w:tcPr>
            <w:tcW w:w="3402" w:type="dxa"/>
            <w:vAlign w:val="center"/>
          </w:tcPr>
          <w:p>
            <w:pPr>
              <w:pStyle w:val="18"/>
              <w:rPr>
                <w:color w:val="auto"/>
              </w:rPr>
            </w:pPr>
            <w:r>
              <w:rPr>
                <w:color w:val="auto"/>
              </w:rPr>
              <w:t>支出总计</w:t>
            </w: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c>
          <w:tcPr>
            <w:tcW w:w="1474" w:type="dxa"/>
            <w:vAlign w:val="center"/>
          </w:tcPr>
          <w:p>
            <w:pPr>
              <w:pStyle w:val="19"/>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注：无财政拨款收支预算，空表列示。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支出部门经济分类科目</w:t>
            </w:r>
          </w:p>
        </w:tc>
        <w:tc>
          <w:tcPr>
            <w:tcW w:w="7654" w:type="dxa"/>
            <w:gridSpan w:val="3"/>
            <w:vAlign w:val="center"/>
          </w:tcPr>
          <w:p>
            <w:pPr>
              <w:pStyle w:val="14"/>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Align w:val="center"/>
          </w:tcPr>
          <w:p>
            <w:pPr>
              <w:pStyle w:val="14"/>
              <w:rPr>
                <w:color w:val="auto"/>
              </w:rPr>
            </w:pPr>
            <w:r>
              <w:rPr>
                <w:color w:val="auto"/>
              </w:rPr>
              <w:t>合计</w:t>
            </w:r>
          </w:p>
        </w:tc>
        <w:tc>
          <w:tcPr>
            <w:tcW w:w="2551" w:type="dxa"/>
            <w:vAlign w:val="center"/>
          </w:tcPr>
          <w:p>
            <w:pPr>
              <w:pStyle w:val="14"/>
              <w:rPr>
                <w:color w:val="auto"/>
              </w:rPr>
            </w:pPr>
            <w:r>
              <w:rPr>
                <w:color w:val="auto"/>
              </w:rPr>
              <w:t>人员经费</w:t>
            </w:r>
          </w:p>
        </w:tc>
        <w:tc>
          <w:tcPr>
            <w:tcW w:w="2551" w:type="dxa"/>
            <w:vAlign w:val="center"/>
          </w:tcPr>
          <w:p>
            <w:pPr>
              <w:pStyle w:val="14"/>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注：无一般公共预算财政拨款基本支出预算，空表列示。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p>
        </w:tc>
        <w:tc>
          <w:tcPr>
            <w:tcW w:w="1191" w:type="dxa"/>
            <w:vAlign w:val="center"/>
          </w:tcPr>
          <w:p>
            <w:pPr>
              <w:pStyle w:val="16"/>
              <w:rPr>
                <w:color w:val="auto"/>
              </w:rPr>
            </w:pPr>
          </w:p>
        </w:tc>
        <w:tc>
          <w:tcPr>
            <w:tcW w:w="4535" w:type="dxa"/>
            <w:vAlign w:val="center"/>
          </w:tcPr>
          <w:p>
            <w:pPr>
              <w:pStyle w:val="16"/>
              <w:rPr>
                <w:color w:val="auto"/>
              </w:rPr>
            </w:pPr>
          </w:p>
        </w:tc>
        <w:tc>
          <w:tcPr>
            <w:tcW w:w="2551" w:type="dxa"/>
            <w:vAlign w:val="center"/>
          </w:tcPr>
          <w:p>
            <w:pPr>
              <w:pStyle w:val="15"/>
              <w:rPr>
                <w:color w:val="auto"/>
              </w:rPr>
            </w:pPr>
          </w:p>
        </w:tc>
        <w:tc>
          <w:tcPr>
            <w:tcW w:w="2551" w:type="dxa"/>
            <w:vAlign w:val="center"/>
          </w:tcPr>
          <w:p>
            <w:pPr>
              <w:pStyle w:val="15"/>
              <w:rPr>
                <w:color w:val="auto"/>
              </w:rPr>
            </w:pPr>
          </w:p>
        </w:tc>
        <w:tc>
          <w:tcPr>
            <w:tcW w:w="255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color w:val="auto"/>
                <w:lang w:eastAsia="zh-CN"/>
              </w:rPr>
            </w:pPr>
            <w:r>
              <w:rPr>
                <w:color w:val="auto"/>
              </w:rPr>
              <w:t>预算年度：</w:t>
            </w:r>
            <w:r>
              <w:rPr>
                <w:rFonts w:hint="eastAsia"/>
                <w:color w:val="auto"/>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3798" w:type="dxa"/>
            <w:vMerge w:val="restart"/>
            <w:vAlign w:val="center"/>
          </w:tcPr>
          <w:p>
            <w:pPr>
              <w:pStyle w:val="14"/>
              <w:rPr>
                <w:color w:val="auto"/>
              </w:rPr>
            </w:pPr>
            <w:r>
              <w:rPr>
                <w:color w:val="auto"/>
              </w:rPr>
              <w:t>项  目</w:t>
            </w:r>
          </w:p>
        </w:tc>
        <w:tc>
          <w:tcPr>
            <w:tcW w:w="9524" w:type="dxa"/>
            <w:gridSpan w:val="4"/>
            <w:vAlign w:val="center"/>
          </w:tcPr>
          <w:p>
            <w:pPr>
              <w:pStyle w:val="14"/>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4"/>
              <w:rPr>
                <w:color w:val="auto"/>
              </w:rPr>
            </w:pPr>
            <w:r>
              <w:rPr>
                <w:color w:val="auto"/>
              </w:rPr>
              <w:t>合计</w:t>
            </w:r>
          </w:p>
        </w:tc>
        <w:tc>
          <w:tcPr>
            <w:tcW w:w="2381" w:type="dxa"/>
            <w:vAlign w:val="center"/>
          </w:tcPr>
          <w:p>
            <w:pPr>
              <w:pStyle w:val="14"/>
              <w:rPr>
                <w:color w:val="auto"/>
              </w:rPr>
            </w:pPr>
            <w:r>
              <w:rPr>
                <w:color w:val="auto"/>
              </w:rPr>
              <w:t>一般公共预算              财政拨款</w:t>
            </w:r>
          </w:p>
        </w:tc>
        <w:tc>
          <w:tcPr>
            <w:tcW w:w="2381" w:type="dxa"/>
            <w:vAlign w:val="center"/>
          </w:tcPr>
          <w:p>
            <w:pPr>
              <w:pStyle w:val="14"/>
              <w:rPr>
                <w:color w:val="auto"/>
              </w:rPr>
            </w:pPr>
            <w:r>
              <w:rPr>
                <w:color w:val="auto"/>
              </w:rPr>
              <w:t>政府性基金                  预算拨款</w:t>
            </w:r>
          </w:p>
        </w:tc>
        <w:tc>
          <w:tcPr>
            <w:tcW w:w="2381" w:type="dxa"/>
            <w:vAlign w:val="center"/>
          </w:tcPr>
          <w:p>
            <w:pPr>
              <w:pStyle w:val="14"/>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color w:val="auto"/>
              </w:rPr>
              <w:t>栏次</w:t>
            </w:r>
          </w:p>
        </w:tc>
        <w:tc>
          <w:tcPr>
            <w:tcW w:w="3798" w:type="dxa"/>
            <w:vAlign w:val="center"/>
          </w:tcPr>
          <w:p>
            <w:pPr>
              <w:pStyle w:val="14"/>
              <w:rPr>
                <w:color w:val="auto"/>
              </w:rPr>
            </w:pPr>
            <w:r>
              <w:rPr>
                <w:color w:val="auto"/>
              </w:rPr>
              <w:t>1</w:t>
            </w:r>
          </w:p>
        </w:tc>
        <w:tc>
          <w:tcPr>
            <w:tcW w:w="2381" w:type="dxa"/>
            <w:vAlign w:val="center"/>
          </w:tcPr>
          <w:p>
            <w:pPr>
              <w:pStyle w:val="14"/>
              <w:rPr>
                <w:color w:val="auto"/>
              </w:rPr>
            </w:pPr>
            <w:r>
              <w:rPr>
                <w:color w:val="auto"/>
              </w:rPr>
              <w:t>2</w:t>
            </w:r>
          </w:p>
        </w:tc>
        <w:tc>
          <w:tcPr>
            <w:tcW w:w="2381" w:type="dxa"/>
            <w:vAlign w:val="center"/>
          </w:tcPr>
          <w:p>
            <w:pPr>
              <w:pStyle w:val="14"/>
              <w:rPr>
                <w:color w:val="auto"/>
              </w:rPr>
            </w:pPr>
            <w:r>
              <w:rPr>
                <w:color w:val="auto"/>
              </w:rPr>
              <w:t>3</w:t>
            </w:r>
          </w:p>
        </w:tc>
        <w:tc>
          <w:tcPr>
            <w:tcW w:w="2381" w:type="dxa"/>
            <w:vAlign w:val="center"/>
          </w:tcPr>
          <w:p>
            <w:pPr>
              <w:pStyle w:val="14"/>
              <w:rPr>
                <w:color w:val="auto"/>
              </w:rPr>
            </w:pPr>
            <w:r>
              <w:rPr>
                <w:color w:val="auto"/>
              </w:rPr>
              <w:t>4</w:t>
            </w:r>
          </w:p>
        </w:tc>
        <w:tc>
          <w:tcPr>
            <w:tcW w:w="238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color w:val="auto"/>
              </w:rPr>
            </w:pPr>
          </w:p>
        </w:tc>
        <w:tc>
          <w:tcPr>
            <w:tcW w:w="3798" w:type="dxa"/>
            <w:vAlign w:val="center"/>
          </w:tcPr>
          <w:p>
            <w:pPr>
              <w:pStyle w:val="16"/>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c>
          <w:tcPr>
            <w:tcW w:w="2381" w:type="dxa"/>
            <w:vAlign w:val="center"/>
          </w:tcPr>
          <w:p>
            <w:pPr>
              <w:pStyle w:val="15"/>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注：无财政拨款“三公”</w:t>
      </w:r>
      <w:r>
        <w:rPr>
          <w:rFonts w:hint="eastAsia" w:ascii="方正书宋_GBK" w:hAnsi="方正书宋_GBK" w:eastAsia="方正书宋_GBK" w:cs="方正书宋_GBK"/>
          <w:color w:val="auto"/>
          <w:sz w:val="21"/>
          <w:lang w:eastAsia="zh-CN"/>
        </w:rPr>
        <w:t>经费支出预算</w:t>
      </w:r>
      <w:r>
        <w:rPr>
          <w:rFonts w:ascii="方正书宋_GBK" w:hAnsi="方正书宋_GBK" w:eastAsia="方正书宋_GBK" w:cs="方正书宋_GBK"/>
          <w:color w:val="auto"/>
          <w:sz w:val="21"/>
        </w:rPr>
        <w:t>，空表列示。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沙河市价格认证中心</w:t>
      </w:r>
      <w:r>
        <w:rPr>
          <w:rFonts w:hint="eastAsia" w:ascii="方正小标宋_GBK" w:hAnsi="方正小标宋_GBK" w:eastAsia="方正小标宋_GBK" w:cs="方正小标宋_GBK"/>
          <w:b w:val="0"/>
          <w:color w:val="auto"/>
          <w:sz w:val="44"/>
          <w:lang w:eastAsia="zh-CN"/>
        </w:rPr>
        <w:t>2021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w:t>
      </w:r>
      <w:r>
        <w:rPr>
          <w:rFonts w:hint="eastAsia" w:eastAsia="方正仿宋_GBK" w:cs="Times New Roman"/>
          <w:b w:val="0"/>
          <w:color w:val="auto"/>
          <w:sz w:val="28"/>
          <w:lang w:eastAsia="zh-CN"/>
        </w:rPr>
        <w:t>中华人民共和国预算法</w:t>
      </w:r>
      <w:r>
        <w:rPr>
          <w:rFonts w:ascii="Times New Roman" w:hAnsi="Times New Roman" w:eastAsia="方正仿宋_GBK" w:cs="Times New Roman"/>
          <w:b w:val="0"/>
          <w:color w:val="auto"/>
          <w:sz w:val="28"/>
        </w:rPr>
        <w:t>》、《地方预决算公开操作规程》和《关于进一步推进预算公开工作的实施意见》规定，现将沙河市价格认证中心</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年单位预算公开如下：</w:t>
      </w:r>
    </w:p>
    <w:p>
      <w:pPr>
        <w:spacing w:before="10" w:after="10" w:line="240" w:lineRule="auto"/>
        <w:ind w:firstLine="640"/>
        <w:jc w:val="left"/>
        <w:outlineLvl w:val="5"/>
        <w:rPr>
          <w:color w:val="auto"/>
        </w:rPr>
      </w:pPr>
      <w:r>
        <w:rPr>
          <w:rFonts w:ascii="黑体" w:hAnsi="黑体" w:eastAsia="黑体" w:cs="黑体"/>
          <w:color w:val="auto"/>
          <w:sz w:val="32"/>
        </w:rPr>
        <w:t>一、单位职责及机构设置情况</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单位职责：</w:t>
      </w:r>
    </w:p>
    <w:p>
      <w:pPr>
        <w:pStyle w:val="29"/>
        <w:numPr>
          <w:ilvl w:val="0"/>
          <w:numId w:val="6"/>
        </w:numPr>
        <w:rPr>
          <w:rFonts w:hint="eastAsia"/>
          <w:color w:val="auto"/>
          <w:lang w:val="en-US" w:eastAsia="zh-CN"/>
        </w:rPr>
      </w:pPr>
      <w:r>
        <w:rPr>
          <w:rFonts w:hint="eastAsia"/>
          <w:color w:val="auto"/>
          <w:lang w:val="en-US" w:eastAsia="zh-CN"/>
        </w:rPr>
        <w:t>依法接受司法机关、行政机关、仲裁机关或者案件当事人的委托，承担涉案资产的价格鉴定、认证、评估的技术支撑工作。</w:t>
      </w:r>
    </w:p>
    <w:p>
      <w:pPr>
        <w:pStyle w:val="29"/>
        <w:numPr>
          <w:ilvl w:val="0"/>
          <w:numId w:val="6"/>
        </w:numPr>
        <w:rPr>
          <w:rFonts w:hint="default"/>
          <w:color w:val="auto"/>
          <w:lang w:val="en-US" w:eastAsia="zh-CN"/>
        </w:rPr>
      </w:pPr>
      <w:r>
        <w:rPr>
          <w:rFonts w:hint="eastAsia"/>
          <w:color w:val="auto"/>
          <w:lang w:val="en-US" w:eastAsia="zh-CN"/>
        </w:rPr>
        <w:t>依法接受当事人的委托，承担诉讼案件中涉及各类标的物价格认证的技术支撑工作，并承担价格纠纷调解工作。</w:t>
      </w:r>
    </w:p>
    <w:p>
      <w:pPr>
        <w:pStyle w:val="29"/>
        <w:numPr>
          <w:ilvl w:val="0"/>
          <w:numId w:val="6"/>
        </w:numPr>
        <w:rPr>
          <w:rFonts w:hint="default"/>
          <w:color w:val="auto"/>
          <w:lang w:val="en-US" w:eastAsia="zh-CN"/>
        </w:rPr>
      </w:pPr>
      <w:r>
        <w:rPr>
          <w:rFonts w:hint="eastAsia"/>
          <w:color w:val="auto"/>
          <w:lang w:val="en-US" w:eastAsia="zh-CN"/>
        </w:rPr>
        <w:t>承担市场主体提出的各类有形无形资产、商品和服务价格认证的技术支撑工作。</w:t>
      </w:r>
    </w:p>
    <w:p>
      <w:pPr>
        <w:pStyle w:val="29"/>
        <w:numPr>
          <w:ilvl w:val="0"/>
          <w:numId w:val="6"/>
        </w:numPr>
        <w:rPr>
          <w:rFonts w:hint="default"/>
          <w:color w:val="auto"/>
          <w:lang w:val="en-US" w:eastAsia="zh-CN"/>
        </w:rPr>
      </w:pPr>
      <w:r>
        <w:rPr>
          <w:rFonts w:hint="eastAsia"/>
          <w:color w:val="auto"/>
          <w:lang w:val="en-US" w:eastAsia="zh-CN"/>
        </w:rPr>
        <w:t>按规定开展价格争议协调处理工作。</w:t>
      </w:r>
    </w:p>
    <w:p>
      <w:pPr>
        <w:pStyle w:val="29"/>
        <w:numPr>
          <w:ilvl w:val="0"/>
          <w:numId w:val="6"/>
        </w:numPr>
        <w:rPr>
          <w:rFonts w:hint="default"/>
          <w:color w:val="auto"/>
          <w:lang w:val="en-US" w:eastAsia="zh-CN"/>
        </w:rPr>
      </w:pPr>
      <w:r>
        <w:rPr>
          <w:rFonts w:hint="eastAsia"/>
          <w:color w:val="auto"/>
          <w:lang w:val="en-US" w:eastAsia="zh-CN"/>
        </w:rPr>
        <w:t>完成发展和改革局交办的其他任务。</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4"/>
              <w:rPr>
                <w:color w:val="auto"/>
              </w:rPr>
            </w:pPr>
            <w:r>
              <w:rPr>
                <w:color w:val="auto"/>
              </w:rPr>
              <w:t>单位名称</w:t>
            </w:r>
          </w:p>
        </w:tc>
        <w:tc>
          <w:tcPr>
            <w:tcW w:w="1843" w:type="dxa"/>
            <w:vAlign w:val="center"/>
          </w:tcPr>
          <w:p>
            <w:pPr>
              <w:pStyle w:val="14"/>
              <w:rPr>
                <w:color w:val="auto"/>
              </w:rPr>
            </w:pPr>
            <w:r>
              <w:rPr>
                <w:color w:val="auto"/>
              </w:rPr>
              <w:t>单位性质</w:t>
            </w:r>
          </w:p>
        </w:tc>
        <w:tc>
          <w:tcPr>
            <w:tcW w:w="2126" w:type="dxa"/>
            <w:vAlign w:val="center"/>
          </w:tcPr>
          <w:p>
            <w:pPr>
              <w:pStyle w:val="14"/>
              <w:rPr>
                <w:color w:val="auto"/>
              </w:rPr>
            </w:pPr>
            <w:r>
              <w:rPr>
                <w:color w:val="auto"/>
              </w:rPr>
              <w:t>单位规格</w:t>
            </w:r>
          </w:p>
        </w:tc>
        <w:tc>
          <w:tcPr>
            <w:tcW w:w="3827" w:type="dxa"/>
            <w:vAlign w:val="center"/>
          </w:tcPr>
          <w:p>
            <w:pPr>
              <w:pStyle w:val="14"/>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color w:val="auto"/>
              </w:rPr>
            </w:pPr>
            <w:r>
              <w:rPr>
                <w:color w:val="auto"/>
              </w:rPr>
              <w:t>沙河市价格认证中心</w:t>
            </w:r>
          </w:p>
        </w:tc>
        <w:tc>
          <w:tcPr>
            <w:tcW w:w="1843" w:type="dxa"/>
            <w:vAlign w:val="center"/>
          </w:tcPr>
          <w:p>
            <w:pPr>
              <w:pStyle w:val="17"/>
              <w:rPr>
                <w:color w:val="auto"/>
              </w:rPr>
            </w:pPr>
            <w:r>
              <w:rPr>
                <w:color w:val="auto"/>
              </w:rPr>
              <w:t>事业</w:t>
            </w:r>
          </w:p>
        </w:tc>
        <w:tc>
          <w:tcPr>
            <w:tcW w:w="2126" w:type="dxa"/>
            <w:vAlign w:val="center"/>
          </w:tcPr>
          <w:p>
            <w:pPr>
              <w:pStyle w:val="17"/>
              <w:rPr>
                <w:color w:val="auto"/>
              </w:rPr>
            </w:pPr>
          </w:p>
        </w:tc>
        <w:tc>
          <w:tcPr>
            <w:tcW w:w="3827" w:type="dxa"/>
            <w:vAlign w:val="center"/>
          </w:tcPr>
          <w:p>
            <w:pPr>
              <w:pStyle w:val="17"/>
              <w:rPr>
                <w:color w:val="auto"/>
              </w:rPr>
            </w:pPr>
            <w:r>
              <w:rPr>
                <w:color w:val="auto"/>
              </w:rPr>
              <w:t>其他</w:t>
            </w:r>
          </w:p>
        </w:tc>
      </w:tr>
    </w:tbl>
    <w:p>
      <w:pPr>
        <w:spacing w:before="10" w:after="10" w:line="240" w:lineRule="auto"/>
        <w:ind w:firstLine="640"/>
        <w:jc w:val="left"/>
        <w:outlineLvl w:val="5"/>
        <w:rPr>
          <w:color w:val="auto"/>
        </w:rPr>
      </w:pPr>
      <w:r>
        <w:rPr>
          <w:rFonts w:ascii="黑体" w:hAnsi="黑体" w:eastAsia="黑体" w:cs="黑体"/>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w:t>
      </w:r>
      <w:r>
        <w:rPr>
          <w:rFonts w:hint="eastAsia" w:eastAsia="方正仿宋_GBK" w:cs="Times New Roman"/>
          <w:b w:val="0"/>
          <w:color w:val="auto"/>
          <w:sz w:val="28"/>
          <w:lang w:eastAsia="zh-CN"/>
        </w:rPr>
        <w:t>我</w:t>
      </w:r>
      <w:r>
        <w:rPr>
          <w:rFonts w:ascii="Times New Roman" w:hAnsi="Times New Roman" w:eastAsia="方正仿宋_GBK" w:cs="Times New Roman"/>
          <w:b w:val="0"/>
          <w:color w:val="auto"/>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1、收入说明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eastAsia="zh-CN"/>
        </w:rPr>
        <w:t>单位</w:t>
      </w:r>
      <w:r>
        <w:rPr>
          <w:rFonts w:ascii="Times New Roman" w:hAnsi="Times New Roman" w:eastAsia="方正仿宋_GBK" w:cs="Times New Roman"/>
          <w:b w:val="0"/>
          <w:color w:val="auto"/>
          <w:sz w:val="28"/>
        </w:rPr>
        <w:t>当年全部收入。</w:t>
      </w: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2、支出说明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收支预算总表支出栏、基本支出表、项目支出表按经济分类和支出功能分类科目编制，反映沙河市发展和改革局</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eastAsia="zh-CN"/>
        </w:rPr>
        <w:t>单位</w:t>
      </w:r>
      <w:r>
        <w:rPr>
          <w:rFonts w:hint="eastAsia" w:ascii="Times New Roman" w:hAnsi="Times New Roman" w:eastAsia="方正仿宋_GBK" w:cs="Times New Roman"/>
          <w:b w:val="0"/>
          <w:color w:val="auto"/>
          <w:sz w:val="28"/>
        </w:rPr>
        <w:t>预算中支出预算的总体情况。</w:t>
      </w:r>
      <w:r>
        <w:rPr>
          <w:rFonts w:hint="eastAsia" w:eastAsia="方正仿宋_GBK" w:cs="Times New Roman"/>
          <w:b w:val="0"/>
          <w:color w:val="auto"/>
          <w:sz w:val="28"/>
          <w:lang w:val="en-US" w:eastAsia="zh-CN"/>
        </w:rPr>
        <w:t>2021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万元，其中基本支出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r>
        <w:rPr>
          <w:rFonts w:hint="eastAsia" w:eastAsia="方正仿宋_GBK" w:cs="Times New Roman"/>
          <w:b w:val="0"/>
          <w:color w:val="auto"/>
          <w:sz w:val="28"/>
          <w:lang w:eastAsia="zh-CN"/>
        </w:rPr>
        <w:t>，</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3</w:t>
      </w:r>
      <w:r>
        <w:rPr>
          <w:rFonts w:hint="eastAsia" w:ascii="Times New Roman" w:hAnsi="Times New Roman" w:eastAsia="方正仿宋_GBK" w:cs="Times New Roman"/>
          <w:b w:val="0"/>
          <w:color w:val="auto"/>
          <w:sz w:val="28"/>
        </w:rPr>
        <w:t>、比上年增减情况</w:t>
      </w:r>
    </w:p>
    <w:p>
      <w:pPr>
        <w:spacing w:before="0" w:after="0" w:line="500" w:lineRule="exact"/>
        <w:ind w:firstLine="560"/>
        <w:jc w:val="left"/>
        <w:outlineLvl w:val="9"/>
        <w:rPr>
          <w:rFonts w:hint="eastAsia" w:ascii="??_GB2312" w:hAnsi="??_GB2312" w:eastAsia="方正仿宋_GBK" w:cs="??_GB2312"/>
          <w:color w:val="auto"/>
          <w:sz w:val="32"/>
          <w:szCs w:val="32"/>
          <w:lang w:val="en-US" w:eastAsia="zh-CN"/>
        </w:rPr>
      </w:pPr>
      <w:r>
        <w:rPr>
          <w:rFonts w:hint="eastAsia" w:eastAsia="方正仿宋_GBK" w:cs="Times New Roman"/>
          <w:b w:val="0"/>
          <w:color w:val="auto"/>
          <w:sz w:val="28"/>
          <w:lang w:eastAsia="zh-CN"/>
        </w:rPr>
        <w:t>2021</w:t>
      </w:r>
      <w:r>
        <w:rPr>
          <w:rFonts w:hint="eastAsia" w:ascii="Times New Roman" w:hAnsi="Times New Roman" w:eastAsia="方正仿宋_GBK" w:cs="Times New Roman"/>
          <w:b w:val="0"/>
          <w:color w:val="auto"/>
          <w:sz w:val="28"/>
        </w:rPr>
        <w:t>年预算收支</w:t>
      </w:r>
      <w:r>
        <w:rPr>
          <w:rFonts w:hint="eastAsia" w:eastAsia="方正仿宋_GBK" w:cs="Times New Roman"/>
          <w:b w:val="0"/>
          <w:color w:val="auto"/>
          <w:sz w:val="28"/>
          <w:lang w:eastAsia="zh-CN"/>
        </w:rPr>
        <w:t>与上年持平。</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pStyle w:val="31"/>
        <w:rPr>
          <w:color w:val="auto"/>
        </w:rPr>
      </w:pPr>
      <w:r>
        <w:rPr>
          <w:rFonts w:hint="eastAsia" w:ascii="宋体" w:hAnsi="宋体" w:cs="宋体"/>
          <w:color w:val="auto"/>
          <w:sz w:val="32"/>
          <w:szCs w:val="32"/>
        </w:rPr>
        <w:t>机关运行经费安排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val="en-US" w:eastAsia="zh-CN"/>
        </w:rPr>
        <w:t>与去年持平。</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32"/>
        <w:rPr>
          <w:rFonts w:hint="eastAsia" w:eastAsia="方正仿宋_GBK"/>
          <w:color w:val="auto"/>
          <w:lang w:eastAsia="zh-CN"/>
        </w:rPr>
      </w:pPr>
      <w:r>
        <w:rPr>
          <w:rFonts w:hint="eastAsia" w:ascii="??_GB2312" w:hAnsi="??_GB2312" w:cs="??_GB2312"/>
          <w:color w:val="auto"/>
          <w:sz w:val="32"/>
          <w:szCs w:val="32"/>
          <w:lang w:eastAsia="zh-CN"/>
        </w:rPr>
        <w:t>2021</w:t>
      </w:r>
      <w:r>
        <w:rPr>
          <w:rFonts w:hint="eastAsia" w:ascii="宋体" w:hAnsi="宋体" w:cs="宋体"/>
          <w:color w:val="auto"/>
          <w:sz w:val="32"/>
          <w:szCs w:val="32"/>
        </w:rPr>
        <w:t>年，我</w:t>
      </w:r>
      <w:r>
        <w:rPr>
          <w:rFonts w:hint="eastAsia" w:ascii="宋体" w:hAnsi="宋体" w:cs="宋体"/>
          <w:color w:val="auto"/>
          <w:sz w:val="32"/>
          <w:szCs w:val="32"/>
          <w:lang w:eastAsia="zh-CN"/>
        </w:rPr>
        <w:t>单位“</w:t>
      </w:r>
      <w:r>
        <w:rPr>
          <w:rFonts w:hint="eastAsia" w:ascii="宋体" w:hAnsi="宋体" w:cs="宋体"/>
          <w:color w:val="auto"/>
          <w:sz w:val="32"/>
          <w:szCs w:val="32"/>
        </w:rPr>
        <w:t>三公</w:t>
      </w:r>
      <w:r>
        <w:rPr>
          <w:rFonts w:hint="eastAsia" w:ascii="宋体" w:hAnsi="宋体" w:cs="宋体"/>
          <w:color w:val="auto"/>
          <w:sz w:val="32"/>
          <w:szCs w:val="32"/>
          <w:lang w:eastAsia="zh-CN"/>
        </w:rPr>
        <w:t>”</w:t>
      </w:r>
      <w:r>
        <w:rPr>
          <w:rFonts w:hint="eastAsia" w:ascii="宋体" w:hAnsi="宋体" w:cs="宋体"/>
          <w:color w:val="auto"/>
          <w:sz w:val="32"/>
          <w:szCs w:val="32"/>
        </w:rPr>
        <w:t>经费预算安排</w:t>
      </w:r>
      <w:r>
        <w:rPr>
          <w:rFonts w:hint="eastAsia" w:ascii="宋体" w:hAnsi="宋体" w:cs="宋体"/>
          <w:color w:val="auto"/>
          <w:sz w:val="32"/>
          <w:szCs w:val="32"/>
          <w:lang w:val="en-US" w:eastAsia="zh-CN"/>
        </w:rPr>
        <w:t>0</w:t>
      </w:r>
      <w:r>
        <w:rPr>
          <w:rFonts w:hint="eastAsia" w:ascii="宋体" w:hAnsi="宋体" w:cs="宋体"/>
          <w:color w:val="auto"/>
          <w:sz w:val="32"/>
          <w:szCs w:val="32"/>
        </w:rPr>
        <w:t>万元，其中因公出国（境）费</w:t>
      </w:r>
      <w:r>
        <w:rPr>
          <w:rFonts w:ascii="??_GB2312" w:hAnsi="??_GB2312" w:cs="??_GB2312"/>
          <w:color w:val="auto"/>
          <w:sz w:val="32"/>
          <w:szCs w:val="32"/>
        </w:rPr>
        <w:t>0</w:t>
      </w:r>
      <w:r>
        <w:rPr>
          <w:rFonts w:hint="eastAsia" w:ascii="宋体" w:hAnsi="宋体" w:cs="宋体"/>
          <w:color w:val="auto"/>
          <w:sz w:val="32"/>
          <w:szCs w:val="32"/>
        </w:rPr>
        <w:t>元；公务用车购置及运维费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万元（公务用车购置费</w:t>
      </w:r>
      <w:r>
        <w:rPr>
          <w:rFonts w:ascii="??_GB2312" w:hAnsi="??_GB2312" w:cs="??_GB2312"/>
          <w:color w:val="auto"/>
          <w:sz w:val="32"/>
          <w:szCs w:val="32"/>
        </w:rPr>
        <w:t>0</w:t>
      </w:r>
      <w:r>
        <w:rPr>
          <w:rFonts w:hint="eastAsia" w:ascii="宋体" w:hAnsi="宋体" w:cs="宋体"/>
          <w:color w:val="auto"/>
          <w:sz w:val="32"/>
          <w:szCs w:val="32"/>
        </w:rPr>
        <w:t>元，公务用车运维费</w:t>
      </w:r>
      <w:r>
        <w:rPr>
          <w:rFonts w:hint="eastAsia" w:ascii="宋体" w:hAnsi="宋体" w:cs="宋体"/>
          <w:color w:val="auto"/>
          <w:sz w:val="32"/>
          <w:szCs w:val="32"/>
          <w:lang w:val="en-US" w:eastAsia="zh-CN"/>
        </w:rPr>
        <w:t>0</w:t>
      </w:r>
      <w:r>
        <w:rPr>
          <w:rFonts w:hint="eastAsia" w:ascii="宋体" w:hAnsi="宋体" w:cs="宋体"/>
          <w:color w:val="auto"/>
          <w:sz w:val="32"/>
          <w:szCs w:val="32"/>
        </w:rPr>
        <w:t>万元）；公务接待费</w:t>
      </w:r>
      <w:r>
        <w:rPr>
          <w:rFonts w:hint="eastAsia" w:ascii="宋体" w:hAnsi="宋体" w:cs="宋体"/>
          <w:color w:val="auto"/>
          <w:sz w:val="32"/>
          <w:szCs w:val="32"/>
          <w:lang w:val="en-US" w:eastAsia="zh-CN"/>
        </w:rPr>
        <w:t>0</w:t>
      </w:r>
      <w:r>
        <w:rPr>
          <w:rFonts w:hint="eastAsia" w:ascii="宋体" w:hAnsi="宋体" w:cs="宋体"/>
          <w:color w:val="auto"/>
          <w:sz w:val="32"/>
          <w:szCs w:val="32"/>
        </w:rPr>
        <w:t>万元</w:t>
      </w:r>
      <w:r>
        <w:rPr>
          <w:rFonts w:hint="eastAsia" w:ascii="宋体" w:hAnsi="宋体" w:cs="宋体"/>
          <w:color w:val="auto"/>
          <w:sz w:val="32"/>
          <w:szCs w:val="32"/>
          <w:lang w:eastAsia="zh-CN"/>
        </w:rPr>
        <w:t>，与上年持平。</w:t>
      </w:r>
    </w:p>
    <w:p>
      <w:pPr>
        <w:numPr>
          <w:ilvl w:val="0"/>
          <w:numId w:val="5"/>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预算绩效信息</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绩效目标：对公安、法院等司法机关和行政机关涉案、涉纪、涉税资产进行价格认证，并对相关资产进行调查、勘验、评估。</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绩效指标：</w:t>
      </w:r>
    </w:p>
    <w:p>
      <w:pPr>
        <w:spacing w:line="610" w:lineRule="exact"/>
        <w:ind w:firstLine="640" w:firstLineChars="20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1）.产出指标：①数量指标：本年度开展涉案、涉纪、涉税资产价格认证案件不少于400件。②质量指标：严格按照相关文件的规定要求开展各项认证工作，务必坚持依法、公正、科学、效率原则。③时效指标：严格按照国家有关价格认证工作时效要求，每起案件的办理时间严控在7日以内完成。④成本指标：严格把控价格认证工作经费预算，不超过10万元。</w:t>
      </w:r>
    </w:p>
    <w:p>
      <w:pPr>
        <w:spacing w:line="610" w:lineRule="exact"/>
        <w:ind w:firstLine="640"/>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2）.效果指标：①社会效益指标：我局通过价格认证工作的开展，达到维护社会稳定的效果，办案及时和准确率不低于95%。</w:t>
      </w:r>
    </w:p>
    <w:p>
      <w:pPr>
        <w:pStyle w:val="2"/>
        <w:numPr>
          <w:ilvl w:val="0"/>
          <w:numId w:val="0"/>
        </w:numPr>
        <w:spacing w:after="120" w:afterLines="0"/>
        <w:rPr>
          <w:color w:val="auto"/>
        </w:rPr>
      </w:pPr>
      <w:r>
        <w:rPr>
          <w:rFonts w:hint="eastAsia" w:ascii="宋体" w:hAnsi="宋体" w:cs="宋体"/>
          <w:color w:val="auto"/>
          <w:sz w:val="32"/>
          <w:szCs w:val="32"/>
          <w:lang w:val="en-US" w:eastAsia="zh-CN"/>
        </w:rPr>
        <w:t>3）.满意度指标：①服务对象满意度指标：司法机关和行政机关对我局价格认证工作的满意度不低于95%。</w:t>
      </w: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hint="eastAsia" w:eastAsia="方正仿宋_GBK" w:cs="Times New Roman"/>
          <w:b w:val="0"/>
          <w:color w:val="auto"/>
          <w:sz w:val="28"/>
          <w:lang w:eastAsia="zh-CN"/>
        </w:rPr>
        <w:t>2021</w:t>
      </w:r>
      <w:r>
        <w:rPr>
          <w:rFonts w:ascii="Times New Roman" w:hAnsi="Times New Roman" w:eastAsia="方正仿宋_GBK" w:cs="Times New Roman"/>
          <w:b w:val="0"/>
          <w:color w:val="auto"/>
          <w:sz w:val="28"/>
        </w:rPr>
        <w:t>年，沙河市价格认证中心安排政府采购预算0.00万元。具体内容见下表。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8674" w:type="dxa"/>
            <w:gridSpan w:val="9"/>
            <w:tcBorders>
              <w:top w:val="single" w:color="FFFFFF" w:sz="6" w:space="0"/>
              <w:left w:val="single" w:color="FFFFFF" w:sz="6" w:space="0"/>
              <w:right w:val="single" w:color="FFFFFF" w:sz="6" w:space="0"/>
            </w:tcBorders>
            <w:vAlign w:val="center"/>
          </w:tcPr>
          <w:p>
            <w:pPr>
              <w:pStyle w:val="28"/>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color w:val="auto"/>
              </w:rPr>
            </w:pPr>
            <w:r>
              <w:rPr>
                <w:color w:val="auto"/>
              </w:rPr>
              <w:t>政府采购项目来源</w:t>
            </w:r>
          </w:p>
        </w:tc>
        <w:tc>
          <w:tcPr>
            <w:tcW w:w="1134" w:type="dxa"/>
            <w:vMerge w:val="restart"/>
            <w:vAlign w:val="center"/>
          </w:tcPr>
          <w:p>
            <w:pPr>
              <w:pStyle w:val="14"/>
              <w:rPr>
                <w:color w:val="auto"/>
              </w:rPr>
            </w:pPr>
            <w:r>
              <w:rPr>
                <w:color w:val="auto"/>
              </w:rPr>
              <w:t>采购物品名称</w:t>
            </w:r>
          </w:p>
        </w:tc>
        <w:tc>
          <w:tcPr>
            <w:tcW w:w="1134" w:type="dxa"/>
            <w:vMerge w:val="restart"/>
            <w:vAlign w:val="center"/>
          </w:tcPr>
          <w:p>
            <w:pPr>
              <w:pStyle w:val="14"/>
              <w:rPr>
                <w:color w:val="auto"/>
              </w:rPr>
            </w:pPr>
            <w:r>
              <w:rPr>
                <w:color w:val="auto"/>
              </w:rPr>
              <w:t>政府采购目录序号</w:t>
            </w:r>
          </w:p>
        </w:tc>
        <w:tc>
          <w:tcPr>
            <w:tcW w:w="709" w:type="dxa"/>
            <w:vMerge w:val="restart"/>
            <w:vAlign w:val="center"/>
          </w:tcPr>
          <w:p>
            <w:pPr>
              <w:pStyle w:val="14"/>
              <w:rPr>
                <w:color w:val="auto"/>
              </w:rPr>
            </w:pPr>
            <w:r>
              <w:rPr>
                <w:color w:val="auto"/>
              </w:rPr>
              <w:t>计量  单位</w:t>
            </w:r>
          </w:p>
        </w:tc>
        <w:tc>
          <w:tcPr>
            <w:tcW w:w="850" w:type="dxa"/>
            <w:vMerge w:val="restart"/>
            <w:vAlign w:val="center"/>
          </w:tcPr>
          <w:p>
            <w:pPr>
              <w:pStyle w:val="14"/>
              <w:rPr>
                <w:color w:val="auto"/>
              </w:rPr>
            </w:pPr>
            <w:r>
              <w:rPr>
                <w:color w:val="auto"/>
              </w:rPr>
              <w:t>数量</w:t>
            </w:r>
          </w:p>
        </w:tc>
        <w:tc>
          <w:tcPr>
            <w:tcW w:w="850" w:type="dxa"/>
            <w:vMerge w:val="restart"/>
            <w:vAlign w:val="center"/>
          </w:tcPr>
          <w:p>
            <w:pPr>
              <w:pStyle w:val="14"/>
              <w:rPr>
                <w:color w:val="auto"/>
              </w:rPr>
            </w:pPr>
            <w:r>
              <w:rPr>
                <w:color w:val="auto"/>
              </w:rPr>
              <w:t>单价</w:t>
            </w:r>
          </w:p>
        </w:tc>
        <w:tc>
          <w:tcPr>
            <w:tcW w:w="7710" w:type="dxa"/>
            <w:gridSpan w:val="8"/>
            <w:vAlign w:val="center"/>
          </w:tcPr>
          <w:p>
            <w:pPr>
              <w:pStyle w:val="14"/>
              <w:rPr>
                <w:color w:val="auto"/>
              </w:rPr>
            </w:pPr>
            <w:r>
              <w:rPr>
                <w:color w:val="auto"/>
              </w:rPr>
              <w:t>政府采购金额（当年部门预算安排资金）</w:t>
            </w:r>
          </w:p>
        </w:tc>
        <w:tc>
          <w:tcPr>
            <w:tcW w:w="964" w:type="dxa"/>
            <w:vMerge w:val="restart"/>
            <w:vAlign w:val="center"/>
          </w:tcPr>
          <w:p>
            <w:pPr>
              <w:pStyle w:val="14"/>
              <w:rPr>
                <w:color w:val="auto"/>
              </w:rPr>
            </w:pPr>
            <w:r>
              <w:rPr>
                <w:rFonts w:hint="eastAsia"/>
                <w:color w:val="auto"/>
                <w:lang w:eastAsia="zh-CN"/>
              </w:rPr>
              <w:t>2021</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color w:val="auto"/>
              </w:rPr>
            </w:pPr>
            <w:r>
              <w:rPr>
                <w:color w:val="auto"/>
              </w:rPr>
              <w:t>项目名称</w:t>
            </w:r>
          </w:p>
        </w:tc>
        <w:tc>
          <w:tcPr>
            <w:tcW w:w="964" w:type="dxa"/>
            <w:vAlign w:val="center"/>
          </w:tcPr>
          <w:p>
            <w:pPr>
              <w:pStyle w:val="14"/>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4"/>
              <w:rPr>
                <w:color w:val="auto"/>
              </w:rPr>
            </w:pPr>
            <w:r>
              <w:rPr>
                <w:color w:val="auto"/>
              </w:rPr>
              <w:t>合计</w:t>
            </w:r>
          </w:p>
        </w:tc>
        <w:tc>
          <w:tcPr>
            <w:tcW w:w="964" w:type="dxa"/>
            <w:vAlign w:val="center"/>
          </w:tcPr>
          <w:p>
            <w:pPr>
              <w:pStyle w:val="14"/>
              <w:rPr>
                <w:color w:val="auto"/>
              </w:rPr>
            </w:pPr>
            <w:r>
              <w:rPr>
                <w:color w:val="auto"/>
              </w:rPr>
              <w:t>一般公共预算拨款</w:t>
            </w:r>
          </w:p>
        </w:tc>
        <w:tc>
          <w:tcPr>
            <w:tcW w:w="964" w:type="dxa"/>
            <w:vAlign w:val="center"/>
          </w:tcPr>
          <w:p>
            <w:pPr>
              <w:pStyle w:val="14"/>
              <w:rPr>
                <w:color w:val="auto"/>
              </w:rPr>
            </w:pPr>
            <w:r>
              <w:rPr>
                <w:color w:val="auto"/>
              </w:rPr>
              <w:t>基金预算拨款</w:t>
            </w:r>
          </w:p>
        </w:tc>
        <w:tc>
          <w:tcPr>
            <w:tcW w:w="964" w:type="dxa"/>
            <w:vAlign w:val="center"/>
          </w:tcPr>
          <w:p>
            <w:pPr>
              <w:pStyle w:val="14"/>
              <w:rPr>
                <w:color w:val="auto"/>
              </w:rPr>
            </w:pPr>
            <w:r>
              <w:rPr>
                <w:color w:val="auto"/>
              </w:rPr>
              <w:t>国有资本经营预算拨款</w:t>
            </w:r>
          </w:p>
        </w:tc>
        <w:tc>
          <w:tcPr>
            <w:tcW w:w="964" w:type="dxa"/>
            <w:vAlign w:val="center"/>
          </w:tcPr>
          <w:p>
            <w:pPr>
              <w:pStyle w:val="14"/>
              <w:rPr>
                <w:color w:val="auto"/>
              </w:rPr>
            </w:pPr>
            <w:r>
              <w:rPr>
                <w:color w:val="auto"/>
              </w:rPr>
              <w:t>财政专户核拨</w:t>
            </w:r>
          </w:p>
        </w:tc>
        <w:tc>
          <w:tcPr>
            <w:tcW w:w="964" w:type="dxa"/>
            <w:vAlign w:val="center"/>
          </w:tcPr>
          <w:p>
            <w:pPr>
              <w:pStyle w:val="14"/>
              <w:rPr>
                <w:color w:val="auto"/>
              </w:rPr>
            </w:pPr>
            <w:r>
              <w:rPr>
                <w:color w:val="auto"/>
              </w:rPr>
              <w:t>单位    资金</w:t>
            </w:r>
          </w:p>
        </w:tc>
        <w:tc>
          <w:tcPr>
            <w:tcW w:w="964" w:type="dxa"/>
            <w:vAlign w:val="center"/>
          </w:tcPr>
          <w:p>
            <w:pPr>
              <w:pStyle w:val="14"/>
              <w:rPr>
                <w:color w:val="auto"/>
              </w:rPr>
            </w:pPr>
            <w:r>
              <w:rPr>
                <w:color w:val="auto"/>
              </w:rPr>
              <w:t>财政拨    款结转</w:t>
            </w:r>
          </w:p>
        </w:tc>
        <w:tc>
          <w:tcPr>
            <w:tcW w:w="964" w:type="dxa"/>
            <w:vAlign w:val="center"/>
          </w:tcPr>
          <w:p>
            <w:pPr>
              <w:pStyle w:val="14"/>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7"/>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沙河市价格认证中心上年末固定资产金额为0.00万元（详见下表）。本年度拟购置固定资产总额为0.00万元，已按要求列入政府采购预算，详见政府采购预算表。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116003沙河市价格认证中心</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color w:val="auto"/>
              </w:rPr>
            </w:pPr>
          </w:p>
        </w:tc>
        <w:tc>
          <w:tcPr>
            <w:tcW w:w="2835" w:type="dxa"/>
            <w:vAlign w:val="center"/>
          </w:tcPr>
          <w:p>
            <w:pPr>
              <w:pStyle w:val="17"/>
              <w:rPr>
                <w:color w:val="auto"/>
              </w:rPr>
            </w:pPr>
          </w:p>
        </w:tc>
        <w:tc>
          <w:tcPr>
            <w:tcW w:w="2835" w:type="dxa"/>
            <w:vAlign w:val="center"/>
          </w:tcPr>
          <w:p>
            <w:pPr>
              <w:pStyle w:val="15"/>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八、名词解释</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eastAsia="zh-CN"/>
        </w:rPr>
        <w:t>县级</w:t>
      </w:r>
      <w:r>
        <w:rPr>
          <w:rFonts w:ascii="Times New Roman" w:hAnsi="Times New Roman" w:eastAsia="方正仿宋_GBK" w:cs="Times New Roman"/>
          <w:b w:val="0"/>
          <w:color w:val="auto"/>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5"/>
        <w:rPr>
          <w:color w:val="auto"/>
        </w:rPr>
      </w:pPr>
      <w:r>
        <w:rPr>
          <w:rFonts w:ascii="黑体" w:hAnsi="黑体" w:eastAsia="黑体" w:cs="黑体"/>
          <w:color w:val="auto"/>
          <w:sz w:val="32"/>
        </w:rPr>
        <w:t>九、其他需要说明的事项</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我单位无其他需要说明的事项。</w:t>
      </w:r>
    </w:p>
    <w:p>
      <w:pPr>
        <w:pStyle w:val="2"/>
        <w:rPr>
          <w:color w:val="auto"/>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7482"/>
    <w:multiLevelType w:val="singleLevel"/>
    <w:tmpl w:val="81497482"/>
    <w:lvl w:ilvl="0" w:tentative="0">
      <w:start w:val="1"/>
      <w:numFmt w:val="chineseCounting"/>
      <w:suff w:val="nothing"/>
      <w:lvlText w:val="（%1）"/>
      <w:lvlJc w:val="left"/>
      <w:rPr>
        <w:rFonts w:hint="eastAsia"/>
      </w:rPr>
    </w:lvl>
  </w:abstractNum>
  <w:abstractNum w:abstractNumId="1">
    <w:nsid w:val="9025175B"/>
    <w:multiLevelType w:val="singleLevel"/>
    <w:tmpl w:val="9025175B"/>
    <w:lvl w:ilvl="0" w:tentative="0">
      <w:start w:val="5"/>
      <w:numFmt w:val="chineseCounting"/>
      <w:suff w:val="nothing"/>
      <w:lvlText w:val="%1、"/>
      <w:lvlJc w:val="left"/>
      <w:rPr>
        <w:rFonts w:hint="eastAsia"/>
      </w:rPr>
    </w:lvl>
  </w:abstractNum>
  <w:abstractNum w:abstractNumId="2">
    <w:nsid w:val="AE34D8D9"/>
    <w:multiLevelType w:val="singleLevel"/>
    <w:tmpl w:val="AE34D8D9"/>
    <w:lvl w:ilvl="0" w:tentative="0">
      <w:start w:val="1"/>
      <w:numFmt w:val="decimal"/>
      <w:suff w:val="nothing"/>
      <w:lvlText w:val="%1、"/>
      <w:lvlJc w:val="left"/>
      <w:pPr>
        <w:ind w:left="400"/>
      </w:pPr>
    </w:lvl>
  </w:abstractNum>
  <w:abstractNum w:abstractNumId="3">
    <w:nsid w:val="FE094793"/>
    <w:multiLevelType w:val="singleLevel"/>
    <w:tmpl w:val="FE094793"/>
    <w:lvl w:ilvl="0" w:tentative="0">
      <w:start w:val="6"/>
      <w:numFmt w:val="decimal"/>
      <w:suff w:val="nothing"/>
      <w:lvlText w:val="%1、"/>
      <w:lvlJc w:val="left"/>
    </w:lvl>
  </w:abstractNum>
  <w:abstractNum w:abstractNumId="4">
    <w:nsid w:val="2E6E1018"/>
    <w:multiLevelType w:val="singleLevel"/>
    <w:tmpl w:val="2E6E1018"/>
    <w:lvl w:ilvl="0" w:tentative="0">
      <w:start w:val="2"/>
      <w:numFmt w:val="chineseCounting"/>
      <w:suff w:val="space"/>
      <w:lvlText w:val="第%1部分"/>
      <w:lvlJc w:val="left"/>
      <w:rPr>
        <w:rFonts w:hint="eastAsia"/>
      </w:rPr>
    </w:lvl>
  </w:abstractNum>
  <w:abstractNum w:abstractNumId="5">
    <w:nsid w:val="626B48FF"/>
    <w:multiLevelType w:val="singleLevel"/>
    <w:tmpl w:val="626B48FF"/>
    <w:lvl w:ilvl="0" w:tentative="0">
      <w:start w:val="3"/>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jkzNTljNDllMDhjZGJmNjRmMDkyMmYwZTBmYjkifQ=="/>
  </w:docVars>
  <w:rsids>
    <w:rsidRoot w:val="00000000"/>
    <w:rsid w:val="0385489C"/>
    <w:rsid w:val="03B60854"/>
    <w:rsid w:val="09A815E8"/>
    <w:rsid w:val="0A6F0FE1"/>
    <w:rsid w:val="0CD25FD5"/>
    <w:rsid w:val="0CFC317C"/>
    <w:rsid w:val="0D6E4594"/>
    <w:rsid w:val="0F781A67"/>
    <w:rsid w:val="1041473B"/>
    <w:rsid w:val="1148393D"/>
    <w:rsid w:val="13D028F2"/>
    <w:rsid w:val="16732CAA"/>
    <w:rsid w:val="17103B1F"/>
    <w:rsid w:val="1FD77373"/>
    <w:rsid w:val="220316B6"/>
    <w:rsid w:val="22130FC0"/>
    <w:rsid w:val="23F7480E"/>
    <w:rsid w:val="243135A4"/>
    <w:rsid w:val="2B7E6C01"/>
    <w:rsid w:val="2C0F0554"/>
    <w:rsid w:val="2DED081A"/>
    <w:rsid w:val="2E051CB2"/>
    <w:rsid w:val="32D617DF"/>
    <w:rsid w:val="33C87310"/>
    <w:rsid w:val="35997B4C"/>
    <w:rsid w:val="36405F7D"/>
    <w:rsid w:val="37384EA6"/>
    <w:rsid w:val="38A84765"/>
    <w:rsid w:val="3AE61DB0"/>
    <w:rsid w:val="3CAB67AF"/>
    <w:rsid w:val="3E2D4491"/>
    <w:rsid w:val="3FCC2B06"/>
    <w:rsid w:val="40A0381D"/>
    <w:rsid w:val="44151353"/>
    <w:rsid w:val="441B7EB2"/>
    <w:rsid w:val="458D404E"/>
    <w:rsid w:val="463C48C6"/>
    <w:rsid w:val="46E74AC3"/>
    <w:rsid w:val="4AC06AED"/>
    <w:rsid w:val="51E81D8F"/>
    <w:rsid w:val="52DA004E"/>
    <w:rsid w:val="52E00FF3"/>
    <w:rsid w:val="53C2482E"/>
    <w:rsid w:val="54D11BFC"/>
    <w:rsid w:val="55BD5956"/>
    <w:rsid w:val="57187829"/>
    <w:rsid w:val="58C3686E"/>
    <w:rsid w:val="5AF63B00"/>
    <w:rsid w:val="5C4F3DCB"/>
    <w:rsid w:val="5D13683A"/>
    <w:rsid w:val="5EA52572"/>
    <w:rsid w:val="604E6200"/>
    <w:rsid w:val="60DE1D7A"/>
    <w:rsid w:val="619332C0"/>
    <w:rsid w:val="62B7128C"/>
    <w:rsid w:val="630A7957"/>
    <w:rsid w:val="63AC03F1"/>
    <w:rsid w:val="659B4D2E"/>
    <w:rsid w:val="679A2E90"/>
    <w:rsid w:val="68A32F43"/>
    <w:rsid w:val="6ADD60A8"/>
    <w:rsid w:val="6B3533D9"/>
    <w:rsid w:val="6E942E92"/>
    <w:rsid w:val="6EDB6D25"/>
    <w:rsid w:val="74FD0F42"/>
    <w:rsid w:val="75880E08"/>
    <w:rsid w:val="78501415"/>
    <w:rsid w:val="78F327AA"/>
    <w:rsid w:val="7B8A561D"/>
    <w:rsid w:val="7DAF0C8C"/>
    <w:rsid w:val="7F0F46CA"/>
    <w:rsid w:val="7FB8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ind w:left="420" w:leftChars="20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2022-07-27T10:36:43Z</dcterms:created>
  <dcterms:modified xsi:type="dcterms:W3CDTF">2022-07-27T02:36:43Z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2022-07-27T10:36:42Z</dcterms:created>
  <dcterms:modified xsi:type="dcterms:W3CDTF">2022-07-27T02:36:42Z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2022-07-27T10:36:42Z</dcterms:created>
  <dcterms:modified xsi:type="dcterms:W3CDTF">2022-07-27T02:36:42Z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2022-07-27T10:36:41Z</dcterms:created>
  <dcterms:modified xsi:type="dcterms:W3CDTF">2022-07-27T02:36:41Z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2022-07-27T10:36:38Z</dcterms:created>
  <dcterms:modified xsi:type="dcterms:W3CDTF">2022-07-27T02:36:38Z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2022-07-27T10:36:39Z</dcterms:created>
  <dcterms:modified xsi:type="dcterms:W3CDTF">2022-07-27T02:36:39Z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2022-07-27T10:36:43Z</dcterms:created>
  <dcterms:modified xsi:type="dcterms:W3CDTF">2022-07-27T02:36:43Z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0e6dd1-320a-4ad6-9dde-505b9ae15e03}">
  <ds:schemaRefs/>
</ds:datastoreItem>
</file>

<file path=customXml/itemProps10.xml><?xml version="1.0" encoding="utf-8"?>
<ds:datastoreItem xmlns:ds="http://schemas.openxmlformats.org/officeDocument/2006/customXml" ds:itemID="{e69f3eb3-bb6b-4790-9ba6-ab48322871bd}">
  <ds:schemaRefs/>
</ds:datastoreItem>
</file>

<file path=customXml/itemProps11.xml><?xml version="1.0" encoding="utf-8"?>
<ds:datastoreItem xmlns:ds="http://schemas.openxmlformats.org/officeDocument/2006/customXml" ds:itemID="{4d92d902-25eb-438e-bbd3-3024e5fbe31c}">
  <ds:schemaRefs/>
</ds:datastoreItem>
</file>

<file path=customXml/itemProps12.xml><?xml version="1.0" encoding="utf-8"?>
<ds:datastoreItem xmlns:ds="http://schemas.openxmlformats.org/officeDocument/2006/customXml" ds:itemID="{6c8f61b1-1641-4aff-9e50-990420203ae0}">
  <ds:schemaRefs/>
</ds:datastoreItem>
</file>

<file path=customXml/itemProps13.xml><?xml version="1.0" encoding="utf-8"?>
<ds:datastoreItem xmlns:ds="http://schemas.openxmlformats.org/officeDocument/2006/customXml" ds:itemID="{13d8c60e-4c76-45b1-b993-633d68936674}">
  <ds:schemaRefs/>
</ds:datastoreItem>
</file>

<file path=customXml/itemProps14.xml><?xml version="1.0" encoding="utf-8"?>
<ds:datastoreItem xmlns:ds="http://schemas.openxmlformats.org/officeDocument/2006/customXml" ds:itemID="{f8e2e207-fe74-470c-b1ca-16825577a8c3}">
  <ds:schemaRefs/>
</ds:datastoreItem>
</file>

<file path=customXml/itemProps15.xml><?xml version="1.0" encoding="utf-8"?>
<ds:datastoreItem xmlns:ds="http://schemas.openxmlformats.org/officeDocument/2006/customXml" ds:itemID="{d537c2fc-6fdc-43be-ab82-faa220da998c}">
  <ds:schemaRefs/>
</ds:datastoreItem>
</file>

<file path=customXml/itemProps16.xml><?xml version="1.0" encoding="utf-8"?>
<ds:datastoreItem xmlns:ds="http://schemas.openxmlformats.org/officeDocument/2006/customXml" ds:itemID="{cbab5665-b4eb-46aa-ad45-c96e70a4af2d}">
  <ds:schemaRefs/>
</ds:datastoreItem>
</file>

<file path=customXml/itemProps17.xml><?xml version="1.0" encoding="utf-8"?>
<ds:datastoreItem xmlns:ds="http://schemas.openxmlformats.org/officeDocument/2006/customXml" ds:itemID="{08127e21-b5a8-4d28-8a83-5a2202da23b1}">
  <ds:schemaRefs/>
</ds:datastoreItem>
</file>

<file path=customXml/itemProps18.xml><?xml version="1.0" encoding="utf-8"?>
<ds:datastoreItem xmlns:ds="http://schemas.openxmlformats.org/officeDocument/2006/customXml" ds:itemID="{a0ca43c6-caaa-4dec-85e1-c9950b44218c}">
  <ds:schemaRefs/>
</ds:datastoreItem>
</file>

<file path=customXml/itemProps19.xml><?xml version="1.0" encoding="utf-8"?>
<ds:datastoreItem xmlns:ds="http://schemas.openxmlformats.org/officeDocument/2006/customXml" ds:itemID="{de454c2a-f6f6-4050-8eae-8569b12d0d36}">
  <ds:schemaRefs/>
</ds:datastoreItem>
</file>

<file path=customXml/itemProps2.xml><?xml version="1.0" encoding="utf-8"?>
<ds:datastoreItem xmlns:ds="http://schemas.openxmlformats.org/officeDocument/2006/customXml" ds:itemID="{af31ffb1-ca67-446d-a3ea-10200390720c}">
  <ds:schemaRefs/>
</ds:datastoreItem>
</file>

<file path=customXml/itemProps20.xml><?xml version="1.0" encoding="utf-8"?>
<ds:datastoreItem xmlns:ds="http://schemas.openxmlformats.org/officeDocument/2006/customXml" ds:itemID="{4f9c40a3-a215-46d7-ae96-f0c392ba12f0}">
  <ds:schemaRefs/>
</ds:datastoreItem>
</file>

<file path=customXml/itemProps21.xml><?xml version="1.0" encoding="utf-8"?>
<ds:datastoreItem xmlns:ds="http://schemas.openxmlformats.org/officeDocument/2006/customXml" ds:itemID="{1032910f-f7da-475e-ab69-7771cff96f3c}">
  <ds:schemaRefs/>
</ds:datastoreItem>
</file>

<file path=customXml/itemProps22.xml><?xml version="1.0" encoding="utf-8"?>
<ds:datastoreItem xmlns:ds="http://schemas.openxmlformats.org/officeDocument/2006/customXml" ds:itemID="{c4ab7208-2eaf-4410-8f21-03635519066d}">
  <ds:schemaRefs/>
</ds:datastoreItem>
</file>

<file path=customXml/itemProps23.xml><?xml version="1.0" encoding="utf-8"?>
<ds:datastoreItem xmlns:ds="http://schemas.openxmlformats.org/officeDocument/2006/customXml" ds:itemID="{d6ff4dbd-8893-4fce-a372-04b20cd43e55}">
  <ds:schemaRefs/>
</ds:datastoreItem>
</file>

<file path=customXml/itemProps24.xml><?xml version="1.0" encoding="utf-8"?>
<ds:datastoreItem xmlns:ds="http://schemas.openxmlformats.org/officeDocument/2006/customXml" ds:itemID="{8df14045-c549-40bd-b142-705071cdff36}">
  <ds:schemaRefs/>
</ds:datastoreItem>
</file>

<file path=customXml/itemProps25.xml><?xml version="1.0" encoding="utf-8"?>
<ds:datastoreItem xmlns:ds="http://schemas.openxmlformats.org/officeDocument/2006/customXml" ds:itemID="{1c4e54f8-76e7-4508-b04f-826602f9c697}">
  <ds:schemaRefs/>
</ds:datastoreItem>
</file>

<file path=customXml/itemProps26.xml><?xml version="1.0" encoding="utf-8"?>
<ds:datastoreItem xmlns:ds="http://schemas.openxmlformats.org/officeDocument/2006/customXml" ds:itemID="{87bf80bd-4bd8-47ee-9b31-8f094433029c}">
  <ds:schemaRefs/>
</ds:datastoreItem>
</file>

<file path=customXml/itemProps27.xml><?xml version="1.0" encoding="utf-8"?>
<ds:datastoreItem xmlns:ds="http://schemas.openxmlformats.org/officeDocument/2006/customXml" ds:itemID="{bef758bb-d06a-4ce9-8485-8a59a81d5668}">
  <ds:schemaRefs/>
</ds:datastoreItem>
</file>

<file path=customXml/itemProps28.xml><?xml version="1.0" encoding="utf-8"?>
<ds:datastoreItem xmlns:ds="http://schemas.openxmlformats.org/officeDocument/2006/customXml" ds:itemID="{23872063-1b3e-41c4-a5bc-6b0ef413457a}">
  <ds:schemaRefs/>
</ds:datastoreItem>
</file>

<file path=customXml/itemProps29.xml><?xml version="1.0" encoding="utf-8"?>
<ds:datastoreItem xmlns:ds="http://schemas.openxmlformats.org/officeDocument/2006/customXml" ds:itemID="{16328353-8004-440e-a2ed-acb2fcc3c71b}">
  <ds:schemaRefs/>
</ds:datastoreItem>
</file>

<file path=customXml/itemProps3.xml><?xml version="1.0" encoding="utf-8"?>
<ds:datastoreItem xmlns:ds="http://schemas.openxmlformats.org/officeDocument/2006/customXml" ds:itemID="{539e9667-a1ea-4644-a3a3-2cec1b37e1fb}">
  <ds:schemaRefs/>
</ds:datastoreItem>
</file>

<file path=customXml/itemProps30.xml><?xml version="1.0" encoding="utf-8"?>
<ds:datastoreItem xmlns:ds="http://schemas.openxmlformats.org/officeDocument/2006/customXml" ds:itemID="{42f5630e-3d6f-41b7-9df5-1ff7b259947e}">
  <ds:schemaRefs/>
</ds:datastoreItem>
</file>

<file path=customXml/itemProps31.xml><?xml version="1.0" encoding="utf-8"?>
<ds:datastoreItem xmlns:ds="http://schemas.openxmlformats.org/officeDocument/2006/customXml" ds:itemID="{ab1701f6-9133-414d-8599-052139bab93a}">
  <ds:schemaRefs/>
</ds:datastoreItem>
</file>

<file path=customXml/itemProps32.xml><?xml version="1.0" encoding="utf-8"?>
<ds:datastoreItem xmlns:ds="http://schemas.openxmlformats.org/officeDocument/2006/customXml" ds:itemID="{1b62c3d8-dbda-479d-b552-5e360b67041d}">
  <ds:schemaRefs/>
</ds:datastoreItem>
</file>

<file path=customXml/itemProps33.xml><?xml version="1.0" encoding="utf-8"?>
<ds:datastoreItem xmlns:ds="http://schemas.openxmlformats.org/officeDocument/2006/customXml" ds:itemID="{afb3ffb9-66b1-4c88-976f-8c8d6526e0e3}">
  <ds:schemaRefs/>
</ds:datastoreItem>
</file>

<file path=customXml/itemProps34.xml><?xml version="1.0" encoding="utf-8"?>
<ds:datastoreItem xmlns:ds="http://schemas.openxmlformats.org/officeDocument/2006/customXml" ds:itemID="{103cca96-eb3b-44a9-9cec-d54df10a6f81}">
  <ds:schemaRefs/>
</ds:datastoreItem>
</file>

<file path=customXml/itemProps35.xml><?xml version="1.0" encoding="utf-8"?>
<ds:datastoreItem xmlns:ds="http://schemas.openxmlformats.org/officeDocument/2006/customXml" ds:itemID="{446cdb03-f912-445e-acfd-c3b7302ce640}">
  <ds:schemaRefs/>
</ds:datastoreItem>
</file>

<file path=customXml/itemProps36.xml><?xml version="1.0" encoding="utf-8"?>
<ds:datastoreItem xmlns:ds="http://schemas.openxmlformats.org/officeDocument/2006/customXml" ds:itemID="{c83fe527-01f7-43f8-ae8b-a8b180693a15}">
  <ds:schemaRefs/>
</ds:datastoreItem>
</file>

<file path=customXml/itemProps37.xml><?xml version="1.0" encoding="utf-8"?>
<ds:datastoreItem xmlns:ds="http://schemas.openxmlformats.org/officeDocument/2006/customXml" ds:itemID="{dcacf9a4-b3fc-4bd6-bd6a-50ef784b05a9}">
  <ds:schemaRefs/>
</ds:datastoreItem>
</file>

<file path=customXml/itemProps38.xml><?xml version="1.0" encoding="utf-8"?>
<ds:datastoreItem xmlns:ds="http://schemas.openxmlformats.org/officeDocument/2006/customXml" ds:itemID="{62e309de-2b70-458b-91c2-1ca81d89ac33}">
  <ds:schemaRefs/>
</ds:datastoreItem>
</file>

<file path=customXml/itemProps39.xml><?xml version="1.0" encoding="utf-8"?>
<ds:datastoreItem xmlns:ds="http://schemas.openxmlformats.org/officeDocument/2006/customXml" ds:itemID="{b5e3993c-bf5d-4511-a232-86295ce7c9e8}">
  <ds:schemaRefs/>
</ds:datastoreItem>
</file>

<file path=customXml/itemProps4.xml><?xml version="1.0" encoding="utf-8"?>
<ds:datastoreItem xmlns:ds="http://schemas.openxmlformats.org/officeDocument/2006/customXml" ds:itemID="{c992043e-bdd3-4de0-9ae4-af675c90ffab}">
  <ds:schemaRefs/>
</ds:datastoreItem>
</file>

<file path=customXml/itemProps40.xml><?xml version="1.0" encoding="utf-8"?>
<ds:datastoreItem xmlns:ds="http://schemas.openxmlformats.org/officeDocument/2006/customXml" ds:itemID="{34bb9c23-aed6-4b72-9faf-3e819b149e26}">
  <ds:schemaRefs/>
</ds:datastoreItem>
</file>

<file path=customXml/itemProps41.xml><?xml version="1.0" encoding="utf-8"?>
<ds:datastoreItem xmlns:ds="http://schemas.openxmlformats.org/officeDocument/2006/customXml" ds:itemID="{bca8a6a1-204a-4fd3-b0f1-0e2ffb7607a0}">
  <ds:schemaRefs/>
</ds:datastoreItem>
</file>

<file path=customXml/itemProps42.xml><?xml version="1.0" encoding="utf-8"?>
<ds:datastoreItem xmlns:ds="http://schemas.openxmlformats.org/officeDocument/2006/customXml" ds:itemID="{450981be-9f8f-4676-9b80-1b0e9737958c}">
  <ds:schemaRefs/>
</ds:datastoreItem>
</file>

<file path=customXml/itemProps5.xml><?xml version="1.0" encoding="utf-8"?>
<ds:datastoreItem xmlns:ds="http://schemas.openxmlformats.org/officeDocument/2006/customXml" ds:itemID="{5b3c2805-90cc-4fe6-b373-1b9be7700b93}">
  <ds:schemaRefs/>
</ds:datastoreItem>
</file>

<file path=customXml/itemProps6.xml><?xml version="1.0" encoding="utf-8"?>
<ds:datastoreItem xmlns:ds="http://schemas.openxmlformats.org/officeDocument/2006/customXml" ds:itemID="{6e5565c0-2090-4a67-96c1-ccabab187fdd}">
  <ds:schemaRefs/>
</ds:datastoreItem>
</file>

<file path=customXml/itemProps7.xml><?xml version="1.0" encoding="utf-8"?>
<ds:datastoreItem xmlns:ds="http://schemas.openxmlformats.org/officeDocument/2006/customXml" ds:itemID="{80469918-f282-4624-aacf-13ef3866fb4f}">
  <ds:schemaRefs/>
</ds:datastoreItem>
</file>

<file path=customXml/itemProps8.xml><?xml version="1.0" encoding="utf-8"?>
<ds:datastoreItem xmlns:ds="http://schemas.openxmlformats.org/officeDocument/2006/customXml" ds:itemID="{9177255e-dfdc-46ae-b0aa-04eac8571931}">
  <ds:schemaRefs/>
</ds:datastoreItem>
</file>

<file path=customXml/itemProps9.xml><?xml version="1.0" encoding="utf-8"?>
<ds:datastoreItem xmlns:ds="http://schemas.openxmlformats.org/officeDocument/2006/customXml" ds:itemID="{ad142b93-36a0-441b-81cc-0565516b190b}">
  <ds:schemaRefs/>
</ds:datastoreItem>
</file>

<file path=docProps/app.xml><?xml version="1.0" encoding="utf-8"?>
<Properties xmlns="http://schemas.openxmlformats.org/officeDocument/2006/extended-properties" xmlns:vt="http://schemas.openxmlformats.org/officeDocument/2006/docPropsVTypes">
  <Pages>205</Pages>
  <Words>42310</Words>
  <Characters>46363</Characters>
  <TotalTime>34</TotalTime>
  <ScaleCrop>false</ScaleCrop>
  <LinksUpToDate>false</LinksUpToDate>
  <CharactersWithSpaces>47319</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2022-07-27T10:36:00Z</dcterms:created>
  <dc:creator>Administrator.USER-20181102QR</dc:creator>
  <cp:lastModifiedBy>不二臣</cp:lastModifiedBy>
  <cp:lastPrinted>2022-09-19T01:59:00Z</cp:lastPrinted>
  <dcterms:modified xsi:type="dcterms:W3CDTF">2024-09-19T01:45:35Z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02768919CEB64429A4B1A3D147577044</vt:lpwstr>
  </property>
</Properties>
</file>