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ind w:left="91"/>
        <w:jc w:val="center"/>
        <w:rPr>
          <w:rFonts w:ascii="黑体" w:hAnsi="黑体" w:eastAsia="黑体" w:cs="宋体"/>
          <w:kern w:val="0"/>
          <w:sz w:val="44"/>
          <w:szCs w:val="44"/>
        </w:rPr>
      </w:pPr>
      <w:bookmarkStart w:id="0" w:name="_GoBack"/>
      <w:r>
        <w:rPr>
          <w:rFonts w:ascii="黑体" w:hAnsi="黑体" w:eastAsia="黑体"/>
          <w:color w:val="000000"/>
          <w:kern w:val="0"/>
          <w:sz w:val="44"/>
          <w:szCs w:val="44"/>
        </w:rPr>
        <w:t>2019</w:t>
      </w:r>
      <w:r>
        <w:rPr>
          <w:rFonts w:hint="eastAsia" w:ascii="黑体" w:hAnsi="黑体" w:eastAsia="黑体" w:cs="宋体"/>
          <w:color w:val="000000"/>
          <w:kern w:val="0"/>
          <w:sz w:val="44"/>
          <w:szCs w:val="44"/>
        </w:rPr>
        <w:t>年河北沙河</w:t>
      </w:r>
      <w:r>
        <w:rPr>
          <w:rFonts w:hint="eastAsia" w:ascii="黑体" w:hAnsi="黑体" w:eastAsia="黑体" w:cs="宋体"/>
          <w:color w:val="000000"/>
          <w:kern w:val="0"/>
          <w:sz w:val="44"/>
          <w:szCs w:val="44"/>
          <w:lang w:eastAsia="zh-CN"/>
        </w:rPr>
        <w:t>市委市直机关工作</w:t>
      </w:r>
      <w:r>
        <w:rPr>
          <w:rFonts w:hint="eastAsia" w:ascii="黑体" w:hAnsi="黑体" w:eastAsia="黑体" w:cs="宋体"/>
          <w:color w:val="000000"/>
          <w:kern w:val="0"/>
          <w:sz w:val="44"/>
          <w:szCs w:val="44"/>
        </w:rPr>
        <w:t>委员会</w:t>
      </w:r>
    </w:p>
    <w:p>
      <w:pPr>
        <w:widowControl/>
        <w:spacing w:line="480" w:lineRule="auto"/>
        <w:ind w:left="91"/>
        <w:jc w:val="center"/>
        <w:rPr>
          <w:rFonts w:ascii="黑体" w:hAnsi="黑体" w:eastAsia="黑体" w:cs="宋体"/>
          <w:kern w:val="0"/>
          <w:sz w:val="44"/>
          <w:szCs w:val="44"/>
        </w:rPr>
      </w:pPr>
      <w:r>
        <w:rPr>
          <w:rFonts w:hint="eastAsia" w:ascii="黑体" w:hAnsi="黑体" w:eastAsia="黑体" w:cs="宋体"/>
          <w:color w:val="000000"/>
          <w:kern w:val="0"/>
          <w:sz w:val="44"/>
          <w:szCs w:val="44"/>
        </w:rPr>
        <w:t>整体支出绩效自评报告</w:t>
      </w:r>
    </w:p>
    <w:bookmarkEnd w:id="0"/>
    <w:p>
      <w:pPr>
        <w:widowControl/>
        <w:spacing w:line="376" w:lineRule="atLeast"/>
        <w:jc w:val="left"/>
        <w:rPr>
          <w:rFonts w:ascii="Calibri" w:hAnsi="Calibri" w:cs="宋体"/>
          <w:kern w:val="0"/>
          <w:szCs w:val="21"/>
        </w:rPr>
      </w:pPr>
      <w:r>
        <w:rPr>
          <w:rFonts w:ascii="Calibri" w:hAnsi="Calibri" w:cs="宋体"/>
          <w:kern w:val="0"/>
          <w:szCs w:val="21"/>
        </w:rPr>
        <w:t> </w:t>
      </w:r>
    </w:p>
    <w:p>
      <w:pPr>
        <w:widowControl/>
        <w:spacing w:after="187" w:line="580" w:lineRule="atLeast"/>
        <w:rPr>
          <w:rFonts w:ascii="仿宋" w:hAnsi="仿宋" w:eastAsia="仿宋" w:cs="宋体"/>
          <w:kern w:val="0"/>
          <w:sz w:val="32"/>
          <w:szCs w:val="32"/>
        </w:rPr>
      </w:pPr>
      <w:r>
        <w:rPr>
          <w:rFonts w:hint="eastAsia" w:ascii="仿宋" w:hAnsi="仿宋" w:eastAsia="仿宋" w:cs="宋体"/>
          <w:b/>
          <w:bCs/>
          <w:color w:val="000000"/>
          <w:kern w:val="0"/>
          <w:sz w:val="32"/>
          <w:szCs w:val="32"/>
        </w:rPr>
        <w:t>一、基本情况</w:t>
      </w:r>
    </w:p>
    <w:p>
      <w:pPr>
        <w:numPr>
          <w:ilvl w:val="0"/>
          <w:numId w:val="1"/>
        </w:numPr>
        <w:spacing w:line="590" w:lineRule="exact"/>
        <w:ind w:firstLine="643" w:firstLineChars="200"/>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部门职责</w:t>
      </w:r>
    </w:p>
    <w:p>
      <w:pPr>
        <w:numPr>
          <w:ilvl w:val="0"/>
          <w:numId w:val="0"/>
        </w:numPr>
        <w:spacing w:line="590"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（一）组织、规划、部署市直机关党的工作，提出加强和改进机关党的建设的意见和建议，研究制定工作规划，并抓好组织实施。</w:t>
      </w:r>
    </w:p>
    <w:p>
      <w:pPr>
        <w:spacing w:line="590"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（二）负责市直机关党内统计，党员关系接转等工作。指导市直机关党的政治建设、思想建设、组织建设、作风建设、纪律建设，把制度建设贯彻其中，深入推进反腐败斗争。</w:t>
      </w:r>
    </w:p>
    <w:p>
      <w:pPr>
        <w:spacing w:line="590"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（三）指导市直机关各级党组织和广大党员学习马克思列宁主义、毛泽东思想、邓小平理论、“三个代表”重要思想、科学发展观、习近平新时代中国特色社会主义思想。</w:t>
      </w:r>
    </w:p>
    <w:p>
      <w:pPr>
        <w:spacing w:line="590"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（四）对市直机关各级党组织、党员领导干部落实党建责任制、遵守政治纪律和政治规矩情况进行监督检查，并向市委报告。</w:t>
      </w:r>
    </w:p>
    <w:p>
      <w:pPr>
        <w:spacing w:line="590"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（五）指导市直机关各级党组织实施对党员特别是党员领导干部的监督和管理，定期了解各部门党员和群众对领导干部的意见，及时向市委反映各部门领导班子、领导干部的情况。</w:t>
      </w:r>
    </w:p>
    <w:p>
      <w:pPr>
        <w:spacing w:line="590"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六）配合市委有关部门抓好市直机关各部门领导班子思想政治建设，参与对党员领导干部民主生活会和市直机关各部门党组（党委）理论学习中心组学习的督促检查和指导，了解掌握情况，按规定报送情况报告。</w:t>
      </w:r>
    </w:p>
    <w:p>
      <w:pPr>
        <w:spacing w:line="590"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（七）督促指导市直机关各部门党组织按期换届，审批市直机关各部门党组织书记、副书记的任免。</w:t>
      </w:r>
    </w:p>
    <w:p>
      <w:pPr>
        <w:spacing w:line="590"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（八）指导市直机关党组织加强基层组织建设，做好党员发展、教育管理等工作。</w:t>
      </w:r>
    </w:p>
    <w:p>
      <w:pPr>
        <w:spacing w:line="590"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（九）了解掌握市直机关工作人员的思想状况，指导市直机关各级党组织加强思想政治工作和精神文明建设。</w:t>
      </w:r>
    </w:p>
    <w:p>
      <w:pPr>
        <w:spacing w:line="590"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（十）指导市直机关各级党组织做好党的统一战线工作和人民武装工作。指导市直机关工会、共青团、妇联等群团组织的工作，指导市直机关各级党组织做好党的群众工作。</w:t>
      </w:r>
    </w:p>
    <w:p>
      <w:pPr>
        <w:spacing w:line="590"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（十一）协同有关部门指导、规划、协调、监督市直机关干部教育培训工作，组织实施有关干部教育培训重点任务。</w:t>
      </w:r>
    </w:p>
    <w:p>
      <w:pPr>
        <w:spacing w:line="590"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（十二）协助有关部门协调市直机关各部门做好维护稳定工作、离退休干部和老龄等工作。</w:t>
      </w:r>
    </w:p>
    <w:p>
      <w:pPr>
        <w:spacing w:line="590"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（十三）完成市委交办的其他任务。</w:t>
      </w:r>
    </w:p>
    <w:p>
      <w:pPr>
        <w:widowControl/>
        <w:spacing w:before="187" w:line="580" w:lineRule="atLeast"/>
        <w:outlineLvl w:val="1"/>
        <w:rPr>
          <w:rFonts w:ascii="仿宋" w:hAnsi="仿宋" w:eastAsia="仿宋" w:cs="宋体"/>
          <w:kern w:val="0"/>
          <w:sz w:val="32"/>
          <w:szCs w:val="32"/>
        </w:rPr>
      </w:pPr>
      <w:r>
        <w:rPr>
          <w:rFonts w:hint="eastAsia" w:ascii="仿宋" w:hAnsi="仿宋" w:eastAsia="仿宋" w:cs="宋体"/>
          <w:b/>
          <w:bCs/>
          <w:color w:val="000000"/>
          <w:kern w:val="0"/>
          <w:sz w:val="32"/>
          <w:szCs w:val="32"/>
        </w:rPr>
        <w:t>2.</w:t>
      </w:r>
      <w:r>
        <w:rPr>
          <w:rFonts w:hint="eastAsia" w:ascii="宋体" w:hAnsi="宋体" w:eastAsia="仿宋" w:cs="宋体"/>
          <w:b/>
          <w:bCs/>
          <w:color w:val="000000"/>
          <w:kern w:val="0"/>
          <w:sz w:val="32"/>
          <w:szCs w:val="32"/>
        </w:rPr>
        <w:t> </w:t>
      </w:r>
      <w:r>
        <w:rPr>
          <w:rFonts w:hint="eastAsia" w:ascii="仿宋" w:hAnsi="仿宋" w:eastAsia="仿宋" w:cs="宋体"/>
          <w:b/>
          <w:bCs/>
          <w:color w:val="000000"/>
          <w:kern w:val="0"/>
          <w:sz w:val="32"/>
          <w:szCs w:val="32"/>
        </w:rPr>
        <w:t>机构设置及人员情况</w:t>
      </w:r>
    </w:p>
    <w:p>
      <w:pPr>
        <w:widowControl/>
        <w:spacing w:line="560" w:lineRule="atLeast"/>
        <w:ind w:firstLine="640" w:firstLineChars="200"/>
        <w:rPr>
          <w:rFonts w:hint="eastAsia" w:ascii="仿宋" w:hAnsi="仿宋" w:eastAsia="仿宋" w:cs="宋体"/>
          <w:color w:val="000000"/>
          <w:kern w:val="0"/>
          <w:sz w:val="32"/>
          <w:szCs w:val="32"/>
          <w:shd w:val="clear" w:color="auto" w:fill="FFFFFF"/>
          <w:lang w:eastAsia="zh-CN"/>
        </w:rPr>
      </w:pPr>
      <w:r>
        <w:rPr>
          <w:rFonts w:hint="eastAsia" w:ascii="仿宋" w:hAnsi="仿宋" w:eastAsia="仿宋" w:cs="宋体"/>
          <w:color w:val="000000"/>
          <w:kern w:val="0"/>
          <w:sz w:val="32"/>
          <w:szCs w:val="32"/>
          <w:shd w:val="clear" w:color="auto" w:fill="FFFFFF"/>
        </w:rPr>
        <w:t>河北沙河</w:t>
      </w:r>
      <w:r>
        <w:rPr>
          <w:rFonts w:hint="eastAsia" w:ascii="仿宋" w:hAnsi="仿宋" w:eastAsia="仿宋" w:cs="宋体"/>
          <w:color w:val="000000"/>
          <w:kern w:val="0"/>
          <w:sz w:val="32"/>
          <w:szCs w:val="32"/>
          <w:shd w:val="clear" w:color="auto" w:fill="FFFFFF"/>
          <w:lang w:eastAsia="zh-CN"/>
        </w:rPr>
        <w:t>市委市直机关工作</w:t>
      </w:r>
      <w:r>
        <w:rPr>
          <w:rFonts w:hint="eastAsia" w:ascii="仿宋" w:hAnsi="仿宋" w:eastAsia="仿宋" w:cs="宋体"/>
          <w:color w:val="000000"/>
          <w:kern w:val="0"/>
          <w:sz w:val="32"/>
          <w:szCs w:val="32"/>
          <w:shd w:val="clear" w:color="auto" w:fill="FFFFFF"/>
        </w:rPr>
        <w:t>委员会设</w:t>
      </w:r>
      <w:r>
        <w:rPr>
          <w:rFonts w:hint="eastAsia" w:ascii="仿宋" w:hAnsi="仿宋" w:eastAsia="仿宋" w:cs="宋体"/>
          <w:color w:val="000000"/>
          <w:kern w:val="0"/>
          <w:sz w:val="32"/>
          <w:szCs w:val="32"/>
          <w:shd w:val="clear" w:color="auto" w:fill="FFFFFF"/>
          <w:lang w:val="en-US" w:eastAsia="zh-CN"/>
        </w:rPr>
        <w:t>2</w:t>
      </w:r>
      <w:r>
        <w:rPr>
          <w:rFonts w:hint="eastAsia" w:ascii="仿宋" w:hAnsi="仿宋" w:eastAsia="仿宋" w:cs="宋体"/>
          <w:color w:val="000000"/>
          <w:kern w:val="0"/>
          <w:sz w:val="32"/>
          <w:szCs w:val="32"/>
          <w:shd w:val="clear" w:color="auto" w:fill="FFFFFF"/>
        </w:rPr>
        <w:t>个内设机构：办公室、</w:t>
      </w:r>
      <w:r>
        <w:rPr>
          <w:rFonts w:hint="eastAsia" w:ascii="仿宋" w:hAnsi="仿宋" w:eastAsia="仿宋" w:cs="宋体"/>
          <w:color w:val="000000"/>
          <w:kern w:val="0"/>
          <w:sz w:val="32"/>
          <w:szCs w:val="32"/>
          <w:shd w:val="clear" w:color="auto" w:fill="FFFFFF"/>
          <w:lang w:eastAsia="zh-CN"/>
        </w:rPr>
        <w:t>综合股。</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截至2019年12月31日，我单位</w:t>
      </w:r>
      <w:r>
        <w:rPr>
          <w:rFonts w:ascii="Times New Roman" w:hAnsi="仿宋_GB2312" w:eastAsia="仿宋_GB2312"/>
          <w:spacing w:val="6"/>
          <w:sz w:val="30"/>
          <w:szCs w:val="30"/>
        </w:rPr>
        <w:t>机关行政编制</w:t>
      </w:r>
      <w:r>
        <w:rPr>
          <w:rFonts w:hint="eastAsia" w:ascii="Times New Roman" w:hAnsi="Times New Roman" w:eastAsia="仿宋_GB2312"/>
          <w:spacing w:val="6"/>
          <w:sz w:val="30"/>
          <w:szCs w:val="30"/>
          <w:lang w:val="en-US" w:eastAsia="zh-CN"/>
        </w:rPr>
        <w:t>7</w:t>
      </w:r>
      <w:r>
        <w:rPr>
          <w:rFonts w:hint="eastAsia" w:ascii="Times New Roman" w:hAnsi="仿宋_GB2312" w:eastAsia="仿宋_GB2312"/>
          <w:spacing w:val="6"/>
          <w:sz w:val="30"/>
          <w:szCs w:val="30"/>
          <w:lang w:eastAsia="zh-CN"/>
        </w:rPr>
        <w:t>人，</w:t>
      </w:r>
      <w:r>
        <w:rPr>
          <w:rFonts w:hint="eastAsia" w:ascii="仿宋" w:hAnsi="仿宋" w:eastAsia="仿宋" w:cs="宋体"/>
          <w:color w:val="000000"/>
          <w:kern w:val="0"/>
          <w:sz w:val="32"/>
          <w:szCs w:val="32"/>
          <w:shd w:val="clear" w:color="auto" w:fill="FFFFFF"/>
        </w:rPr>
        <w:t xml:space="preserve">年末实有在职人数 </w:t>
      </w:r>
      <w:r>
        <w:rPr>
          <w:rFonts w:hint="eastAsia" w:ascii="仿宋" w:hAnsi="仿宋" w:eastAsia="仿宋" w:cs="宋体"/>
          <w:color w:val="000000"/>
          <w:kern w:val="0"/>
          <w:sz w:val="32"/>
          <w:szCs w:val="32"/>
          <w:shd w:val="clear" w:color="auto" w:fill="FFFFFF"/>
          <w:lang w:val="en-US" w:eastAsia="zh-CN"/>
        </w:rPr>
        <w:t>4</w:t>
      </w:r>
      <w:r>
        <w:rPr>
          <w:rFonts w:hint="eastAsia" w:ascii="仿宋" w:hAnsi="仿宋" w:eastAsia="仿宋" w:cs="宋体"/>
          <w:color w:val="000000"/>
          <w:kern w:val="0"/>
          <w:sz w:val="32"/>
          <w:szCs w:val="32"/>
          <w:shd w:val="clear" w:color="auto" w:fill="FFFFFF"/>
        </w:rPr>
        <w:t>人。</w:t>
      </w:r>
      <w:r>
        <w:rPr>
          <w:rFonts w:hint="eastAsia" w:ascii="仿宋" w:hAnsi="仿宋" w:eastAsia="仿宋" w:cs="宋体"/>
          <w:color w:val="000000"/>
          <w:kern w:val="0"/>
          <w:sz w:val="32"/>
          <w:szCs w:val="32"/>
          <w:shd w:val="clear" w:color="auto" w:fill="FFFFFF"/>
          <w:lang w:eastAsia="zh-CN"/>
        </w:rPr>
        <w:t>退休人员</w:t>
      </w:r>
      <w:r>
        <w:rPr>
          <w:rFonts w:hint="eastAsia" w:ascii="仿宋" w:hAnsi="仿宋" w:eastAsia="仿宋" w:cs="宋体"/>
          <w:color w:val="000000"/>
          <w:kern w:val="0"/>
          <w:sz w:val="32"/>
          <w:szCs w:val="32"/>
          <w:shd w:val="clear" w:color="auto" w:fill="FFFFFF"/>
          <w:lang w:val="en-US" w:eastAsia="zh-CN"/>
        </w:rPr>
        <w:t>3人。</w:t>
      </w:r>
      <w:r>
        <w:rPr>
          <w:rFonts w:hint="eastAsia" w:ascii="仿宋" w:hAnsi="仿宋" w:eastAsia="仿宋" w:cs="宋体"/>
          <w:color w:val="000000"/>
          <w:kern w:val="0"/>
          <w:sz w:val="32"/>
          <w:szCs w:val="32"/>
          <w:shd w:val="clear" w:color="auto" w:fill="FFFFFF"/>
        </w:rPr>
        <w:t>固定资产</w:t>
      </w:r>
      <w:r>
        <w:rPr>
          <w:rFonts w:hint="eastAsia" w:ascii="仿宋" w:hAnsi="仿宋" w:eastAsia="仿宋" w:cs="宋体"/>
          <w:color w:val="auto"/>
          <w:kern w:val="0"/>
          <w:sz w:val="32"/>
          <w:szCs w:val="32"/>
          <w:shd w:val="clear" w:color="auto" w:fill="FFFFFF"/>
          <w:lang w:val="en-US" w:eastAsia="zh-CN"/>
        </w:rPr>
        <w:t>2</w:t>
      </w:r>
      <w:r>
        <w:rPr>
          <w:rFonts w:hint="eastAsia" w:ascii="仿宋" w:hAnsi="仿宋" w:eastAsia="仿宋" w:cs="宋体"/>
          <w:color w:val="000000"/>
          <w:kern w:val="0"/>
          <w:sz w:val="32"/>
          <w:szCs w:val="32"/>
          <w:shd w:val="clear" w:color="auto" w:fill="FFFFFF"/>
        </w:rPr>
        <w:t>万元。</w:t>
      </w:r>
    </w:p>
    <w:p>
      <w:pPr>
        <w:keepNext w:val="0"/>
        <w:keepLines w:val="0"/>
        <w:widowControl w:val="0"/>
        <w:suppressLineNumbers w:val="0"/>
        <w:spacing w:before="0" w:beforeAutospacing="0" w:after="0" w:afterAutospacing="0"/>
        <w:ind w:left="0" w:right="0" w:firstLine="643" w:firstLineChars="200"/>
        <w:jc w:val="both"/>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部门履职总体目标、年度整体绩效目标、工作任务</w:t>
      </w:r>
    </w:p>
    <w:p>
      <w:pPr>
        <w:widowControl/>
        <w:spacing w:line="560" w:lineRule="atLeast"/>
        <w:ind w:firstLine="640" w:firstLineChars="200"/>
        <w:rPr>
          <w:rFonts w:ascii="仿宋" w:hAnsi="仿宋" w:eastAsia="仿宋" w:cs="宋体"/>
          <w:kern w:val="0"/>
          <w:sz w:val="32"/>
          <w:szCs w:val="32"/>
        </w:rPr>
      </w:pPr>
    </w:p>
    <w:p>
      <w:pPr>
        <w:spacing w:line="600" w:lineRule="exact"/>
        <w:ind w:firstLine="640" w:firstLineChars="200"/>
        <w:rPr>
          <w:rFonts w:hint="eastAsia" w:ascii="楷体_GB2312" w:hAnsi="楷体_GB2312" w:eastAsia="楷体_GB2312" w:cs="楷体_GB2312"/>
          <w:b w:val="0"/>
          <w:bCs w:val="0"/>
          <w:spacing w:val="0"/>
          <w:sz w:val="32"/>
          <w:szCs w:val="32"/>
          <w:lang w:eastAsia="zh-CN"/>
        </w:rPr>
      </w:pPr>
      <w:r>
        <w:rPr>
          <w:rFonts w:hint="eastAsia" w:ascii="楷体_GB2312" w:hAnsi="楷体_GB2312" w:eastAsia="楷体_GB2312" w:cs="楷体_GB2312"/>
          <w:b w:val="0"/>
          <w:bCs w:val="0"/>
          <w:spacing w:val="0"/>
          <w:sz w:val="32"/>
          <w:szCs w:val="32"/>
          <w:lang w:val="en-US" w:eastAsia="zh-CN"/>
        </w:rPr>
        <w:t>1、</w:t>
      </w:r>
      <w:r>
        <w:rPr>
          <w:rFonts w:hint="eastAsia" w:ascii="楷体_GB2312" w:hAnsi="楷体_GB2312" w:eastAsia="楷体_GB2312" w:cs="楷体_GB2312"/>
          <w:b w:val="0"/>
          <w:bCs w:val="0"/>
          <w:spacing w:val="0"/>
          <w:sz w:val="32"/>
          <w:szCs w:val="32"/>
        </w:rPr>
        <w:t>牢牢把握鲜明政治导向，坚持把党的政治建设摆在首位</w:t>
      </w:r>
      <w:r>
        <w:rPr>
          <w:rFonts w:hint="eastAsia" w:ascii="楷体_GB2312" w:hAnsi="楷体_GB2312" w:eastAsia="楷体_GB2312" w:cs="楷体_GB2312"/>
          <w:b w:val="0"/>
          <w:bCs w:val="0"/>
          <w:spacing w:val="0"/>
          <w:sz w:val="32"/>
          <w:szCs w:val="32"/>
          <w:lang w:eastAsia="zh-CN"/>
        </w:rPr>
        <w:t>。</w:t>
      </w:r>
    </w:p>
    <w:p>
      <w:pPr>
        <w:spacing w:line="600" w:lineRule="exact"/>
        <w:ind w:firstLine="640" w:firstLineChars="200"/>
        <w:rPr>
          <w:rFonts w:hint="eastAsia" w:ascii="楷体_GB2312" w:hAnsi="楷体_GB2312" w:eastAsia="楷体_GB2312" w:cs="楷体_GB2312"/>
          <w:b w:val="0"/>
          <w:bCs w:val="0"/>
          <w:spacing w:val="0"/>
          <w:sz w:val="32"/>
          <w:szCs w:val="32"/>
          <w:lang w:eastAsia="zh-CN"/>
        </w:rPr>
      </w:pPr>
      <w:r>
        <w:rPr>
          <w:rFonts w:hint="eastAsia" w:ascii="楷体_GB2312" w:hAnsi="楷体_GB2312" w:eastAsia="楷体_GB2312" w:cs="楷体_GB2312"/>
          <w:b w:val="0"/>
          <w:bCs w:val="0"/>
          <w:spacing w:val="0"/>
          <w:sz w:val="32"/>
          <w:szCs w:val="32"/>
          <w:lang w:val="en-US" w:eastAsia="zh-CN"/>
        </w:rPr>
        <w:t>2、</w:t>
      </w:r>
      <w:r>
        <w:rPr>
          <w:rFonts w:hint="eastAsia" w:ascii="楷体_GB2312" w:hAnsi="楷体_GB2312" w:eastAsia="楷体_GB2312" w:cs="楷体_GB2312"/>
          <w:b w:val="0"/>
          <w:bCs w:val="0"/>
          <w:spacing w:val="0"/>
          <w:sz w:val="32"/>
          <w:szCs w:val="32"/>
        </w:rPr>
        <w:t>坚持学习为先，思想建设进一步强化夯实党建基础，组织建设进一步规范</w:t>
      </w:r>
      <w:r>
        <w:rPr>
          <w:rFonts w:hint="eastAsia" w:ascii="楷体_GB2312" w:hAnsi="楷体_GB2312" w:eastAsia="楷体_GB2312" w:cs="楷体_GB2312"/>
          <w:b w:val="0"/>
          <w:bCs w:val="0"/>
          <w:spacing w:val="0"/>
          <w:sz w:val="32"/>
          <w:szCs w:val="32"/>
          <w:lang w:eastAsia="zh-CN"/>
        </w:rPr>
        <w:t>。</w:t>
      </w:r>
    </w:p>
    <w:p>
      <w:pPr>
        <w:widowControl/>
        <w:spacing w:line="530" w:lineRule="atLeast"/>
        <w:ind w:firstLine="640" w:firstLineChars="200"/>
        <w:rPr>
          <w:rFonts w:hint="eastAsia" w:ascii="仿宋" w:hAnsi="仿宋" w:eastAsia="楷体_GB2312" w:cs="宋体"/>
          <w:color w:val="000000"/>
          <w:kern w:val="0"/>
          <w:sz w:val="32"/>
          <w:szCs w:val="32"/>
          <w:lang w:eastAsia="zh-CN"/>
        </w:rPr>
      </w:pPr>
      <w:r>
        <w:rPr>
          <w:rFonts w:hint="eastAsia" w:ascii="仿宋" w:hAnsi="仿宋" w:eastAsia="仿宋" w:cs="宋体"/>
          <w:color w:val="000000"/>
          <w:kern w:val="0"/>
          <w:sz w:val="32"/>
          <w:szCs w:val="32"/>
        </w:rPr>
        <w:t>3</w:t>
      </w:r>
      <w:r>
        <w:rPr>
          <w:rFonts w:hint="eastAsia" w:ascii="仿宋" w:hAnsi="仿宋" w:eastAsia="仿宋" w:cs="宋体"/>
          <w:color w:val="000000"/>
          <w:kern w:val="0"/>
          <w:sz w:val="32"/>
          <w:szCs w:val="32"/>
          <w:lang w:eastAsia="zh-CN"/>
        </w:rPr>
        <w:t>、</w:t>
      </w:r>
      <w:r>
        <w:rPr>
          <w:rFonts w:hint="eastAsia" w:ascii="楷体_GB2312" w:hAnsi="楷体_GB2312" w:eastAsia="楷体_GB2312" w:cs="楷体_GB2312"/>
          <w:b w:val="0"/>
          <w:bCs w:val="0"/>
          <w:spacing w:val="0"/>
          <w:sz w:val="32"/>
          <w:szCs w:val="32"/>
        </w:rPr>
        <w:t>坚持改进作风，机关效能进一步提升</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抓好各项武装工作的落实</w:t>
      </w:r>
      <w:r>
        <w:rPr>
          <w:rFonts w:hint="eastAsia" w:ascii="楷体_GB2312" w:hAnsi="楷体_GB2312" w:eastAsia="楷体_GB2312" w:cs="楷体_GB2312"/>
          <w:b w:val="0"/>
          <w:bCs w:val="0"/>
          <w:spacing w:val="0"/>
          <w:sz w:val="32"/>
          <w:szCs w:val="32"/>
          <w:lang w:eastAsia="zh-CN"/>
        </w:rPr>
        <w:t>。</w:t>
      </w:r>
    </w:p>
    <w:p>
      <w:pPr>
        <w:widowControl/>
        <w:spacing w:line="530" w:lineRule="atLeast"/>
        <w:ind w:firstLine="640" w:firstLineChars="200"/>
        <w:rPr>
          <w:rFonts w:hint="eastAsia" w:ascii="仿宋_GB2312" w:hAnsi="仿宋_GB2312" w:eastAsia="仿宋_GB2312" w:cs="仿宋_GB2312"/>
          <w:b w:val="0"/>
          <w:bCs w:val="0"/>
          <w:spacing w:val="0"/>
          <w:sz w:val="32"/>
          <w:szCs w:val="32"/>
          <w:lang w:eastAsia="zh-CN"/>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lang w:eastAsia="zh-CN"/>
        </w:rPr>
        <w:t>、</w:t>
      </w:r>
      <w:r>
        <w:rPr>
          <w:rFonts w:hint="eastAsia" w:ascii="仿宋_GB2312" w:hAnsi="仿宋_GB2312" w:eastAsia="仿宋_GB2312" w:cs="仿宋_GB2312"/>
          <w:b w:val="0"/>
          <w:bCs w:val="0"/>
          <w:spacing w:val="0"/>
          <w:sz w:val="32"/>
          <w:szCs w:val="32"/>
        </w:rPr>
        <w:t>着力加强市直机关党的政治建设。真正树牢“四个意识”，坚定“四个自信”，做到“两个维护”。同时，在严肃党内政治生活上，结合“不忘初心、牢记使命”主题教育</w:t>
      </w:r>
      <w:r>
        <w:rPr>
          <w:rFonts w:hint="eastAsia" w:ascii="仿宋_GB2312" w:hAnsi="仿宋_GB2312" w:eastAsia="仿宋_GB2312" w:cs="仿宋_GB2312"/>
          <w:b w:val="0"/>
          <w:bCs w:val="0"/>
          <w:spacing w:val="0"/>
          <w:sz w:val="32"/>
          <w:szCs w:val="32"/>
          <w:lang w:eastAsia="zh-CN"/>
        </w:rPr>
        <w:t>。</w:t>
      </w:r>
    </w:p>
    <w:p>
      <w:pPr>
        <w:widowControl/>
        <w:spacing w:line="530" w:lineRule="atLeast"/>
        <w:ind w:firstLine="640" w:firstLineChars="200"/>
        <w:rPr>
          <w:rFonts w:hint="eastAsia" w:ascii="仿宋_GB2312" w:hAnsi="仿宋_GB2312" w:eastAsia="仿宋_GB2312" w:cs="仿宋_GB2312"/>
          <w:b w:val="0"/>
          <w:bCs w:val="0"/>
          <w:spacing w:val="0"/>
          <w:sz w:val="32"/>
          <w:szCs w:val="32"/>
        </w:rPr>
      </w:pPr>
      <w:r>
        <w:rPr>
          <w:rFonts w:hint="eastAsia" w:ascii="仿宋" w:hAnsi="仿宋" w:eastAsia="仿宋" w:cs="宋体"/>
          <w:color w:val="000000"/>
          <w:kern w:val="0"/>
          <w:sz w:val="32"/>
          <w:szCs w:val="32"/>
          <w:lang w:val="en-US" w:eastAsia="zh-CN"/>
        </w:rPr>
        <w:t>5、</w:t>
      </w:r>
      <w:r>
        <w:rPr>
          <w:rFonts w:hint="eastAsia" w:ascii="仿宋_GB2312" w:hAnsi="仿宋_GB2312" w:eastAsia="仿宋_GB2312" w:cs="仿宋_GB2312"/>
          <w:b w:val="0"/>
          <w:bCs w:val="0"/>
          <w:spacing w:val="0"/>
          <w:sz w:val="32"/>
          <w:szCs w:val="32"/>
        </w:rPr>
        <w:t>市直工委在搞好自身主题教育的同时研究制定印发《市直机关开展“不忘初心牢记使命”主题教育的实施意见》，成立了领导小组办公室，具体指导市直机关主题教育的开展。</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b w:val="0"/>
          <w:bCs w:val="0"/>
          <w:spacing w:val="0"/>
          <w:sz w:val="32"/>
          <w:szCs w:val="32"/>
        </w:rPr>
      </w:pP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lang w:eastAsia="zh-CN"/>
        </w:rPr>
        <w:t>、</w:t>
      </w:r>
      <w:r>
        <w:rPr>
          <w:rFonts w:hint="eastAsia" w:ascii="仿宋_GB2312" w:hAnsi="仿宋_GB2312" w:eastAsia="仿宋_GB2312" w:cs="仿宋_GB2312"/>
          <w:b w:val="0"/>
          <w:bCs w:val="0"/>
          <w:spacing w:val="0"/>
          <w:sz w:val="32"/>
          <w:szCs w:val="32"/>
        </w:rPr>
        <w:t>加大培训力度。为建设高素质党务干部队伍，紧扣省委、邢台市委和沙河市委重大决策部署，对机关党务干部、发展对象、积极分子进行集中教育培训。</w:t>
      </w:r>
    </w:p>
    <w:p>
      <w:pPr>
        <w:keepNext w:val="0"/>
        <w:keepLines w:val="0"/>
        <w:widowControl w:val="0"/>
        <w:suppressLineNumbers w:val="0"/>
        <w:spacing w:before="0" w:beforeAutospacing="0" w:after="0" w:afterAutospacing="0"/>
        <w:ind w:left="0" w:right="0" w:firstLine="643" w:firstLineChars="200"/>
        <w:jc w:val="both"/>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预算资金安排及资金支出情况。</w:t>
      </w:r>
    </w:p>
    <w:p>
      <w:pPr>
        <w:keepNext w:val="0"/>
        <w:keepLines w:val="0"/>
        <w:widowControl/>
        <w:suppressLineNumbers w:val="0"/>
        <w:spacing w:before="0" w:beforeAutospacing="0" w:after="0" w:afterAutospacing="0" w:line="580" w:lineRule="exact"/>
        <w:ind w:left="0" w:right="0" w:firstLine="540"/>
        <w:jc w:val="left"/>
        <w:rPr>
          <w:rFonts w:hint="eastAsia" w:ascii="仿宋" w:hAnsi="仿宋" w:eastAsia="仿宋" w:cs="仿宋"/>
          <w:kern w:val="2"/>
          <w:sz w:val="32"/>
          <w:szCs w:val="32"/>
          <w:lang w:val="en-US" w:eastAsia="zh-CN" w:bidi="ar"/>
        </w:rPr>
      </w:pPr>
      <w:r>
        <w:rPr>
          <w:rFonts w:hint="eastAsia" w:ascii="仿宋" w:hAnsi="仿宋" w:eastAsia="仿宋" w:cs="仿宋"/>
          <w:color w:val="000000"/>
          <w:sz w:val="32"/>
          <w:szCs w:val="32"/>
          <w:lang w:val="en-US" w:eastAsia="zh-CN" w:bidi="ar"/>
        </w:rPr>
        <w:t>2020年度财政拨款预算收入55.74万元，其中：一般公共预算收入55.74万元，基金预算拨款0元，</w:t>
      </w:r>
      <w:r>
        <w:rPr>
          <w:rFonts w:hint="eastAsia" w:ascii="仿宋" w:hAnsi="仿宋" w:eastAsia="仿宋" w:cs="仿宋"/>
          <w:kern w:val="2"/>
          <w:sz w:val="32"/>
          <w:szCs w:val="32"/>
          <w:lang w:val="en-US" w:eastAsia="zh-CN" w:bidi="ar"/>
        </w:rPr>
        <w:t>其他来源收入0万元。</w:t>
      </w:r>
    </w:p>
    <w:p>
      <w:pPr>
        <w:keepNext w:val="0"/>
        <w:keepLines w:val="0"/>
        <w:widowControl/>
        <w:suppressLineNumbers w:val="0"/>
        <w:spacing w:before="0" w:beforeAutospacing="0" w:after="0" w:afterAutospacing="0" w:line="580" w:lineRule="exact"/>
        <w:ind w:left="0" w:right="0" w:firstLine="540"/>
        <w:jc w:val="left"/>
        <w:rPr>
          <w:rFonts w:hint="eastAsia" w:ascii="仿宋" w:hAnsi="仿宋" w:eastAsia="仿宋" w:cs="仿宋"/>
          <w:color w:val="FF0000"/>
          <w:kern w:val="0"/>
          <w:sz w:val="32"/>
          <w:szCs w:val="32"/>
          <w:lang w:val="en-US" w:eastAsia="zh-CN" w:bidi="ar"/>
        </w:rPr>
      </w:pPr>
      <w:r>
        <w:rPr>
          <w:rFonts w:hint="eastAsia" w:ascii="仿宋" w:hAnsi="仿宋" w:eastAsia="仿宋" w:cs="仿宋"/>
          <w:color w:val="000000"/>
          <w:kern w:val="0"/>
          <w:sz w:val="32"/>
          <w:szCs w:val="32"/>
          <w:lang w:val="en-US" w:eastAsia="zh-CN" w:bidi="ar"/>
        </w:rPr>
        <w:t>2020年支出预算55.74万元，其中基本支出50.07万元，包括人员经费45.63万元和日常公用经费4.44万元；项目支出5.67万元。</w:t>
      </w:r>
      <w:r>
        <w:rPr>
          <w:rFonts w:hint="eastAsia" w:ascii="仿宋" w:hAnsi="仿宋" w:eastAsia="仿宋" w:cs="仿宋"/>
          <w:color w:val="FF0000"/>
          <w:kern w:val="0"/>
          <w:sz w:val="32"/>
          <w:szCs w:val="32"/>
          <w:lang w:val="en-US" w:eastAsia="zh-CN" w:bidi="ar"/>
        </w:rPr>
        <w:t xml:space="preserve"> </w:t>
      </w:r>
    </w:p>
    <w:p>
      <w:pPr>
        <w:keepNext w:val="0"/>
        <w:keepLines w:val="0"/>
        <w:widowControl w:val="0"/>
        <w:numPr>
          <w:ilvl w:val="0"/>
          <w:numId w:val="0"/>
        </w:numPr>
        <w:suppressLineNumbers w:val="0"/>
        <w:tabs>
          <w:tab w:val="left" w:pos="0"/>
        </w:tabs>
        <w:spacing w:before="0" w:beforeAutospacing="0" w:after="0" w:afterAutospacing="0"/>
        <w:ind w:right="0" w:rightChars="0"/>
        <w:jc w:val="both"/>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二、预算绩效管理开展及整体绩效实现情况。</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（一）项目预期绩效目标包括推进党政机构改革、事业单位改革，深化事业单位分类改革，加强机构编制和实名制管理，实现中文域名注册和续费全覆盖，保证机关正常运转。</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（二）绩效指标设定为已续费域名占到期域名比率、续费域名数量、</w:t>
      </w:r>
      <w:r>
        <w:rPr>
          <w:rFonts w:hint="eastAsia" w:ascii="仿宋" w:hAnsi="仿宋" w:eastAsia="仿宋" w:cs="仿宋"/>
          <w:kern w:val="2"/>
          <w:sz w:val="32"/>
          <w:szCs w:val="32"/>
          <w:lang w:val="en-US" w:eastAsia="zh-CN" w:bidi="ar"/>
        </w:rPr>
        <w:tab/>
      </w:r>
      <w:r>
        <w:rPr>
          <w:rFonts w:hint="eastAsia" w:ascii="仿宋" w:hAnsi="仿宋" w:eastAsia="仿宋" w:cs="仿宋"/>
          <w:kern w:val="2"/>
          <w:sz w:val="32"/>
          <w:szCs w:val="32"/>
          <w:lang w:val="en-US" w:eastAsia="zh-CN" w:bidi="ar"/>
        </w:rPr>
        <w:t>发放工资人数、年度考核合格及以上人员的比例、在职人员控制率、职工出勤率、到期域名在45天内及时续费数量占到期域名数量的百分比、年度重点工作计划完成及时率</w:t>
      </w:r>
      <w:r>
        <w:rPr>
          <w:rFonts w:hint="eastAsia" w:ascii="仿宋" w:hAnsi="仿宋" w:eastAsia="仿宋" w:cs="仿宋"/>
          <w:kern w:val="2"/>
          <w:sz w:val="32"/>
          <w:szCs w:val="32"/>
          <w:lang w:val="en-US" w:eastAsia="zh-CN" w:bidi="ar"/>
        </w:rPr>
        <w:tab/>
      </w:r>
      <w:r>
        <w:rPr>
          <w:rFonts w:hint="eastAsia" w:ascii="仿宋" w:hAnsi="仿宋" w:eastAsia="仿宋" w:cs="仿宋"/>
          <w:kern w:val="2"/>
          <w:sz w:val="32"/>
          <w:szCs w:val="32"/>
          <w:lang w:val="en-US" w:eastAsia="zh-CN" w:bidi="ar"/>
        </w:rPr>
        <w:t>、奖金及津贴发放及时率、服务对象满意度、重点工作完成率、单位年终考核成绩。</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楷体" w:hAnsi="楷体" w:eastAsia="楷体" w:cs="楷体_GB2312"/>
          <w:sz w:val="32"/>
          <w:szCs w:val="32"/>
          <w:lang w:val="en-US"/>
        </w:rPr>
      </w:pPr>
      <w:r>
        <w:rPr>
          <w:rFonts w:hint="eastAsia" w:ascii="楷体" w:hAnsi="楷体" w:eastAsia="楷体" w:cs="楷体_GB2312"/>
          <w:kern w:val="2"/>
          <w:sz w:val="32"/>
          <w:szCs w:val="32"/>
          <w:lang w:val="en-US" w:eastAsia="zh-CN" w:bidi="ar"/>
        </w:rPr>
        <w:t>（三）</w:t>
      </w:r>
      <w:r>
        <w:rPr>
          <w:rFonts w:hint="eastAsia" w:ascii="楷体" w:hAnsi="楷体" w:eastAsia="楷体" w:cs="仿宋"/>
          <w:kern w:val="2"/>
          <w:sz w:val="32"/>
          <w:szCs w:val="32"/>
          <w:lang w:val="en-US" w:eastAsia="zh-CN" w:bidi="ar"/>
        </w:rPr>
        <w:t>绩效</w:t>
      </w:r>
      <w:r>
        <w:rPr>
          <w:rFonts w:hint="eastAsia" w:ascii="楷体" w:hAnsi="楷体" w:eastAsia="楷体" w:cs="楷体_GB2312"/>
          <w:kern w:val="2"/>
          <w:sz w:val="32"/>
          <w:szCs w:val="32"/>
          <w:lang w:val="en-US" w:eastAsia="zh-CN" w:bidi="ar"/>
        </w:rPr>
        <w:t>指标实现情况。</w:t>
      </w:r>
    </w:p>
    <w:p>
      <w:pPr>
        <w:widowControl/>
        <w:spacing w:line="580" w:lineRule="atLeast"/>
        <w:ind w:left="492" w:leftChars="233" w:hanging="3" w:hangingChars="1"/>
        <w:rPr>
          <w:rFonts w:ascii="仿宋" w:hAnsi="仿宋" w:eastAsia="仿宋" w:cs="宋体"/>
          <w:kern w:val="0"/>
          <w:sz w:val="32"/>
          <w:szCs w:val="32"/>
        </w:rPr>
      </w:pPr>
      <w:r>
        <w:rPr>
          <w:rFonts w:hint="eastAsia" w:ascii="仿宋" w:hAnsi="仿宋" w:eastAsia="仿宋" w:cs="宋体"/>
          <w:color w:val="000000"/>
          <w:kern w:val="0"/>
          <w:sz w:val="32"/>
          <w:szCs w:val="32"/>
        </w:rPr>
        <w:t>1.</w:t>
      </w:r>
      <w:r>
        <w:rPr>
          <w:rFonts w:hint="eastAsia" w:ascii="宋体" w:hAnsi="宋体" w:eastAsia="仿宋" w:cs="宋体"/>
          <w:color w:val="000000"/>
          <w:kern w:val="0"/>
          <w:sz w:val="32"/>
          <w:szCs w:val="32"/>
        </w:rPr>
        <w:t> </w:t>
      </w:r>
      <w:r>
        <w:rPr>
          <w:rFonts w:hint="eastAsia" w:ascii="仿宋" w:hAnsi="仿宋" w:eastAsia="仿宋" w:cs="宋体"/>
          <w:color w:val="000000"/>
          <w:kern w:val="0"/>
          <w:sz w:val="32"/>
          <w:szCs w:val="32"/>
        </w:rPr>
        <w:t>数量指标</w:t>
      </w:r>
    </w:p>
    <w:p>
      <w:pPr>
        <w:widowControl/>
        <w:spacing w:line="580" w:lineRule="atLeast"/>
        <w:ind w:left="416" w:leftChars="198" w:firstLine="640" w:firstLineChars="200"/>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color w:val="auto"/>
          <w:spacing w:val="0"/>
          <w:sz w:val="32"/>
          <w:szCs w:val="32"/>
        </w:rPr>
        <w:t>开展迎“七一”党建知识竞赛活动，</w:t>
      </w:r>
      <w:r>
        <w:rPr>
          <w:rFonts w:hint="eastAsia" w:ascii="仿宋_GB2312" w:hAnsi="仿宋_GB2312" w:eastAsia="仿宋_GB2312" w:cs="仿宋_GB2312"/>
          <w:b w:val="0"/>
          <w:bCs w:val="0"/>
          <w:color w:val="auto"/>
          <w:spacing w:val="0"/>
          <w:sz w:val="32"/>
          <w:szCs w:val="32"/>
          <w:lang w:eastAsia="zh-CN"/>
        </w:rPr>
        <w:t>共</w:t>
      </w:r>
      <w:r>
        <w:rPr>
          <w:rFonts w:hint="eastAsia" w:ascii="仿宋_GB2312" w:hAnsi="仿宋_GB2312" w:eastAsia="仿宋_GB2312" w:cs="仿宋_GB2312"/>
          <w:b w:val="0"/>
          <w:bCs w:val="0"/>
          <w:color w:val="auto"/>
          <w:spacing w:val="0"/>
          <w:sz w:val="32"/>
          <w:szCs w:val="32"/>
          <w:lang w:val="en-US" w:eastAsia="zh-CN"/>
        </w:rPr>
        <w:t>4000余人</w:t>
      </w:r>
      <w:r>
        <w:rPr>
          <w:rFonts w:hint="eastAsia" w:ascii="仿宋_GB2312" w:hAnsi="仿宋_GB2312" w:eastAsia="仿宋_GB2312" w:cs="仿宋_GB2312"/>
          <w:b w:val="0"/>
          <w:bCs w:val="0"/>
          <w:color w:val="auto"/>
          <w:spacing w:val="0"/>
          <w:sz w:val="32"/>
          <w:szCs w:val="32"/>
          <w:lang w:eastAsia="zh-CN"/>
        </w:rPr>
        <w:t>参加，</w:t>
      </w:r>
      <w:r>
        <w:rPr>
          <w:rFonts w:hint="eastAsia" w:ascii="仿宋_GB2312" w:hAnsi="仿宋_GB2312" w:eastAsia="仿宋_GB2312" w:cs="仿宋_GB2312"/>
          <w:b w:val="0"/>
          <w:bCs w:val="0"/>
          <w:color w:val="auto"/>
          <w:spacing w:val="0"/>
          <w:sz w:val="32"/>
          <w:szCs w:val="32"/>
        </w:rPr>
        <w:t>评出</w:t>
      </w:r>
      <w:r>
        <w:rPr>
          <w:rFonts w:hint="eastAsia" w:ascii="仿宋_GB2312" w:hAnsi="仿宋_GB2312" w:eastAsia="仿宋_GB2312" w:cs="仿宋_GB2312"/>
          <w:b w:val="0"/>
          <w:bCs w:val="0"/>
          <w:color w:val="auto"/>
          <w:spacing w:val="0"/>
          <w:sz w:val="32"/>
          <w:szCs w:val="32"/>
          <w:lang w:val="en-US" w:eastAsia="zh-CN"/>
        </w:rPr>
        <w:t>50名</w:t>
      </w:r>
      <w:r>
        <w:rPr>
          <w:rFonts w:hint="eastAsia" w:ascii="仿宋_GB2312" w:hAnsi="仿宋_GB2312" w:eastAsia="仿宋_GB2312" w:cs="仿宋_GB2312"/>
          <w:b w:val="0"/>
          <w:bCs w:val="0"/>
          <w:color w:val="auto"/>
          <w:spacing w:val="0"/>
          <w:sz w:val="32"/>
          <w:szCs w:val="32"/>
        </w:rPr>
        <w:t>先进个人</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10个优秀</w:t>
      </w:r>
      <w:r>
        <w:rPr>
          <w:rFonts w:hint="eastAsia" w:ascii="仿宋_GB2312" w:hAnsi="仿宋_GB2312" w:eastAsia="仿宋_GB2312" w:cs="仿宋_GB2312"/>
          <w:b w:val="0"/>
          <w:bCs w:val="0"/>
          <w:color w:val="auto"/>
          <w:spacing w:val="0"/>
          <w:sz w:val="32"/>
          <w:szCs w:val="32"/>
        </w:rPr>
        <w:t>集体。</w:t>
      </w:r>
      <w:r>
        <w:rPr>
          <w:rFonts w:hint="eastAsia" w:ascii="仿宋_GB2312" w:hAnsi="仿宋_GB2312" w:eastAsia="仿宋_GB2312" w:cs="仿宋_GB2312"/>
          <w:b w:val="0"/>
          <w:bCs w:val="0"/>
          <w:spacing w:val="0"/>
          <w:sz w:val="32"/>
          <w:szCs w:val="32"/>
        </w:rPr>
        <w:t>机关党务干部、发展对象、积极分子进行集中教育培训5期</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受训人数达500余人。来自近70个单位的160余名</w:t>
      </w:r>
      <w:r>
        <w:rPr>
          <w:rFonts w:hint="eastAsia" w:ascii="仿宋_GB2312" w:hAnsi="仿宋_GB2312" w:eastAsia="仿宋_GB2312" w:cs="仿宋_GB2312"/>
          <w:b w:val="0"/>
          <w:bCs w:val="0"/>
          <w:spacing w:val="0"/>
          <w:sz w:val="32"/>
          <w:szCs w:val="32"/>
          <w:lang w:eastAsia="zh-CN"/>
        </w:rPr>
        <w:t>优秀</w:t>
      </w:r>
      <w:r>
        <w:rPr>
          <w:rFonts w:hint="eastAsia" w:ascii="仿宋_GB2312" w:hAnsi="仿宋_GB2312" w:eastAsia="仿宋_GB2312" w:cs="仿宋_GB2312"/>
          <w:b w:val="0"/>
          <w:bCs w:val="0"/>
          <w:color w:val="auto"/>
          <w:spacing w:val="0"/>
          <w:sz w:val="32"/>
          <w:szCs w:val="32"/>
        </w:rPr>
        <w:t>青年</w:t>
      </w:r>
      <w:r>
        <w:rPr>
          <w:rFonts w:hint="eastAsia" w:ascii="仿宋_GB2312" w:hAnsi="仿宋_GB2312" w:eastAsia="仿宋_GB2312" w:cs="仿宋_GB2312"/>
          <w:b w:val="0"/>
          <w:bCs w:val="0"/>
          <w:color w:val="auto"/>
          <w:spacing w:val="0"/>
          <w:sz w:val="32"/>
          <w:szCs w:val="32"/>
          <w:lang w:eastAsia="zh-CN"/>
        </w:rPr>
        <w:t>和</w:t>
      </w:r>
      <w:r>
        <w:rPr>
          <w:rFonts w:hint="eastAsia" w:ascii="仿宋_GB2312" w:hAnsi="仿宋_GB2312" w:eastAsia="仿宋_GB2312" w:cs="仿宋_GB2312"/>
          <w:b w:val="0"/>
          <w:bCs w:val="0"/>
          <w:color w:val="auto"/>
          <w:spacing w:val="0"/>
          <w:sz w:val="32"/>
          <w:szCs w:val="32"/>
        </w:rPr>
        <w:t>党员</w:t>
      </w:r>
      <w:r>
        <w:rPr>
          <w:rFonts w:hint="eastAsia" w:ascii="仿宋_GB2312" w:hAnsi="仿宋_GB2312" w:eastAsia="仿宋_GB2312" w:cs="仿宋_GB2312"/>
          <w:b w:val="0"/>
          <w:bCs w:val="0"/>
          <w:spacing w:val="0"/>
          <w:sz w:val="32"/>
          <w:szCs w:val="32"/>
        </w:rPr>
        <w:t>干部参加了培训。市直工委调整党组织</w:t>
      </w:r>
      <w:r>
        <w:rPr>
          <w:rFonts w:hint="eastAsia" w:ascii="仿宋_GB2312" w:hAnsi="仿宋_GB2312" w:cs="仿宋_GB2312"/>
          <w:b w:val="0"/>
          <w:bCs w:val="0"/>
          <w:spacing w:val="0"/>
          <w:sz w:val="32"/>
          <w:szCs w:val="32"/>
          <w:lang w:val="en-US" w:eastAsia="zh-CN"/>
        </w:rPr>
        <w:t>81</w:t>
      </w:r>
      <w:r>
        <w:rPr>
          <w:rFonts w:hint="eastAsia" w:ascii="仿宋_GB2312" w:hAnsi="仿宋_GB2312" w:eastAsia="仿宋_GB2312" w:cs="仿宋_GB2312"/>
          <w:b w:val="0"/>
          <w:bCs w:val="0"/>
          <w:spacing w:val="0"/>
          <w:sz w:val="32"/>
          <w:szCs w:val="32"/>
        </w:rPr>
        <w:t>个，</w:t>
      </w:r>
      <w:r>
        <w:rPr>
          <w:rFonts w:hint="eastAsia" w:ascii="仿宋_GB2312" w:hAnsi="仿宋_GB2312" w:cs="仿宋_GB2312"/>
          <w:b w:val="0"/>
          <w:bCs w:val="0"/>
          <w:spacing w:val="0"/>
          <w:sz w:val="32"/>
          <w:szCs w:val="32"/>
          <w:lang w:eastAsia="zh-CN"/>
        </w:rPr>
        <w:t>涉及人数</w:t>
      </w:r>
      <w:r>
        <w:rPr>
          <w:rFonts w:hint="eastAsia" w:ascii="仿宋_GB2312" w:hAnsi="仿宋_GB2312" w:cs="仿宋_GB2312"/>
          <w:b w:val="0"/>
          <w:bCs w:val="0"/>
          <w:spacing w:val="0"/>
          <w:sz w:val="32"/>
          <w:szCs w:val="32"/>
          <w:lang w:val="en-US" w:eastAsia="zh-CN"/>
        </w:rPr>
        <w:t>247人</w:t>
      </w:r>
      <w:r>
        <w:rPr>
          <w:rFonts w:hint="eastAsia" w:ascii="仿宋_GB2312" w:hAnsi="仿宋_GB2312" w:eastAsia="仿宋_GB2312" w:cs="仿宋_GB2312"/>
          <w:b w:val="0"/>
          <w:bCs w:val="0"/>
          <w:spacing w:val="0"/>
          <w:sz w:val="32"/>
          <w:szCs w:val="32"/>
        </w:rPr>
        <w:t>。学习展板60块发放给22个市直单位，共50个党支部</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对26个单位62个股室进行了测评</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 xml:space="preserve">   </w:t>
      </w:r>
    </w:p>
    <w:p>
      <w:pPr>
        <w:widowControl/>
        <w:spacing w:line="580" w:lineRule="atLeast"/>
        <w:ind w:left="492" w:leftChars="233" w:hanging="3" w:hangingChars="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 质量指标：完成既定要求。</w:t>
      </w:r>
    </w:p>
    <w:p>
      <w:pPr>
        <w:widowControl/>
        <w:spacing w:line="580" w:lineRule="atLeast"/>
        <w:ind w:left="492" w:leftChars="233" w:hanging="3" w:hangingChars="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 时效指标:项目实施及时率100%，完成率100%。</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 w:hAnsi="仿宋" w:eastAsia="仿宋" w:cs="仿宋"/>
          <w:sz w:val="32"/>
          <w:szCs w:val="32"/>
          <w:lang w:val="en-US"/>
        </w:rPr>
      </w:pPr>
      <w:r>
        <w:rPr>
          <w:rFonts w:hint="eastAsia" w:ascii="楷体_GB2312" w:hAnsi="楷体_GB2312" w:eastAsia="楷体_GB2312" w:cs="楷体_GB2312"/>
          <w:kern w:val="2"/>
          <w:sz w:val="32"/>
          <w:szCs w:val="32"/>
          <w:lang w:val="en-US" w:eastAsia="zh-CN" w:bidi="ar"/>
        </w:rPr>
        <w:t>（四）效益指标情况分析</w:t>
      </w:r>
      <w:r>
        <w:rPr>
          <w:rFonts w:hint="eastAsia" w:ascii="仿宋" w:hAnsi="仿宋" w:eastAsia="仿宋" w:cs="仿宋"/>
          <w:kern w:val="2"/>
          <w:sz w:val="32"/>
          <w:szCs w:val="32"/>
          <w:lang w:val="en-US" w:eastAsia="zh-CN" w:bidi="ar"/>
        </w:rPr>
        <w:t>。</w:t>
      </w:r>
    </w:p>
    <w:p>
      <w:pPr>
        <w:keepNext w:val="0"/>
        <w:keepLines w:val="0"/>
        <w:widowControl/>
        <w:suppressLineNumbers w:val="0"/>
        <w:ind w:firstLine="640" w:firstLineChars="200"/>
        <w:jc w:val="left"/>
      </w:pPr>
      <w:r>
        <w:rPr>
          <w:rFonts w:hint="eastAsia" w:ascii="仿宋" w:hAnsi="仿宋" w:eastAsia="仿宋" w:cs="仿宋"/>
          <w:kern w:val="2"/>
          <w:sz w:val="32"/>
          <w:szCs w:val="32"/>
          <w:lang w:val="en-US" w:eastAsia="zh-CN" w:bidi="ar"/>
        </w:rPr>
        <w:t>社会效益。指标一为“</w:t>
      </w:r>
      <w:r>
        <w:rPr>
          <w:rFonts w:hint="eastAsia" w:ascii="仿宋" w:hAnsi="仿宋" w:eastAsia="仿宋" w:cs="Times New Roman"/>
          <w:kern w:val="2"/>
          <w:sz w:val="32"/>
          <w:szCs w:val="32"/>
          <w:lang w:val="en-US" w:eastAsia="zh-CN" w:bidi="ar"/>
        </w:rPr>
        <w:t>服务对象满意度</w:t>
      </w:r>
      <w:r>
        <w:rPr>
          <w:rFonts w:hint="eastAsia" w:ascii="仿宋" w:hAnsi="仿宋" w:eastAsia="仿宋" w:cs="仿宋"/>
          <w:kern w:val="2"/>
          <w:sz w:val="32"/>
          <w:szCs w:val="32"/>
          <w:lang w:val="en-US" w:eastAsia="zh-CN" w:bidi="ar"/>
        </w:rPr>
        <w:t>”，</w:t>
      </w:r>
      <w:r>
        <w:rPr>
          <w:rFonts w:hint="eastAsia" w:ascii="仿宋" w:hAnsi="仿宋" w:eastAsia="仿宋" w:cs="仿宋_GB2312"/>
          <w:kern w:val="2"/>
          <w:sz w:val="32"/>
          <w:szCs w:val="32"/>
          <w:lang w:val="en-US" w:eastAsia="zh-CN" w:bidi="ar"/>
        </w:rPr>
        <w:t>预期指标为</w:t>
      </w:r>
      <w:r>
        <w:rPr>
          <w:rFonts w:hint="eastAsia" w:ascii="仿宋" w:hAnsi="仿宋" w:eastAsia="仿宋" w:cs="宋体"/>
          <w:kern w:val="2"/>
          <w:sz w:val="32"/>
          <w:szCs w:val="32"/>
          <w:lang w:val="en-US" w:eastAsia="zh-CN" w:bidi="ar"/>
        </w:rPr>
        <w:t>≧</w:t>
      </w:r>
      <w:r>
        <w:rPr>
          <w:rFonts w:hint="eastAsia" w:ascii="仿宋" w:hAnsi="仿宋" w:eastAsia="仿宋" w:cs="仿宋_GB2312"/>
          <w:kern w:val="2"/>
          <w:sz w:val="32"/>
          <w:szCs w:val="32"/>
          <w:lang w:val="en-US" w:eastAsia="zh-CN" w:bidi="ar"/>
        </w:rPr>
        <w:t>95%，实际完成值为100%。</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（五）满意度指标情况分析。</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 w:hAnsi="仿宋" w:eastAsia="仿宋" w:cs="仿宋_GB2312"/>
          <w:kern w:val="0"/>
          <w:sz w:val="32"/>
          <w:szCs w:val="32"/>
          <w:lang w:val="en-US"/>
        </w:rPr>
      </w:pPr>
      <w:r>
        <w:rPr>
          <w:rFonts w:hint="eastAsia" w:ascii="仿宋" w:hAnsi="仿宋" w:eastAsia="仿宋" w:cs="仿宋_GB2312"/>
          <w:kern w:val="0"/>
          <w:sz w:val="32"/>
          <w:szCs w:val="32"/>
          <w:lang w:val="en-US" w:eastAsia="zh-CN" w:bidi="ar"/>
        </w:rPr>
        <w:t>服务对象满意度预期指标为</w:t>
      </w:r>
      <w:r>
        <w:rPr>
          <w:rFonts w:hint="eastAsia" w:ascii="仿宋" w:hAnsi="仿宋" w:eastAsia="仿宋" w:cs="宋体"/>
          <w:kern w:val="0"/>
          <w:sz w:val="32"/>
          <w:szCs w:val="32"/>
          <w:lang w:val="en-US" w:eastAsia="zh-CN" w:bidi="ar"/>
        </w:rPr>
        <w:t>≧</w:t>
      </w:r>
      <w:r>
        <w:rPr>
          <w:rFonts w:hint="eastAsia" w:ascii="仿宋" w:hAnsi="仿宋" w:eastAsia="仿宋" w:cs="仿宋_GB2312"/>
          <w:kern w:val="0"/>
          <w:sz w:val="32"/>
          <w:szCs w:val="32"/>
          <w:lang w:val="en-US" w:eastAsia="zh-CN" w:bidi="ar"/>
        </w:rPr>
        <w:t>95%，实际完成值为100%。主要通过开展调查问卷的形式搜集各机关事业单位对我办各项工作的意见和建议，反馈结果显示服务对象满意度为100%。</w:t>
      </w:r>
    </w:p>
    <w:p>
      <w:pPr>
        <w:widowControl/>
        <w:spacing w:line="580" w:lineRule="atLeast"/>
        <w:rPr>
          <w:rFonts w:hint="eastAsia" w:ascii="仿宋" w:hAnsi="仿宋" w:eastAsia="仿宋" w:cs="仿宋"/>
          <w:b/>
          <w:kern w:val="2"/>
          <w:sz w:val="32"/>
          <w:szCs w:val="32"/>
          <w:lang w:val="en-US" w:eastAsia="zh-CN" w:bidi="ar"/>
        </w:rPr>
      </w:pPr>
      <w:r>
        <w:rPr>
          <w:rFonts w:hint="eastAsia" w:ascii="仿宋" w:hAnsi="仿宋" w:eastAsia="仿宋" w:cs="宋体"/>
          <w:color w:val="000000"/>
          <w:kern w:val="0"/>
          <w:sz w:val="32"/>
          <w:szCs w:val="32"/>
          <w:lang w:eastAsia="zh-CN"/>
        </w:rPr>
        <w:t>三、</w:t>
      </w:r>
      <w:r>
        <w:rPr>
          <w:rFonts w:hint="eastAsia" w:ascii="仿宋" w:hAnsi="仿宋" w:eastAsia="仿宋" w:cs="仿宋"/>
          <w:b/>
          <w:kern w:val="2"/>
          <w:sz w:val="32"/>
          <w:szCs w:val="32"/>
          <w:lang w:val="en-US" w:eastAsia="zh-CN" w:bidi="ar"/>
        </w:rPr>
        <w:t>绩效评价的组织实施情况</w:t>
      </w:r>
    </w:p>
    <w:p>
      <w:pPr>
        <w:keepNext w:val="0"/>
        <w:keepLines w:val="0"/>
        <w:widowControl w:val="0"/>
        <w:suppressLineNumbers w:val="0"/>
        <w:spacing w:before="0" w:beforeAutospacing="0" w:after="0" w:afterAutospacing="0"/>
        <w:ind w:left="0" w:right="0"/>
        <w:jc w:val="both"/>
        <w:rPr>
          <w:rFonts w:hint="eastAsia" w:ascii="仿宋" w:hAnsi="仿宋" w:eastAsia="仿宋" w:cs="仿宋"/>
          <w:b/>
          <w:kern w:val="2"/>
          <w:sz w:val="32"/>
          <w:szCs w:val="32"/>
          <w:lang w:val="en-US" w:eastAsia="zh-CN" w:bidi="ar"/>
        </w:rPr>
      </w:pPr>
      <w:r>
        <w:rPr>
          <w:rFonts w:hint="eastAsia" w:ascii="仿宋" w:hAnsi="仿宋" w:eastAsia="仿宋" w:cs="仿宋"/>
          <w:kern w:val="2"/>
          <w:sz w:val="32"/>
          <w:szCs w:val="32"/>
          <w:lang w:val="en-US" w:eastAsia="zh-CN" w:bidi="ar"/>
        </w:rPr>
        <w:t xml:space="preserve">    依据部门职责及年初制定的各项工作任务对本单位绩效目标、绩效指标进行评价，评价标准主要为合理性、合规性，评价方法为按照绩效指标逐项对标评分。</w:t>
      </w: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四、各项绩效目标的实现程度及差异性原因分析</w:t>
      </w: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    各项绩效目标均按照预期实现。</w:t>
      </w: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b/>
          <w:sz w:val="32"/>
          <w:szCs w:val="32"/>
          <w:lang w:val="en-US"/>
        </w:rPr>
      </w:pPr>
      <w:r>
        <w:rPr>
          <w:rFonts w:hint="eastAsia" w:ascii="仿宋" w:hAnsi="仿宋" w:eastAsia="仿宋" w:cs="宋体"/>
          <w:b/>
          <w:bCs/>
          <w:color w:val="000000"/>
          <w:kern w:val="0"/>
          <w:sz w:val="32"/>
          <w:szCs w:val="32"/>
        </w:rPr>
        <w:t>五、</w:t>
      </w:r>
      <w:r>
        <w:rPr>
          <w:rFonts w:hint="eastAsia" w:ascii="仿宋" w:hAnsi="仿宋" w:eastAsia="仿宋" w:cs="仿宋"/>
          <w:b/>
          <w:kern w:val="2"/>
          <w:sz w:val="32"/>
          <w:szCs w:val="32"/>
          <w:lang w:val="en-US" w:eastAsia="zh-CN" w:bidi="ar"/>
        </w:rPr>
        <w:t>存在问题、采取的纠偏措施及改进绩效管理建议</w:t>
      </w:r>
    </w:p>
    <w:p>
      <w:pPr>
        <w:keepNext w:val="0"/>
        <w:keepLines w:val="0"/>
        <w:widowControl/>
        <w:suppressLineNumbers w:val="0"/>
        <w:spacing w:before="0" w:beforeAutospacing="0" w:after="0" w:afterAutospacing="0" w:line="560" w:lineRule="atLeast"/>
        <w:ind w:left="0" w:right="0" w:firstLine="585"/>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存在的主要问题是对预算绩效工作方面的知识有所欠缺，认识不到位，导致绩效目标的设定和完成有所差异。一、提高认识，</w:t>
      </w:r>
      <w:r>
        <w:rPr>
          <w:rFonts w:hint="eastAsia" w:ascii="仿宋" w:hAnsi="仿宋" w:eastAsia="仿宋" w:cs="Times New Roman"/>
          <w:kern w:val="2"/>
          <w:sz w:val="32"/>
          <w:szCs w:val="32"/>
          <w:lang w:val="en-US" w:eastAsia="zh-CN" w:bidi="ar"/>
        </w:rPr>
        <w:t>提升绩效管理水平。</w:t>
      </w:r>
      <w:r>
        <w:rPr>
          <w:rFonts w:hint="eastAsia" w:ascii="仿宋_GB2312" w:hAnsi="仿宋_GB2312" w:eastAsia="仿宋_GB2312" w:cs="仿宋_GB2312"/>
          <w:kern w:val="0"/>
          <w:sz w:val="32"/>
          <w:szCs w:val="32"/>
          <w:lang w:val="en-US" w:eastAsia="zh-CN" w:bidi="ar"/>
        </w:rPr>
        <w:t>二，加强学习，</w:t>
      </w:r>
      <w:r>
        <w:rPr>
          <w:rFonts w:hint="eastAsia" w:ascii="仿宋" w:hAnsi="仿宋" w:eastAsia="仿宋" w:cs="Times New Roman"/>
          <w:kern w:val="2"/>
          <w:sz w:val="32"/>
          <w:szCs w:val="32"/>
          <w:lang w:val="en-US" w:eastAsia="zh-CN" w:bidi="ar"/>
        </w:rPr>
        <w:t>今后预算编制时会更加精细。</w:t>
      </w:r>
    </w:p>
    <w:p>
      <w:pPr>
        <w:widowControl/>
        <w:spacing w:after="187" w:line="580" w:lineRule="atLeast"/>
        <w:rPr>
          <w:rFonts w:ascii="仿宋" w:hAnsi="仿宋" w:eastAsia="仿宋"/>
          <w:sz w:val="32"/>
          <w:szCs w:val="32"/>
        </w:rPr>
      </w:pPr>
      <w:r>
        <w:rPr>
          <w:rFonts w:hint="eastAsia" w:ascii="仿宋" w:hAnsi="仿宋" w:eastAsia="仿宋" w:cs="宋体"/>
          <w:b/>
          <w:bCs/>
          <w:color w:val="000000"/>
          <w:kern w:val="0"/>
          <w:sz w:val="32"/>
          <w:szCs w:val="32"/>
          <w:lang w:val="en-US" w:eastAsia="zh-CN"/>
        </w:rPr>
        <w:t>六、其他需要说明的问题：无。</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C50E2"/>
    <w:multiLevelType w:val="singleLevel"/>
    <w:tmpl w:val="1A4C50E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320E2"/>
    <w:rsid w:val="00B149F0"/>
    <w:rsid w:val="0683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2020-12-21T01:02:00Z</dcterms:created>
  <dc:creator>菲菲</dc:creator>
  <cp:lastModifiedBy>菲菲</cp:lastModifiedBy>
  <dcterms:modified xsi:type="dcterms:W3CDTF">2020-12-21T01:02:51Z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