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bCs/>
          <w:sz w:val="44"/>
          <w:szCs w:val="44"/>
        </w:rPr>
        <w:t xml:space="preserve"> </w:t>
      </w:r>
      <w:r>
        <w:rPr>
          <w:rFonts w:hint="eastAsia" w:ascii="方正小标宋简体" w:hAnsi="方正小标宋简体" w:eastAsia="方正小标宋简体" w:cs="方正小标宋简体"/>
          <w:b w:val="0"/>
          <w:bCs w:val="0"/>
          <w:sz w:val="44"/>
          <w:szCs w:val="44"/>
          <w:lang w:eastAsia="zh-CN"/>
        </w:rPr>
        <w:t>沙河市地方志</w:t>
      </w:r>
      <w:r>
        <w:rPr>
          <w:rFonts w:hint="eastAsia" w:ascii="方正小标宋简体" w:hAnsi="方正小标宋简体" w:eastAsia="方正小标宋简体" w:cs="方正小标宋简体"/>
          <w:b w:val="0"/>
          <w:bCs w:val="0"/>
          <w:sz w:val="44"/>
          <w:szCs w:val="44"/>
          <w:lang w:val="en-US" w:eastAsia="zh-CN"/>
        </w:rPr>
        <w:t>研究中心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部门</w:t>
      </w:r>
      <w:r>
        <w:rPr>
          <w:rFonts w:hint="eastAsia" w:ascii="方正小标宋简体" w:hAnsi="方正小标宋简体" w:eastAsia="方正小标宋简体" w:cs="方正小标宋简体"/>
          <w:b w:val="0"/>
          <w:bCs w:val="0"/>
          <w:sz w:val="44"/>
          <w:szCs w:val="44"/>
        </w:rPr>
        <w:t>预算信息公开情况说明</w:t>
      </w:r>
    </w:p>
    <w:p>
      <w:pPr>
        <w:jc w:val="left"/>
        <w:rPr>
          <w:rFonts w:hint="eastAsia" w:ascii="仿宋" w:hAnsi="仿宋" w:eastAsia="仿宋"/>
          <w:color w:val="000000"/>
          <w:sz w:val="32"/>
          <w:lang w:val="en-US" w:eastAsia="zh-CN"/>
        </w:rPr>
      </w:pPr>
      <w:r>
        <w:rPr>
          <w:rFonts w:hint="eastAsia" w:ascii="仿宋" w:hAnsi="仿宋" w:eastAsia="仿宋"/>
          <w:color w:val="000000"/>
          <w:sz w:val="32"/>
          <w:lang w:val="en-US" w:eastAsia="zh-CN"/>
        </w:rPr>
        <w:t xml:space="preserve">    </w:t>
      </w:r>
    </w:p>
    <w:p>
      <w:pPr>
        <w:jc w:val="left"/>
        <w:rPr>
          <w:rFonts w:hint="eastAsia" w:ascii="仿宋_GB2312" w:hAnsi="仿宋_GB2312" w:eastAsia="仿宋_GB2312"/>
          <w:sz w:val="32"/>
        </w:rPr>
      </w:pPr>
      <w:r>
        <w:rPr>
          <w:rFonts w:hint="eastAsia" w:ascii="仿宋" w:hAnsi="仿宋" w:eastAsia="仿宋"/>
          <w:color w:val="000000"/>
          <w:sz w:val="32"/>
          <w:lang w:val="en-US" w:eastAsia="zh-CN"/>
        </w:rPr>
        <w:t xml:space="preserve">    </w:t>
      </w:r>
      <w:r>
        <w:rPr>
          <w:rFonts w:hint="eastAsia" w:ascii="仿宋_GB2312" w:hAnsi="仿宋_GB2312" w:eastAsia="仿宋_GB2312"/>
          <w:color w:val="000000"/>
          <w:sz w:val="32"/>
        </w:rPr>
        <w:t>按照《</w:t>
      </w:r>
      <w:r>
        <w:rPr>
          <w:rFonts w:hint="eastAsia" w:ascii="仿宋_GB2312" w:hAnsi="仿宋_GB2312" w:eastAsia="仿宋_GB2312"/>
          <w:color w:val="000000"/>
          <w:sz w:val="32"/>
          <w:lang w:val="en-US" w:eastAsia="zh-CN"/>
        </w:rPr>
        <w:t>中华人民共和国</w:t>
      </w:r>
      <w:r>
        <w:rPr>
          <w:rFonts w:hint="eastAsia" w:ascii="仿宋_GB2312" w:hAnsi="仿宋_GB2312" w:eastAsia="仿宋_GB2312"/>
          <w:color w:val="000000"/>
          <w:sz w:val="32"/>
        </w:rPr>
        <w:t>预算法》、《地方预决算公开操作规程》</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《河北省省级预算公开办法》规定</w:t>
      </w:r>
      <w:r>
        <w:rPr>
          <w:rFonts w:hint="eastAsia" w:ascii="仿宋_GB2312" w:hAnsi="仿宋_GB2312" w:eastAsia="仿宋_GB2312"/>
          <w:color w:val="000000"/>
          <w:sz w:val="32"/>
          <w:lang w:eastAsia="zh-CN"/>
        </w:rPr>
        <w:t>和《关于做好</w:t>
      </w:r>
      <w:r>
        <w:rPr>
          <w:rFonts w:hint="eastAsia" w:ascii="仿宋_GB2312" w:hAnsi="仿宋_GB2312" w:eastAsia="仿宋_GB2312"/>
          <w:color w:val="000000"/>
          <w:sz w:val="32"/>
          <w:lang w:val="en-US" w:eastAsia="zh-CN"/>
        </w:rPr>
        <w:t>2022年单位预算公开工作的通知》的要求</w:t>
      </w:r>
      <w:r>
        <w:rPr>
          <w:rFonts w:hint="eastAsia" w:ascii="仿宋_GB2312" w:hAnsi="仿宋_GB2312" w:eastAsia="仿宋_GB2312"/>
          <w:color w:val="000000"/>
          <w:sz w:val="32"/>
        </w:rPr>
        <w:t>，现将</w:t>
      </w:r>
      <w:r>
        <w:rPr>
          <w:rFonts w:hint="eastAsia" w:ascii="仿宋_GB2312" w:hAnsi="仿宋_GB2312" w:eastAsia="仿宋_GB2312"/>
          <w:color w:val="000000"/>
          <w:sz w:val="32"/>
          <w:lang w:eastAsia="zh-CN"/>
        </w:rPr>
        <w:t>沙河市地方志</w:t>
      </w:r>
      <w:r>
        <w:rPr>
          <w:rFonts w:hint="eastAsia" w:ascii="仿宋_GB2312" w:hAnsi="仿宋_GB2312" w:eastAsia="仿宋_GB2312"/>
          <w:color w:val="000000"/>
          <w:sz w:val="32"/>
          <w:lang w:val="en-US" w:eastAsia="zh-CN"/>
        </w:rPr>
        <w:t>研究中心2022</w:t>
      </w:r>
      <w:r>
        <w:rPr>
          <w:rFonts w:hint="eastAsia" w:ascii="仿宋_GB2312" w:hAnsi="仿宋_GB2312" w:eastAsia="仿宋_GB2312"/>
          <w:color w:val="000000"/>
          <w:sz w:val="32"/>
        </w:rPr>
        <w:t>年</w:t>
      </w:r>
      <w:r>
        <w:rPr>
          <w:rFonts w:hint="eastAsia" w:ascii="仿宋_GB2312" w:hAnsi="仿宋_GB2312" w:eastAsia="仿宋_GB2312"/>
          <w:color w:val="000000"/>
          <w:sz w:val="32"/>
          <w:lang w:val="en-US" w:eastAsia="zh-CN"/>
        </w:rPr>
        <w:t>部门</w:t>
      </w:r>
      <w:r>
        <w:rPr>
          <w:rFonts w:hint="eastAsia" w:ascii="仿宋_GB2312" w:hAnsi="仿宋_GB2312" w:eastAsia="仿宋_GB2312"/>
          <w:color w:val="000000"/>
          <w:sz w:val="32"/>
        </w:rPr>
        <w:t>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w:t>
      </w:r>
      <w:r>
        <w:rPr>
          <w:rFonts w:hint="eastAsia" w:ascii="黑体" w:hAnsi="黑体" w:eastAsia="黑体" w:cs="Times New Roman"/>
          <w:sz w:val="32"/>
          <w:szCs w:val="32"/>
          <w:lang w:eastAsia="zh-CN"/>
        </w:rPr>
        <w:t>单位</w:t>
      </w:r>
      <w:r>
        <w:rPr>
          <w:rFonts w:hint="eastAsia" w:ascii="黑体" w:hAnsi="黑体" w:eastAsia="黑体" w:cs="Times New Roman"/>
          <w:sz w:val="32"/>
          <w:szCs w:val="32"/>
        </w:rPr>
        <w:t>职责及机构设置情况</w:t>
      </w:r>
    </w:p>
    <w:p>
      <w:pPr>
        <w:widowControl/>
        <w:spacing w:line="580" w:lineRule="exact"/>
        <w:ind w:firstLine="643" w:firstLineChars="200"/>
        <w:jc w:val="left"/>
        <w:rPr>
          <w:rFonts w:ascii="仿宋" w:hAnsi="仿宋" w:eastAsia="仿宋" w:cs="Times New Roman"/>
          <w:sz w:val="32"/>
          <w:szCs w:val="32"/>
        </w:rPr>
      </w:pPr>
      <w:r>
        <w:rPr>
          <w:rFonts w:hint="eastAsia" w:ascii="仿宋" w:hAnsi="仿宋" w:eastAsia="仿宋" w:cs="Times New Roman"/>
          <w:b/>
          <w:sz w:val="32"/>
          <w:szCs w:val="32"/>
          <w:lang w:val="en-US" w:eastAsia="zh-CN"/>
        </w:rPr>
        <w:t>部门</w:t>
      </w:r>
      <w:r>
        <w:rPr>
          <w:rFonts w:ascii="仿宋" w:hAnsi="仿宋" w:eastAsia="仿宋" w:cs="Times New Roman"/>
          <w:b/>
          <w:sz w:val="32"/>
          <w:szCs w:val="32"/>
        </w:rPr>
        <w:t>职责：</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组织、指导、督促和检查地方志工作；拟定地方志工作规划和编纂方案；组织编纂地方志书、地方综合年鉴；搜集、保存地方志文献和资料，组织整理旧志，推动方志理论研究；组织开发利用地方志资源。</w:t>
      </w:r>
    </w:p>
    <w:p>
      <w:pPr>
        <w:ind w:firstLine="643" w:firstLineChars="200"/>
        <w:rPr>
          <w:rFonts w:hint="eastAsia" w:ascii="仿宋" w:hAnsi="仿宋" w:eastAsia="仿宋" w:cs="Times New Roman"/>
          <w:b/>
          <w:sz w:val="32"/>
          <w:szCs w:val="32"/>
        </w:rPr>
      </w:pPr>
      <w:r>
        <w:rPr>
          <w:rFonts w:hint="eastAsia" w:ascii="仿宋" w:hAnsi="仿宋" w:eastAsia="仿宋" w:cs="Times New Roman"/>
          <w:b/>
          <w:sz w:val="32"/>
          <w:szCs w:val="32"/>
        </w:rPr>
        <w:t>机构设置：</w:t>
      </w:r>
    </w:p>
    <w:tbl>
      <w:tblPr>
        <w:tblStyle w:val="6"/>
        <w:tblW w:w="9096" w:type="dxa"/>
        <w:tblInd w:w="0" w:type="dxa"/>
        <w:tblLayout w:type="fixed"/>
        <w:tblCellMar>
          <w:top w:w="0" w:type="dxa"/>
          <w:left w:w="0" w:type="dxa"/>
          <w:bottom w:w="0" w:type="dxa"/>
          <w:right w:w="0" w:type="dxa"/>
        </w:tblCellMar>
      </w:tblPr>
      <w:tblGrid>
        <w:gridCol w:w="3229"/>
        <w:gridCol w:w="1560"/>
        <w:gridCol w:w="1685"/>
        <w:gridCol w:w="2622"/>
      </w:tblGrid>
      <w:tr>
        <w:tblPrEx>
          <w:tblCellMar>
            <w:top w:w="0" w:type="dxa"/>
            <w:left w:w="0" w:type="dxa"/>
            <w:bottom w:w="0" w:type="dxa"/>
            <w:right w:w="0" w:type="dxa"/>
          </w:tblCellMar>
        </w:tblPrEx>
        <w:trPr>
          <w:trHeight w:val="642" w:hRule="atLeast"/>
        </w:trPr>
        <w:tc>
          <w:tcPr>
            <w:tcW w:w="322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单位名称</w:t>
            </w:r>
          </w:p>
        </w:tc>
        <w:tc>
          <w:tcPr>
            <w:tcW w:w="1560"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单位性质</w:t>
            </w:r>
          </w:p>
        </w:tc>
        <w:tc>
          <w:tcPr>
            <w:tcW w:w="168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单位规格</w:t>
            </w:r>
          </w:p>
        </w:tc>
        <w:tc>
          <w:tcPr>
            <w:tcW w:w="2622"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经费保障形式</w:t>
            </w:r>
          </w:p>
        </w:tc>
      </w:tr>
      <w:tr>
        <w:tblPrEx>
          <w:tblCellMar>
            <w:top w:w="0" w:type="dxa"/>
            <w:left w:w="0" w:type="dxa"/>
            <w:bottom w:w="0" w:type="dxa"/>
            <w:right w:w="0" w:type="dxa"/>
          </w:tblCellMar>
        </w:tblPrEx>
        <w:trPr>
          <w:trHeight w:val="642" w:hRule="atLeast"/>
        </w:trPr>
        <w:tc>
          <w:tcPr>
            <w:tcW w:w="3229" w:type="dxa"/>
            <w:tcBorders>
              <w:top w:val="nil"/>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lang w:val="en-US" w:eastAsia="zh-CN"/>
              </w:rPr>
            </w:pPr>
            <w:r>
              <w:rPr>
                <w:rFonts w:hint="eastAsia" w:ascii="仿宋_GB2312" w:hAnsi="宋体" w:eastAsia="仿宋_GB2312" w:cs="仿宋_GB2312"/>
                <w:i w:val="0"/>
                <w:color w:val="auto"/>
                <w:kern w:val="0"/>
                <w:sz w:val="32"/>
                <w:szCs w:val="32"/>
                <w:u w:val="none"/>
                <w:lang w:val="en-US" w:eastAsia="zh-CN" w:bidi="ar"/>
              </w:rPr>
              <w:t>沙河市地方志研究中心</w:t>
            </w:r>
          </w:p>
        </w:tc>
        <w:tc>
          <w:tcPr>
            <w:tcW w:w="1560"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参公事业</w:t>
            </w:r>
          </w:p>
        </w:tc>
        <w:tc>
          <w:tcPr>
            <w:tcW w:w="1685"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正科级</w:t>
            </w:r>
          </w:p>
        </w:tc>
        <w:tc>
          <w:tcPr>
            <w:tcW w:w="2622"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财政拨款</w:t>
            </w:r>
          </w:p>
        </w:tc>
      </w:tr>
    </w:tbl>
    <w:p>
      <w:pPr>
        <w:ind w:firstLine="640"/>
        <w:rPr>
          <w:rFonts w:hint="eastAsia"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val="en-US" w:eastAsia="zh-CN"/>
        </w:rPr>
        <w:t>部门</w:t>
      </w:r>
      <w:r>
        <w:rPr>
          <w:rFonts w:hint="eastAsia" w:ascii="黑体" w:hAnsi="黑体" w:eastAsia="黑体" w:cs="Times New Roman"/>
          <w:sz w:val="32"/>
          <w:szCs w:val="32"/>
        </w:rPr>
        <w:t>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val="en-US" w:eastAsia="zh-CN"/>
        </w:rPr>
        <w:t>部门</w:t>
      </w:r>
      <w:r>
        <w:rPr>
          <w:rFonts w:ascii="Times New Roman" w:hAnsi="Times New Roman" w:eastAsia="仿宋" w:cs="Times New Roman"/>
          <w:sz w:val="32"/>
          <w:szCs w:val="32"/>
        </w:rPr>
        <w:t>预算的编制实行综合预算制度，即全部收入和支出都反映的预算中</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部门</w:t>
      </w:r>
      <w:r>
        <w:rPr>
          <w:rFonts w:ascii="Times New Roman" w:hAnsi="Times New Roman" w:eastAsia="仿宋" w:cs="Times New Roman"/>
          <w:sz w:val="32"/>
          <w:szCs w:val="32"/>
        </w:rPr>
        <w:t>的收支包含在</w:t>
      </w:r>
      <w:r>
        <w:rPr>
          <w:rFonts w:hint="eastAsia" w:ascii="Times New Roman" w:hAnsi="Times New Roman" w:eastAsia="仿宋" w:cs="Times New Roman"/>
          <w:sz w:val="32"/>
          <w:szCs w:val="32"/>
          <w:lang w:val="en-US" w:eastAsia="zh-CN"/>
        </w:rPr>
        <w:t>部门</w:t>
      </w:r>
      <w:r>
        <w:rPr>
          <w:rFonts w:ascii="Times New Roman" w:hAnsi="Times New Roman" w:eastAsia="仿宋" w:cs="Times New Roman"/>
          <w:sz w:val="32"/>
          <w:szCs w:val="32"/>
        </w:rPr>
        <w:t>预算中。</w:t>
      </w:r>
    </w:p>
    <w:p>
      <w:pPr>
        <w:numPr>
          <w:ilvl w:val="0"/>
          <w:numId w:val="1"/>
        </w:numPr>
        <w:ind w:left="410" w:leftChars="0" w:firstLine="640" w:firstLineChars="0"/>
        <w:rPr>
          <w:rFonts w:ascii="Times New Roman" w:hAnsi="Times New Roman" w:eastAsia="仿宋" w:cs="Times New Roman"/>
          <w:sz w:val="32"/>
          <w:szCs w:val="32"/>
        </w:rPr>
      </w:pPr>
      <w:r>
        <w:rPr>
          <w:rFonts w:ascii="Times New Roman" w:hAnsi="Times New Roman" w:eastAsia="仿宋" w:cs="Times New Roman"/>
          <w:sz w:val="32"/>
          <w:szCs w:val="32"/>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反映本部门当年全部收入。2022年预算收入68.07万元，其中：一般公共预算收入68.07万元，基金预算拨款0元。</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ascii="Times New Roman" w:hAnsi="Times New Roman" w:eastAsia="仿宋" w:cs="Times New Roman"/>
          <w:sz w:val="32"/>
          <w:szCs w:val="32"/>
        </w:rPr>
      </w:pPr>
      <w:r>
        <w:rPr>
          <w:rFonts w:hint="eastAsia" w:ascii="仿宋_GB2312" w:hAnsi="仿宋_GB2312" w:eastAsia="仿宋_GB2312" w:cs="仿宋_GB2312"/>
          <w:sz w:val="32"/>
          <w:szCs w:val="32"/>
          <w:lang w:val="en-US" w:eastAsia="zh-CN"/>
        </w:rPr>
        <w:t>2、</w:t>
      </w:r>
      <w:r>
        <w:rPr>
          <w:rFonts w:ascii="Times New Roman" w:hAnsi="Times New Roman" w:eastAsia="仿宋" w:cs="Times New Roman"/>
          <w:sz w:val="32"/>
          <w:szCs w:val="32"/>
        </w:rPr>
        <w:t>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ascii="Times New Roman" w:hAnsi="Times New Roman" w:eastAsia="仿宋" w:cs="Times New Roman"/>
          <w:sz w:val="32"/>
          <w:szCs w:val="32"/>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沙河市地方志研究中心2022年度部门预算中支出预算的总体情况。2022年支出预算68.07万元，其中基本支出68.07万元，包括人员经费59.93万元，正常公用经费5.44万元，项目支出2.7万元，全部为本级支出的地方志工作运转经费。</w:t>
      </w:r>
    </w:p>
    <w:p>
      <w:pPr>
        <w:numPr>
          <w:ilvl w:val="0"/>
          <w:numId w:val="0"/>
        </w:numPr>
        <w:ind w:firstLine="640" w:firstLineChars="200"/>
        <w:rPr>
          <w:rFonts w:hint="default" w:ascii="Times New Roman" w:hAnsi="Times New Roman" w:eastAsia="仿宋" w:cs="Times New Roman"/>
          <w:sz w:val="32"/>
          <w:szCs w:val="32"/>
          <w:lang w:val="en-US"/>
        </w:rPr>
      </w:pP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比上年增减情况</w:t>
      </w:r>
      <w:r>
        <w:rPr>
          <w:rFonts w:hint="eastAsia" w:ascii="Times New Roman" w:hAnsi="Times New Roman" w:eastAsia="仿宋"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ascii="Times New Roman" w:hAnsi="Times New Roman" w:eastAsia="仿宋" w:cs="Times New Roman"/>
          <w:sz w:val="32"/>
          <w:szCs w:val="32"/>
        </w:rPr>
      </w:pPr>
      <w:r>
        <w:rPr>
          <w:rFonts w:hint="eastAsia" w:ascii="仿宋_GB2312" w:hAnsi="仿宋_GB2312" w:eastAsia="仿宋_GB2312" w:cs="仿宋_GB2312"/>
          <w:sz w:val="32"/>
          <w:szCs w:val="32"/>
          <w:lang w:val="en-US" w:eastAsia="zh-CN"/>
        </w:rPr>
        <w:t>2022年预算收支安排68.07万元，较2021年预算增加4.74万元，其中，人员经费增加4.73万，正常公用经费增加0.01万元，主要原因是人员工作基数上调随之工资费用的增加。项目支出同2021年一样无增减变化。</w:t>
      </w:r>
    </w:p>
    <w:p>
      <w:pPr>
        <w:numPr>
          <w:ilvl w:val="0"/>
          <w:numId w:val="2"/>
        </w:numPr>
        <w:ind w:left="800" w:leftChars="0" w:firstLine="0" w:firstLineChars="0"/>
        <w:rPr>
          <w:rFonts w:hint="eastAsia" w:ascii="黑体" w:hAnsi="黑体" w:eastAsia="黑体" w:cs="Times New Roman"/>
          <w:sz w:val="32"/>
          <w:szCs w:val="32"/>
        </w:rPr>
      </w:pPr>
      <w:r>
        <w:rPr>
          <w:rFonts w:hint="eastAsia" w:ascii="黑体" w:hAnsi="黑体" w:eastAsia="黑体" w:cs="Times New Roman"/>
          <w:sz w:val="32"/>
          <w:szCs w:val="32"/>
        </w:rPr>
        <w:t>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Times New Roman"/>
          <w:sz w:val="32"/>
          <w:szCs w:val="32"/>
        </w:rPr>
      </w:pPr>
      <w:r>
        <w:rPr>
          <w:rFonts w:hint="eastAsia" w:ascii="仿宋_GB2312" w:hAnsi="仿宋_GB2312" w:eastAsia="仿宋_GB2312" w:cs="仿宋_GB2312"/>
          <w:sz w:val="32"/>
          <w:szCs w:val="32"/>
          <w:lang w:val="en-US" w:eastAsia="zh-CN"/>
        </w:rPr>
        <w:t>机关运行经费安排5.44万元，主要用于机关正常运转、交通补贴等日常运行支出。</w:t>
      </w:r>
    </w:p>
    <w:p>
      <w:pPr>
        <w:numPr>
          <w:ilvl w:val="0"/>
          <w:numId w:val="2"/>
        </w:numPr>
        <w:autoSpaceDE w:val="0"/>
        <w:autoSpaceDN w:val="0"/>
        <w:adjustRightInd w:val="0"/>
        <w:ind w:left="800" w:leftChars="0" w:firstLine="0" w:firstLineChars="0"/>
        <w:jc w:val="left"/>
        <w:rPr>
          <w:rFonts w:hint="eastAsia" w:ascii="黑体" w:hAnsi="黑体" w:eastAsia="黑体" w:cs="Times New Roman"/>
          <w:sz w:val="32"/>
          <w:szCs w:val="32"/>
        </w:rPr>
      </w:pPr>
      <w:r>
        <w:rPr>
          <w:rFonts w:hint="eastAsia" w:ascii="黑体" w:hAnsi="黑体" w:eastAsia="黑体" w:cs="Times New Roman"/>
          <w:sz w:val="32"/>
          <w:szCs w:val="32"/>
        </w:rPr>
        <w:t>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numPr>
          <w:ilvl w:val="0"/>
          <w:numId w:val="0"/>
        </w:numPr>
        <w:autoSpaceDE w:val="0"/>
        <w:autoSpaceDN w:val="0"/>
        <w:adjustRightInd w:val="0"/>
        <w:ind w:firstLine="640" w:firstLineChars="200"/>
        <w:jc w:val="left"/>
        <w:rPr>
          <w:rFonts w:hint="eastAsia" w:ascii="仿宋_GB2312" w:hAnsi="仿宋_GB2312" w:eastAsia="仿宋_GB2312" w:cs="Times New Roman"/>
          <w:sz w:val="32"/>
          <w:szCs w:val="32"/>
          <w:lang w:eastAsia="zh-CN"/>
        </w:rPr>
      </w:pPr>
      <w:r>
        <w:rPr>
          <w:rFonts w:hint="eastAsia" w:ascii="仿宋_GB2312" w:hAnsi="仿宋_GB2312" w:eastAsia="仿宋_GB2312" w:cs="仿宋_GB2312"/>
          <w:sz w:val="32"/>
          <w:szCs w:val="32"/>
          <w:lang w:val="en-US" w:eastAsia="zh-CN"/>
        </w:rPr>
        <w:t>2022年，我部门“三公”经费预算安排0万元，其中因公出国（境）费0元；公务用车购置及运维费0万元；公务接待费0万元。</w:t>
      </w:r>
      <w:r>
        <w:rPr>
          <w:rFonts w:hint="eastAsia" w:ascii="仿宋_GB2312" w:hAnsi="仿宋_GB2312" w:eastAsia="仿宋_GB2312" w:cs="Times New Roman"/>
          <w:sz w:val="32"/>
          <w:szCs w:val="32"/>
          <w:lang w:eastAsia="zh-CN"/>
        </w:rPr>
        <w:t>“三公”经费</w:t>
      </w:r>
      <w:r>
        <w:rPr>
          <w:rFonts w:hint="eastAsia" w:ascii="仿宋_GB2312" w:hAnsi="仿宋_GB2312" w:eastAsia="仿宋_GB2312" w:cs="Times New Roman"/>
          <w:sz w:val="32"/>
          <w:szCs w:val="32"/>
        </w:rPr>
        <w:t>与</w:t>
      </w:r>
      <w:r>
        <w:rPr>
          <w:rFonts w:hint="eastAsia" w:ascii="仿宋_GB2312" w:hAnsi="仿宋_GB2312" w:eastAsia="仿宋_GB2312" w:cs="Times New Roman"/>
          <w:sz w:val="32"/>
          <w:szCs w:val="32"/>
          <w:lang w:eastAsia="zh-CN"/>
        </w:rPr>
        <w:t>2021</w:t>
      </w:r>
      <w:r>
        <w:rPr>
          <w:rFonts w:hint="eastAsia" w:ascii="仿宋_GB2312" w:hAnsi="仿宋_GB2312" w:eastAsia="仿宋_GB2312" w:cs="Times New Roman"/>
          <w:sz w:val="32"/>
          <w:szCs w:val="32"/>
        </w:rPr>
        <w:t>年</w:t>
      </w:r>
      <w:r>
        <w:rPr>
          <w:rFonts w:hint="eastAsia" w:ascii="仿宋_GB2312" w:hAnsi="仿宋_GB2312" w:eastAsia="仿宋_GB2312" w:cs="Times New Roman"/>
          <w:sz w:val="32"/>
          <w:szCs w:val="32"/>
          <w:lang w:eastAsia="zh-CN"/>
        </w:rPr>
        <w:t>持平，无增减变化。</w:t>
      </w:r>
    </w:p>
    <w:p>
      <w:pPr>
        <w:numPr>
          <w:ilvl w:val="0"/>
          <w:numId w:val="0"/>
        </w:numPr>
        <w:autoSpaceDE w:val="0"/>
        <w:autoSpaceDN w:val="0"/>
        <w:adjustRightInd w:val="0"/>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绩效预算信息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32"/>
          <w:szCs w:val="32"/>
        </w:rPr>
      </w:pPr>
      <w:r>
        <w:rPr>
          <w:rFonts w:hint="eastAsia" w:ascii="楷体" w:hAnsi="楷体" w:eastAsia="楷体" w:cs="楷体"/>
          <w:sz w:val="32"/>
          <w:szCs w:val="32"/>
          <w:lang w:eastAsia="zh-CN"/>
        </w:rPr>
        <w:t>第一部分</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单位</w:t>
      </w:r>
      <w:r>
        <w:rPr>
          <w:rFonts w:hint="eastAsia" w:ascii="楷体" w:hAnsi="楷体" w:eastAsia="楷体" w:cs="楷体"/>
          <w:sz w:val="32"/>
          <w:szCs w:val="32"/>
        </w:rPr>
        <w:t>整体绩效目标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总体绩效目标：</w:t>
      </w:r>
      <w:r>
        <w:rPr>
          <w:rFonts w:hint="eastAsia" w:ascii="仿宋" w:hAnsi="仿宋" w:eastAsia="仿宋" w:cs="仿宋"/>
          <w:sz w:val="32"/>
          <w:szCs w:val="32"/>
        </w:rPr>
        <w:t>在沙河市委、市政府的正确领导下，在省、市方志办的具体指导下，深入贯彻党的十九大和十九届二中、三中、四中、五中全会精神，坚持以马克思列宁主义、毛泽东思想、邓小平理论、“三个代表”重要思想、科学发展观、习近平新时代中国特色社会主义思想为指导，认真开展“不忘初心</w:t>
      </w:r>
      <w:r>
        <w:rPr>
          <w:rFonts w:hint="eastAsia" w:ascii="仿宋" w:hAnsi="仿宋" w:eastAsia="仿宋" w:cs="仿宋"/>
          <w:sz w:val="32"/>
          <w:szCs w:val="32"/>
          <w:lang w:eastAsia="zh-CN"/>
        </w:rPr>
        <w:t>、</w:t>
      </w:r>
      <w:r>
        <w:rPr>
          <w:rFonts w:hint="eastAsia" w:ascii="仿宋" w:hAnsi="仿宋" w:eastAsia="仿宋" w:cs="仿宋"/>
          <w:sz w:val="32"/>
          <w:szCs w:val="32"/>
        </w:rPr>
        <w:t>牢记使命”主题教育，全面实施国务院《地方志工作条例》,紧紧围绕年初制定的工作目标，将质量意识贯穿于修志编鉴工作全过程,以地方志“两全目标”工作为重点,着力推进志鉴编纂并合理有序地开发利用方志资源,开拓创新求突破，凝心聚力抓落实。弘扬和传承优秀文化传统，充分发挥志书“资政、存史、教化”的综合功能，为社会各界方便快捷提供市情，为沙河市经济社会建设服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3" w:firstLineChars="200"/>
        <w:jc w:val="left"/>
        <w:textAlignment w:val="auto"/>
        <w:outlineLvl w:val="1"/>
        <w:rPr>
          <w:rFonts w:hint="eastAsia" w:ascii="仿宋" w:hAnsi="仿宋" w:eastAsia="仿宋" w:cs="仿宋"/>
          <w:b/>
          <w:bCs/>
          <w:sz w:val="32"/>
          <w:szCs w:val="32"/>
        </w:rPr>
      </w:pPr>
      <w:bookmarkStart w:id="0" w:name="_Toc67381037"/>
      <w:r>
        <w:rPr>
          <w:rFonts w:hint="eastAsia" w:ascii="仿宋" w:hAnsi="仿宋" w:eastAsia="仿宋" w:cs="仿宋"/>
          <w:b/>
          <w:bCs/>
          <w:sz w:val="32"/>
          <w:szCs w:val="32"/>
        </w:rPr>
        <w:t>分项绩效目标</w:t>
      </w:r>
      <w:bookmarkEnd w:id="0"/>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TC 分项绩效目标 \f A \l 1 </w:instrText>
      </w:r>
      <w:r>
        <w:rPr>
          <w:rFonts w:hint="eastAsia" w:ascii="仿宋" w:hAnsi="仿宋" w:eastAsia="仿宋" w:cs="仿宋"/>
          <w:b/>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绩效目标：组织开展地方志工作提供技术指导；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绩效指标：拟订方志工作规划分析、论证工作。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绩效目标：组织编纂地方志书、地方综合年鉴；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绩效指标：保存地方志文献资料，组织整理旧志。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绩效目标：推动方志理论研究；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绩效指标：组织开发利用地方志资源。</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工作保障措施 \f A \l 1 </w:instrTex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工作保障措施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（一）完善制度建设。</w:t>
      </w:r>
      <w:r>
        <w:rPr>
          <w:rFonts w:hint="eastAsia" w:ascii="仿宋" w:hAnsi="仿宋" w:eastAsia="仿宋" w:cs="仿宋"/>
          <w:sz w:val="32"/>
          <w:szCs w:val="32"/>
          <w:lang w:val="en-US" w:eastAsia="zh-CN"/>
        </w:rPr>
        <w:t>地</w:t>
      </w:r>
      <w:r>
        <w:rPr>
          <w:rFonts w:hint="eastAsia" w:ascii="仿宋" w:hAnsi="仿宋" w:eastAsia="仿宋" w:cs="仿宋"/>
          <w:sz w:val="32"/>
          <w:szCs w:val="32"/>
        </w:rPr>
        <w:t>方志研究中心制定了完善预算绩效管理制度、资金管理办法、工作保障制度等，建立健全预算编制、审批、执行、决算与评价等预算内部管理制度，为全年预算绩效目标的实现奠定制度基础。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加强支出管理。建立健全收入、支出内部管理制度；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（三）加强绩效运行监控。</w:t>
      </w:r>
      <w:r>
        <w:rPr>
          <w:rFonts w:hint="eastAsia" w:ascii="仿宋" w:hAnsi="仿宋" w:eastAsia="仿宋" w:cs="仿宋"/>
          <w:sz w:val="32"/>
          <w:szCs w:val="32"/>
          <w:lang w:val="en-US" w:eastAsia="zh-CN"/>
        </w:rPr>
        <w:t>地</w:t>
      </w:r>
      <w:r>
        <w:rPr>
          <w:rFonts w:hint="eastAsia" w:ascii="仿宋" w:hAnsi="仿宋" w:eastAsia="仿宋" w:cs="仿宋"/>
          <w:sz w:val="32"/>
          <w:szCs w:val="32"/>
        </w:rPr>
        <w:t>方志研究中心共按要求开展绩效运行监控，发现问题并及时采取措施，确保绩效目标如期保质实现。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（四）做好绩效自评。按要求开展年度</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_GBK" w:eastAsia="方正小标宋_GBK"/>
          <w:sz w:val="30"/>
          <w:szCs w:val="30"/>
        </w:rPr>
      </w:pPr>
      <w:r>
        <w:rPr>
          <w:rFonts w:hint="eastAsia" w:ascii="仿宋" w:hAnsi="仿宋" w:eastAsia="仿宋" w:cs="仿宋"/>
          <w:sz w:val="32"/>
          <w:szCs w:val="32"/>
        </w:rPr>
        <w:t>（七）加强宣传培训调研等。方志研究中心将加强人员培训，提高本</w:t>
      </w:r>
      <w:r>
        <w:rPr>
          <w:rFonts w:hint="eastAsia" w:ascii="仿宋" w:hAnsi="仿宋" w:eastAsia="仿宋" w:cs="仿宋"/>
          <w:sz w:val="32"/>
          <w:szCs w:val="32"/>
          <w:lang w:eastAsia="zh-CN"/>
        </w:rPr>
        <w:t>单位</w:t>
      </w:r>
      <w:r>
        <w:rPr>
          <w:rFonts w:hint="eastAsia" w:ascii="仿宋" w:hAnsi="仿宋" w:eastAsia="仿宋" w:cs="仿宋"/>
          <w:sz w:val="32"/>
          <w:szCs w:val="32"/>
        </w:rPr>
        <w:t>职工业务素质；加强调研，提出优化财政资金配置、提高资金使用效益的</w:t>
      </w:r>
      <w:bookmarkStart w:id="2" w:name="_GoBack"/>
      <w:bookmarkEnd w:id="2"/>
      <w:r>
        <w:rPr>
          <w:rFonts w:hint="eastAsia" w:ascii="仿宋" w:hAnsi="仿宋" w:eastAsia="仿宋" w:cs="仿宋"/>
          <w:sz w:val="32"/>
          <w:szCs w:val="32"/>
        </w:rPr>
        <w:t>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30"/>
          <w:szCs w:val="30"/>
        </w:rPr>
      </w:pPr>
    </w:p>
    <w:p>
      <w:pPr>
        <w:jc w:val="center"/>
        <w:rPr>
          <w:rFonts w:hint="eastAsia" w:ascii="方正小标宋_GBK" w:eastAsia="方正小标宋_GBK"/>
          <w:sz w:val="30"/>
          <w:szCs w:val="30"/>
        </w:rPr>
      </w:pPr>
    </w:p>
    <w:p>
      <w:pPr>
        <w:jc w:val="center"/>
        <w:rPr>
          <w:rFonts w:hAnsi="宋体"/>
        </w:rPr>
      </w:pPr>
      <w:r>
        <w:rPr>
          <w:rFonts w:hint="eastAsia" w:ascii="楷体" w:hAnsi="楷体" w:eastAsia="楷体" w:cs="楷体"/>
          <w:sz w:val="30"/>
          <w:szCs w:val="30"/>
        </w:rPr>
        <w:t>第二部分 预算项目绩效目标</w:t>
      </w:r>
      <w:r>
        <w:rPr>
          <w:rFonts w:ascii="方正书宋_GBK" w:eastAsia="方正书宋_GBK"/>
        </w:rPr>
        <w:t xml:space="preserve"> </w:t>
      </w:r>
    </w:p>
    <w:p>
      <w:pPr>
        <w:jc w:val="center"/>
        <w:sectPr>
          <w:footerReference r:id="rId3" w:type="default"/>
          <w:pgSz w:w="11907" w:h="16839"/>
          <w:pgMar w:top="1984" w:right="1304" w:bottom="1134" w:left="1304" w:header="851" w:footer="992" w:gutter="0"/>
          <w:cols w:space="425" w:num="1"/>
          <w:docGrid w:type="lines" w:linePitch="312" w:charSpace="0"/>
        </w:sectPr>
      </w:pPr>
    </w:p>
    <w:p>
      <w:pPr>
        <w:jc w:val="center"/>
      </w:pPr>
    </w:p>
    <w:p>
      <w:pPr>
        <w:ind w:firstLine="560" w:firstLineChars="200"/>
        <w:jc w:val="left"/>
        <w:outlineLvl w:val="3"/>
        <w:rPr>
          <w:rFonts w:hAnsi="宋体"/>
          <w:b/>
          <w:sz w:val="28"/>
        </w:rPr>
      </w:pPr>
      <w:bookmarkStart w:id="1" w:name="_Toc67381039"/>
      <w:r>
        <w:rPr>
          <w:rFonts w:hint="eastAsia" w:ascii="方正仿宋_GBK" w:eastAsia="方正仿宋_GBK"/>
          <w:b/>
          <w:sz w:val="28"/>
        </w:rPr>
        <w:t>1.方志业务经费绩效目标表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1、方志业务经费绩效目标表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152002沙河市地方志研究中心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13058221UWK3XIRM81K8C</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方志业务经费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沙河年鉴的编纂印刷出版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lang w:val="en-US" w:eastAsia="zh-CN"/>
              </w:rPr>
              <w:t>50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lang w:val="en-US" w:eastAsia="zh-CN"/>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1.《沙河年鉴（20</w:t>
            </w:r>
            <w:r>
              <w:rPr>
                <w:rFonts w:hint="eastAsia" w:ascii="方正书宋_GBK" w:eastAsia="方正书宋_GBK"/>
                <w:lang w:val="en-US" w:eastAsia="zh-CN"/>
              </w:rPr>
              <w:t>19</w:t>
            </w:r>
            <w:r>
              <w:rPr>
                <w:rFonts w:hint="eastAsia" w:ascii="方正书宋_GBK" w:eastAsia="方正书宋_GBK"/>
              </w:rPr>
              <w:t>）》出版印刷发行</w:t>
            </w:r>
          </w:p>
          <w:p>
            <w:pPr>
              <w:spacing w:line="300" w:lineRule="exact"/>
              <w:jc w:val="left"/>
              <w:rPr>
                <w:rFonts w:hint="eastAsia" w:ascii="方正书宋_GBK" w:eastAsia="方正书宋_GBK"/>
              </w:rPr>
            </w:pPr>
            <w:r>
              <w:rPr>
                <w:rFonts w:hint="eastAsia" w:ascii="方正书宋_GBK" w:eastAsia="方正书宋_GBK"/>
              </w:rPr>
              <w:t>2.《沙河年鉴（2</w:t>
            </w:r>
            <w:r>
              <w:rPr>
                <w:rFonts w:hint="eastAsia" w:ascii="方正书宋_GBK" w:eastAsia="方正书宋_GBK"/>
                <w:lang w:val="en-US" w:eastAsia="zh-CN"/>
              </w:rPr>
              <w:t>021</w:t>
            </w:r>
            <w:r>
              <w:rPr>
                <w:rFonts w:hint="eastAsia" w:ascii="方正书宋_GBK" w:eastAsia="方正书宋_GBK"/>
              </w:rPr>
              <w:t>）》出版印刷发行</w:t>
            </w:r>
          </w:p>
          <w:p>
            <w:pPr>
              <w:spacing w:line="300" w:lineRule="exact"/>
              <w:jc w:val="left"/>
              <w:rPr>
                <w:rFonts w:ascii="方正书宋_GBK" w:eastAsia="方正书宋_GBK"/>
              </w:rPr>
            </w:pPr>
            <w:r>
              <w:rPr>
                <w:rFonts w:hint="eastAsia" w:ascii="方正书宋_GBK" w:eastAsia="方正书宋_GBK"/>
              </w:rPr>
              <w:t>3.《沙河年鉴（</w:t>
            </w:r>
            <w:r>
              <w:rPr>
                <w:rFonts w:hint="eastAsia" w:ascii="方正书宋_GBK" w:eastAsia="方正书宋_GBK"/>
                <w:lang w:eastAsia="zh-CN"/>
              </w:rPr>
              <w:t>2022</w:t>
            </w:r>
            <w:r>
              <w:rPr>
                <w:rFonts w:hint="eastAsia" w:ascii="方正书宋_GBK" w:eastAsia="方正书宋_GBK"/>
              </w:rPr>
              <w:t>）》出版印刷发行</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按量完成《沙河年鉴》出版印刷册数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≥600《沙河年鉴》出版印刷产出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按照要求完成比例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≥98《沙河年鉴》出版印刷完成率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《沙河年鉴》完成时间</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&lt;98</w:t>
            </w:r>
            <w:r>
              <w:rPr>
                <w:rFonts w:hint="eastAsia" w:ascii="方正书宋_GBK" w:eastAsia="方正书宋_GBK"/>
                <w:lang w:eastAsia="zh-CN"/>
              </w:rPr>
              <w:t>2022</w:t>
            </w:r>
            <w:r>
              <w:rPr>
                <w:rFonts w:hint="eastAsia" w:ascii="方正书宋_GBK" w:eastAsia="方正书宋_GBK"/>
              </w:rPr>
              <w:t>年12月31日前完成</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≤90厉行节俭、节约成本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全省文化产业对国民经济发展的贡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反映文化产业对经济发展的拉动作用</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≥95全面记录沙河社会各个行业领域在经济发展所取得的成绩</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促进文化事业发展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≥96对外界了解沙河市所起的作用</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年鉴使用年限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≥20年鉴印刷对读者影响力</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调查满意的人数占调查总人数的比例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≥96服务对象对年鉴满意度</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《地方志工作条例》</w:t>
            </w:r>
          </w:p>
        </w:tc>
      </w:tr>
    </w:tbl>
    <w:p>
      <w:pPr>
        <w:numPr>
          <w:ilvl w:val="0"/>
          <w:numId w:val="0"/>
        </w:numPr>
        <w:autoSpaceDE w:val="0"/>
        <w:autoSpaceDN w:val="0"/>
        <w:adjustRightInd w:val="0"/>
        <w:jc w:val="left"/>
        <w:rPr>
          <w:rFonts w:hint="eastAsia" w:ascii="黑体" w:hAnsi="黑体" w:eastAsia="黑体" w:cs="Times New Roman"/>
          <w:sz w:val="32"/>
          <w:szCs w:val="32"/>
        </w:rPr>
      </w:pPr>
    </w:p>
    <w:p>
      <w:pPr>
        <w:numPr>
          <w:ilvl w:val="0"/>
          <w:numId w:val="0"/>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政府采购预算情况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ascii="黑体" w:hAnsi="黑体" w:eastAsia="黑体" w:cs="Times New Roman"/>
          <w:sz w:val="32"/>
          <w:szCs w:val="32"/>
        </w:rPr>
      </w:pPr>
      <w:r>
        <w:rPr>
          <w:rFonts w:hint="eastAsia" w:ascii="仿宋_GB2312" w:hAnsi="仿宋_GB2312" w:eastAsia="仿宋_GB2312" w:cs="仿宋_GB2312"/>
          <w:sz w:val="32"/>
          <w:szCs w:val="32"/>
          <w:lang w:val="en-US" w:eastAsia="zh-CN"/>
        </w:rPr>
        <w:t>2022年，我部门未安排政府采购预算。</w:t>
      </w:r>
    </w:p>
    <w:p>
      <w:pPr>
        <w:numPr>
          <w:ilvl w:val="0"/>
          <w:numId w:val="0"/>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eastAsia="zh-CN"/>
        </w:rPr>
        <w:t>七、</w:t>
      </w:r>
      <w:r>
        <w:rPr>
          <w:rFonts w:hint="eastAsia" w:ascii="黑体" w:hAnsi="黑体" w:eastAsia="黑体" w:cs="Times New Roman"/>
          <w:sz w:val="32"/>
          <w:szCs w:val="32"/>
        </w:rPr>
        <w:t>国有资产信息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沙河市地方志研究中心上年末固定资产金额为0.1万元，</w:t>
      </w:r>
      <w:r>
        <w:rPr>
          <w:rFonts w:hint="eastAsia" w:ascii="仿宋_GB2312" w:hAnsi="仿宋_GB2312" w:eastAsia="仿宋_GB2312" w:cs="仿宋_GB2312"/>
          <w:kern w:val="2"/>
          <w:sz w:val="32"/>
          <w:szCs w:val="32"/>
          <w:lang w:val="en-US" w:eastAsia="zh-CN" w:bidi="ar"/>
        </w:rPr>
        <w:t>其中房屋面积0平方米，价值0万元；车辆0辆，价值0万元，其他固定资产价值0.1万元。</w:t>
      </w:r>
    </w:p>
    <w:p>
      <w:pPr>
        <w:numPr>
          <w:ilvl w:val="0"/>
          <w:numId w:val="0"/>
        </w:numPr>
        <w:autoSpaceDE w:val="0"/>
        <w:autoSpaceDN w:val="0"/>
        <w:adjustRightInd w:val="0"/>
        <w:ind w:leftChars="200"/>
        <w:jc w:val="left"/>
        <w:rPr>
          <w:rFonts w:ascii="黑体" w:hAnsi="黑体" w:eastAsia="黑体" w:cs="Times New Roman"/>
          <w:sz w:val="32"/>
          <w:szCs w:val="32"/>
        </w:rPr>
      </w:pPr>
      <w:r>
        <w:rPr>
          <w:rFonts w:hint="eastAsia" w:ascii="仿宋_GB2312" w:hAnsi="仿宋_GB2312" w:eastAsia="仿宋_GB2312" w:cs="仿宋_GB2312"/>
          <w:sz w:val="32"/>
          <w:szCs w:val="32"/>
          <w:lang w:val="en-US" w:eastAsia="zh-CN"/>
        </w:rPr>
        <w:t>本年度无拟购置固定资产。</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八、名词解释</w:t>
      </w:r>
    </w:p>
    <w:p>
      <w:pPr>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lang w:val="en-US" w:eastAsia="zh-CN"/>
        </w:rPr>
        <w:t xml:space="preserve">    </w:t>
      </w:r>
      <w:r>
        <w:rPr>
          <w:rFonts w:hint="eastAsia" w:ascii="仿宋_GB2312" w:hAnsi="仿宋_GB2312" w:eastAsia="仿宋_GB2312"/>
          <w:b w:val="0"/>
          <w:bCs/>
          <w:color w:val="000000"/>
          <w:sz w:val="32"/>
        </w:rPr>
        <w:t>1、一般公共预算拨款收入：指市级财政当年拨付的资金。</w:t>
      </w:r>
    </w:p>
    <w:p>
      <w:pPr>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lang w:eastAsia="zh-CN"/>
        </w:rPr>
        <w:tab/>
      </w:r>
      <w:r>
        <w:rPr>
          <w:rFonts w:hint="eastAsia" w:ascii="仿宋_GB2312" w:hAnsi="仿宋_GB2312" w:eastAsia="仿宋_GB2312"/>
          <w:b w:val="0"/>
          <w:bCs/>
          <w:color w:val="000000"/>
          <w:sz w:val="32"/>
          <w:lang w:val="en-US" w:eastAsia="zh-CN"/>
        </w:rPr>
        <w:t xml:space="preserve">  </w:t>
      </w:r>
      <w:r>
        <w:rPr>
          <w:rFonts w:hint="eastAsia" w:ascii="仿宋_GB2312" w:hAnsi="仿宋_GB2312" w:eastAsia="仿宋_GB2312"/>
          <w:b w:val="0"/>
          <w:bCs/>
          <w:color w:val="000000"/>
          <w:sz w:val="32"/>
        </w:rPr>
        <w:t>2、事业收入：指事业单位开展专业业务活动及辅助活动所取得的收入。</w:t>
      </w:r>
    </w:p>
    <w:p>
      <w:pPr>
        <w:autoSpaceDE w:val="0"/>
        <w:autoSpaceDN w:val="0"/>
        <w:ind w:firstLine="704" w:firstLineChars="220"/>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rPr>
        <w:t>3、其他收入：指除上述“财政拨款收入”、“事业收入”等以外的收入。</w:t>
      </w:r>
    </w:p>
    <w:p>
      <w:pPr>
        <w:autoSpaceDE w:val="0"/>
        <w:autoSpaceDN w:val="0"/>
        <w:ind w:firstLine="704" w:firstLineChars="220"/>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rPr>
        <w:t>4、基本支出：指为保障机构正常运转、完成日常工作任务而发生的人员支出和公用支出。</w:t>
      </w:r>
    </w:p>
    <w:p>
      <w:pPr>
        <w:autoSpaceDE w:val="0"/>
        <w:autoSpaceDN w:val="0"/>
        <w:ind w:firstLine="704" w:firstLineChars="220"/>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rPr>
        <w:t>5、项目支出：指在基本支出之外为完成特定行政任务和事业发展目标所发生的支出。</w:t>
      </w:r>
    </w:p>
    <w:p>
      <w:pPr>
        <w:autoSpaceDE w:val="0"/>
        <w:autoSpaceDN w:val="0"/>
        <w:ind w:firstLine="704" w:firstLineChars="220"/>
        <w:rPr>
          <w:rFonts w:hint="eastAsia" w:ascii="仿宋_GB2312" w:hAnsi="仿宋_GB2312" w:eastAsia="仿宋_GB2312"/>
          <w:b w:val="0"/>
          <w:bCs/>
          <w:color w:val="000000"/>
          <w:sz w:val="32"/>
        </w:rPr>
      </w:pPr>
      <w:r>
        <w:rPr>
          <w:rFonts w:hint="eastAsia" w:ascii="仿宋_GB2312" w:hAnsi="仿宋_GB2312" w:eastAsia="仿宋_GB2312"/>
          <w:b w:val="0"/>
          <w:bCs/>
          <w:color w:val="000000"/>
          <w:sz w:val="32"/>
        </w:rPr>
        <w:t>6、上缴上级支出：指所属单位上缴上级的支出。</w:t>
      </w:r>
    </w:p>
    <w:p>
      <w:pPr>
        <w:autoSpaceDE w:val="0"/>
        <w:autoSpaceDN w:val="0"/>
        <w:ind w:firstLine="704" w:firstLineChars="220"/>
        <w:rPr>
          <w:rFonts w:hint="eastAsia" w:ascii="仿宋_GB2312" w:hAnsi="仿宋_GB2312" w:eastAsia="仿宋_GB2312"/>
          <w:color w:val="000000"/>
          <w:sz w:val="32"/>
        </w:rPr>
      </w:pPr>
      <w:r>
        <w:rPr>
          <w:rFonts w:hint="eastAsia" w:ascii="仿宋_GB2312" w:hAnsi="仿宋_GB2312" w:eastAsia="仿宋_GB2312"/>
          <w:b w:val="0"/>
          <w:bCs/>
          <w:color w:val="000000"/>
          <w:sz w:val="32"/>
        </w:rPr>
        <w:t>7、“三公”</w:t>
      </w:r>
      <w:r>
        <w:rPr>
          <w:rFonts w:hint="eastAsia" w:ascii="仿宋_GB2312" w:hAnsi="仿宋_GB2312" w:eastAsia="仿宋_GB2312"/>
          <w:color w:val="000000"/>
          <w:sz w:val="32"/>
        </w:rPr>
        <w:t>经费：纳入市级财政预算管理的“三公”经费，是指市级</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支出。</w:t>
      </w:r>
    </w:p>
    <w:p>
      <w:pPr>
        <w:ind w:firstLine="704" w:firstLineChars="220"/>
        <w:rPr>
          <w:rFonts w:hint="eastAsia" w:ascii="仿宋_GB2312" w:hAnsi="仿宋_GB2312" w:eastAsia="仿宋_GB2312"/>
          <w:color w:val="000000"/>
          <w:sz w:val="32"/>
        </w:rPr>
      </w:pPr>
      <w:r>
        <w:rPr>
          <w:rFonts w:hint="eastAsia" w:ascii="仿宋_GB2312" w:hAnsi="仿宋_GB2312" w:eastAsia="仿宋_GB2312"/>
          <w:b w:val="0"/>
          <w:bCs/>
          <w:color w:val="000000"/>
          <w:sz w:val="32"/>
        </w:rPr>
        <w:t>8、</w:t>
      </w:r>
      <w:r>
        <w:rPr>
          <w:rFonts w:hint="eastAsia" w:ascii="仿宋_GB2312" w:hAnsi="仿宋_GB2312" w:eastAsia="仿宋_GB2312"/>
          <w:color w:val="000000"/>
          <w:sz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ind w:firstLine="640" w:firstLineChars="200"/>
        <w:rPr>
          <w:rFonts w:hint="eastAsia" w:ascii="黑体" w:hAnsi="黑体" w:eastAsia="黑体" w:cs="黑体"/>
          <w:b w:val="0"/>
          <w:bCs/>
          <w:color w:val="000000"/>
          <w:sz w:val="32"/>
        </w:rPr>
      </w:pPr>
      <w:r>
        <w:rPr>
          <w:rFonts w:hint="eastAsia" w:ascii="黑体" w:hAnsi="黑体" w:eastAsia="黑体" w:cs="黑体"/>
          <w:b w:val="0"/>
          <w:bCs/>
          <w:color w:val="000000"/>
          <w:sz w:val="32"/>
        </w:rPr>
        <w:t>九、其他需说明事项</w:t>
      </w:r>
    </w:p>
    <w:p>
      <w:pPr>
        <w:ind w:firstLine="480" w:firstLineChars="150"/>
        <w:rPr>
          <w:rFonts w:hint="eastAsia" w:ascii="仿宋_GB2312" w:hAnsi="仿宋_GB2312" w:eastAsia="仿宋_GB2312"/>
          <w:color w:val="000000"/>
          <w:sz w:val="32"/>
        </w:rPr>
      </w:pPr>
      <w:r>
        <w:rPr>
          <w:rFonts w:hint="eastAsia" w:ascii="仿宋_GB2312" w:hAnsi="仿宋_GB2312" w:eastAsia="仿宋_GB2312"/>
          <w:color w:val="000000"/>
          <w:sz w:val="32"/>
        </w:rPr>
        <w:t xml:space="preserve"> 无其他需说明事项</w:t>
      </w:r>
    </w:p>
    <w:p>
      <w:pPr>
        <w:keepNext w:val="0"/>
        <w:keepLines w:val="0"/>
        <w:widowControl w:val="0"/>
        <w:suppressLineNumbers w:val="0"/>
        <w:spacing w:before="0" w:beforeAutospacing="0" w:after="0" w:afterAutospacing="0" w:line="610" w:lineRule="exact"/>
        <w:ind w:left="640" w:right="0"/>
        <w:jc w:val="both"/>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numPr>
          <w:ilvl w:val="0"/>
          <w:numId w:val="0"/>
        </w:numPr>
        <w:autoSpaceDE w:val="0"/>
        <w:autoSpaceDN w:val="0"/>
        <w:adjustRightInd w:val="0"/>
        <w:jc w:val="left"/>
        <w:rPr>
          <w:rFonts w:ascii="Times New Roman" w:hAnsi="Times New Roman" w:eastAsia="仿宋" w:cs="Times New Roman"/>
          <w:sz w:val="32"/>
          <w:szCs w:val="32"/>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616D9"/>
    <w:multiLevelType w:val="singleLevel"/>
    <w:tmpl w:val="FA6616D9"/>
    <w:lvl w:ilvl="0" w:tentative="0">
      <w:start w:val="1"/>
      <w:numFmt w:val="decimal"/>
      <w:suff w:val="nothing"/>
      <w:lvlText w:val="%1、"/>
      <w:lvlJc w:val="left"/>
      <w:pPr>
        <w:ind w:left="410"/>
      </w:pPr>
    </w:lvl>
  </w:abstractNum>
  <w:abstractNum w:abstractNumId="1">
    <w:nsid w:val="6B6020B0"/>
    <w:multiLevelType w:val="singleLevel"/>
    <w:tmpl w:val="6B6020B0"/>
    <w:lvl w:ilvl="0" w:tentative="0">
      <w:start w:val="3"/>
      <w:numFmt w:val="chineseCounting"/>
      <w:suff w:val="nothing"/>
      <w:lvlText w:val="%1、"/>
      <w:lvlJc w:val="left"/>
      <w:pPr>
        <w:ind w:left="80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M2MxMDk3NDFmZGY4ZWM2MGI4N2JiODJmNzliY2YifQ=="/>
  </w:docVars>
  <w:rsids>
    <w:rsidRoot w:val="0027733F"/>
    <w:rsid w:val="00040FBA"/>
    <w:rsid w:val="0004490B"/>
    <w:rsid w:val="000604DF"/>
    <w:rsid w:val="000B6658"/>
    <w:rsid w:val="0013228E"/>
    <w:rsid w:val="0027733F"/>
    <w:rsid w:val="002E4731"/>
    <w:rsid w:val="003277EC"/>
    <w:rsid w:val="00456D84"/>
    <w:rsid w:val="006D7083"/>
    <w:rsid w:val="008003BA"/>
    <w:rsid w:val="00817B30"/>
    <w:rsid w:val="00F171F2"/>
    <w:rsid w:val="01DD6C0C"/>
    <w:rsid w:val="0588682F"/>
    <w:rsid w:val="06BE117C"/>
    <w:rsid w:val="0AA24D19"/>
    <w:rsid w:val="0BD71CEF"/>
    <w:rsid w:val="0CA0429D"/>
    <w:rsid w:val="0DF476ED"/>
    <w:rsid w:val="146418F2"/>
    <w:rsid w:val="17F36647"/>
    <w:rsid w:val="19BF7A99"/>
    <w:rsid w:val="1BDA18A9"/>
    <w:rsid w:val="1D844683"/>
    <w:rsid w:val="1E6B2BE6"/>
    <w:rsid w:val="22C44DC9"/>
    <w:rsid w:val="24A35BE8"/>
    <w:rsid w:val="258E31F8"/>
    <w:rsid w:val="25973B16"/>
    <w:rsid w:val="27540BC3"/>
    <w:rsid w:val="28AA5D10"/>
    <w:rsid w:val="297162C5"/>
    <w:rsid w:val="2A583EB1"/>
    <w:rsid w:val="2BA86E6C"/>
    <w:rsid w:val="2BF4419C"/>
    <w:rsid w:val="2C382BFE"/>
    <w:rsid w:val="30B654E5"/>
    <w:rsid w:val="332A56EC"/>
    <w:rsid w:val="33466B12"/>
    <w:rsid w:val="33673531"/>
    <w:rsid w:val="33B24C11"/>
    <w:rsid w:val="34120BCB"/>
    <w:rsid w:val="34EF4575"/>
    <w:rsid w:val="37303B38"/>
    <w:rsid w:val="379179A7"/>
    <w:rsid w:val="37F72D93"/>
    <w:rsid w:val="388F00DB"/>
    <w:rsid w:val="39317378"/>
    <w:rsid w:val="41312CB3"/>
    <w:rsid w:val="41517953"/>
    <w:rsid w:val="41FC6561"/>
    <w:rsid w:val="44B51530"/>
    <w:rsid w:val="48F07DE5"/>
    <w:rsid w:val="4A0C5D8A"/>
    <w:rsid w:val="4BED26D2"/>
    <w:rsid w:val="4E2B6E9A"/>
    <w:rsid w:val="4F3F2F3C"/>
    <w:rsid w:val="50E453C1"/>
    <w:rsid w:val="53876B42"/>
    <w:rsid w:val="542F744B"/>
    <w:rsid w:val="57D97723"/>
    <w:rsid w:val="5A9E744F"/>
    <w:rsid w:val="5DBB62FE"/>
    <w:rsid w:val="603100F9"/>
    <w:rsid w:val="62522FBC"/>
    <w:rsid w:val="62C503DB"/>
    <w:rsid w:val="63424B20"/>
    <w:rsid w:val="64AD4CD5"/>
    <w:rsid w:val="65E85093"/>
    <w:rsid w:val="68535FC5"/>
    <w:rsid w:val="68E861EC"/>
    <w:rsid w:val="6AF3487A"/>
    <w:rsid w:val="6B093D90"/>
    <w:rsid w:val="6C897CD5"/>
    <w:rsid w:val="6CD73D52"/>
    <w:rsid w:val="6EB763EB"/>
    <w:rsid w:val="700C1130"/>
    <w:rsid w:val="72F302CD"/>
    <w:rsid w:val="759669AD"/>
    <w:rsid w:val="75F94419"/>
    <w:rsid w:val="76EC7F1E"/>
    <w:rsid w:val="77A079F2"/>
    <w:rsid w:val="78456464"/>
    <w:rsid w:val="7D294616"/>
    <w:rsid w:val="7F1F6C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Char"/>
    <w:basedOn w:val="1"/>
    <w:qFormat/>
    <w:uiPriority w:val="0"/>
    <w:rPr>
      <w:rFonts w:ascii="Times New Roman" w:hAnsi="Times New Roman" w:cs="Times New Roman"/>
      <w:szCs w:val="24"/>
    </w:rPr>
  </w:style>
  <w:style w:type="character" w:customStyle="1" w:styleId="11">
    <w:name w:val="页脚 Char"/>
    <w:link w:val="2"/>
    <w:semiHidden/>
    <w:qFormat/>
    <w:uiPriority w:val="0"/>
    <w:rPr>
      <w:rFonts w:ascii="Times New Roman" w:hAnsi="Times New Roman" w:eastAsia="宋体" w:cs="Times New Roman"/>
      <w:sz w:val="18"/>
      <w:szCs w:val="18"/>
    </w:rPr>
  </w:style>
  <w:style w:type="character" w:customStyle="1" w:styleId="12">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3042</Words>
  <Characters>3214</Characters>
  <Lines>66</Lines>
  <Paragraphs>18</Paragraphs>
  <TotalTime>24</TotalTime>
  <ScaleCrop>false</ScaleCrop>
  <LinksUpToDate>false</LinksUpToDate>
  <CharactersWithSpaces>3239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泳洁</cp:lastModifiedBy>
  <cp:lastPrinted>2017-02-09T01:57:00Z</cp:lastPrinted>
  <dcterms:modified xsi:type="dcterms:W3CDTF">2023-07-25T02:02:10Z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4B0D7F948B984916ACF1CA0CDE2532C3_13</vt:lpwstr>
  </property>
</Properties>
</file>