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jc w:val="center"/>
        <w:rPr>
          <w:rFonts w:asciiTheme="majorEastAsia" w:hAnsiTheme="majorEastAsia" w:eastAsiaTheme="majorEastAsia" w:cstheme="majorEastAsia"/>
          <w:sz w:val="44"/>
          <w:szCs w:val="44"/>
          <w:lang w:val="zh-CN"/>
        </w:rPr>
      </w:pPr>
    </w:p>
    <w:p>
      <w:pPr>
        <w:ind w:firstLine="482"/>
        <w:jc w:val="center"/>
        <w:rPr>
          <w:rFonts w:asciiTheme="majorEastAsia" w:hAnsiTheme="majorEastAsia" w:eastAsiaTheme="majorEastAsia" w:cstheme="majorEastAsia"/>
          <w:sz w:val="44"/>
          <w:szCs w:val="44"/>
          <w:lang w:val="zh-CN"/>
        </w:rPr>
      </w:pPr>
    </w:p>
    <w:p>
      <w:pPr>
        <w:ind w:firstLine="482"/>
        <w:jc w:val="center"/>
        <w:rPr>
          <w:rFonts w:hint="eastAsia" w:asciiTheme="majorEastAsia" w:hAnsiTheme="majorEastAsia" w:eastAsiaTheme="majorEastAsia" w:cstheme="majorEastAsia"/>
          <w:sz w:val="36"/>
          <w:szCs w:val="36"/>
          <w:lang w:val="zh-CN"/>
        </w:rPr>
      </w:pPr>
    </w:p>
    <w:p>
      <w:pPr>
        <w:ind w:firstLine="482"/>
        <w:jc w:val="center"/>
        <w:rPr>
          <w:rFonts w:hint="eastAsia" w:ascii="宋体" w:hAnsi="宋体" w:eastAsia="宋体" w:cs="宋体"/>
          <w:sz w:val="32"/>
          <w:szCs w:val="32"/>
          <w:lang w:val="zh-CN"/>
        </w:rPr>
      </w:pPr>
    </w:p>
    <w:p>
      <w:pPr>
        <w:ind w:firstLine="482"/>
        <w:jc w:val="center"/>
        <w:rPr>
          <w:rFonts w:hint="eastAsia" w:ascii="宋体" w:hAnsi="宋体" w:eastAsia="宋体" w:cs="宋体"/>
          <w:sz w:val="32"/>
          <w:szCs w:val="32"/>
          <w:lang w:val="zh-CN"/>
        </w:rPr>
      </w:pPr>
    </w:p>
    <w:p>
      <w:pPr>
        <w:ind w:firstLine="482"/>
        <w:jc w:val="center"/>
        <w:rPr>
          <w:rFonts w:hint="eastAsia" w:ascii="宋体" w:hAnsi="宋体" w:eastAsia="宋体" w:cs="宋体"/>
          <w:sz w:val="32"/>
          <w:szCs w:val="32"/>
          <w:lang w:val="en-US" w:eastAsia="zh-CN"/>
        </w:rPr>
      </w:pPr>
      <w:r>
        <w:rPr>
          <w:rFonts w:hint="eastAsia" w:ascii="宋体" w:hAnsi="宋体" w:eastAsia="宋体" w:cs="宋体"/>
          <w:sz w:val="32"/>
          <w:szCs w:val="32"/>
          <w:lang w:val="zh-CN"/>
        </w:rPr>
        <w:t>沙文广体旅【</w:t>
      </w:r>
      <w:r>
        <w:rPr>
          <w:rFonts w:hint="eastAsia" w:ascii="宋体" w:hAnsi="宋体" w:eastAsia="宋体" w:cs="宋体"/>
          <w:sz w:val="32"/>
          <w:szCs w:val="32"/>
          <w:lang w:val="en-US" w:eastAsia="zh-CN"/>
        </w:rPr>
        <w:t>2022</w:t>
      </w:r>
      <w:r>
        <w:rPr>
          <w:rFonts w:hint="eastAsia" w:ascii="宋体" w:hAnsi="宋体" w:eastAsia="宋体" w:cs="宋体"/>
          <w:sz w:val="32"/>
          <w:szCs w:val="32"/>
          <w:lang w:val="zh-CN"/>
        </w:rPr>
        <w:t>】</w:t>
      </w:r>
      <w:r>
        <w:rPr>
          <w:rFonts w:hint="eastAsia" w:ascii="宋体" w:hAnsi="宋体" w:eastAsia="宋体" w:cs="宋体"/>
          <w:sz w:val="32"/>
          <w:szCs w:val="32"/>
          <w:lang w:val="en-US" w:eastAsia="zh-CN"/>
        </w:rPr>
        <w:t>19号</w:t>
      </w:r>
    </w:p>
    <w:p>
      <w:pPr>
        <w:ind w:firstLine="482"/>
        <w:jc w:val="center"/>
        <w:rPr>
          <w:rFonts w:asciiTheme="majorEastAsia" w:hAnsiTheme="majorEastAsia" w:eastAsiaTheme="majorEastAsia" w:cstheme="majorEastAsia"/>
          <w:sz w:val="44"/>
          <w:szCs w:val="44"/>
          <w:lang w:val="zh-CN"/>
        </w:rPr>
      </w:pPr>
    </w:p>
    <w:p>
      <w:pPr>
        <w:jc w:val="both"/>
        <w:rPr>
          <w:rFonts w:asciiTheme="minorEastAsia" w:hAnsiTheme="minorEastAsia" w:eastAsiaTheme="minorEastAsia" w:cstheme="majorEastAsia"/>
          <w:b/>
          <w:sz w:val="44"/>
          <w:szCs w:val="44"/>
          <w:lang w:val="zh-CN"/>
        </w:rPr>
      </w:pPr>
      <w:r>
        <w:rPr>
          <w:rFonts w:hint="eastAsia" w:asciiTheme="minorEastAsia" w:hAnsiTheme="minorEastAsia" w:eastAsiaTheme="minorEastAsia" w:cstheme="majorEastAsia"/>
          <w:b/>
          <w:sz w:val="44"/>
          <w:szCs w:val="44"/>
          <w:lang w:val="zh-CN"/>
        </w:rPr>
        <w:t>关于印发《沙河市文化和旅游领域包容免罚</w:t>
      </w:r>
    </w:p>
    <w:p>
      <w:pPr>
        <w:jc w:val="center"/>
        <w:rPr>
          <w:rFonts w:asciiTheme="minorEastAsia" w:hAnsiTheme="minorEastAsia" w:eastAsiaTheme="minorEastAsia" w:cstheme="majorEastAsia"/>
          <w:b/>
          <w:sz w:val="44"/>
          <w:szCs w:val="44"/>
          <w:lang w:val="zh-CN"/>
        </w:rPr>
      </w:pPr>
      <w:r>
        <w:rPr>
          <w:rFonts w:hint="eastAsia" w:asciiTheme="minorEastAsia" w:hAnsiTheme="minorEastAsia" w:eastAsiaTheme="minorEastAsia" w:cstheme="majorEastAsia"/>
          <w:b/>
          <w:sz w:val="44"/>
          <w:szCs w:val="44"/>
          <w:lang w:val="zh-CN"/>
        </w:rPr>
        <w:t>清单》的通知</w:t>
      </w:r>
    </w:p>
    <w:p>
      <w:pPr>
        <w:rPr>
          <w:rFonts w:ascii="仿宋_GB2312" w:hAnsi="仿宋_GB2312" w:eastAsia="仿宋_GB2312" w:cs="仿宋_GB2312"/>
          <w:sz w:val="32"/>
          <w:szCs w:val="32"/>
          <w:lang w:val="zh-CN"/>
        </w:rPr>
      </w:pPr>
    </w:p>
    <w:p>
      <w:pPr>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单位、各文化旅游企业</w:t>
      </w:r>
      <w:r>
        <w:rPr>
          <w:rFonts w:hint="eastAsia" w:ascii="仿宋_GB2312" w:eastAsia="仿宋_GB2312"/>
          <w:sz w:val="32"/>
          <w:szCs w:val="32"/>
        </w:rPr>
        <w:t>：</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进一步优化营商环境，激发文化市场活力，推动我市文化市场高质量发展，依据《中华人民共和国行政处罚法》、《河北省行政执法监督条例》等法律、法规、规章的相关规定，梳理汇总有关文化和旅游领域法律法规规章条款，充分结合我市文化市场行政执法实际，编制了《沙河市文化和旅游领域实施包容免罚清单》（以下简称《清单》）。</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现将《清单》印发你们，请认真贯彻执行。</w:t>
      </w:r>
    </w:p>
    <w:p>
      <w:pPr>
        <w:spacing w:line="400" w:lineRule="exact"/>
        <w:rPr>
          <w:rFonts w:ascii="Times New Roman" w:hAnsi="Times New Roman" w:eastAsiaTheme="minorEastAsia"/>
          <w:sz w:val="32"/>
          <w:szCs w:val="32"/>
          <w:lang w:val="zh-CN"/>
        </w:rPr>
      </w:pPr>
    </w:p>
    <w:p>
      <w:pPr>
        <w:ind w:firstLine="3200" w:firstLineChars="10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沙河市文化广电体育和旅游局</w:t>
      </w:r>
    </w:p>
    <w:p>
      <w:pPr>
        <w:ind w:firstLine="482"/>
        <w:rPr>
          <w:rFonts w:ascii="仿宋_GB2312" w:hAnsi="仿宋_GB2312" w:eastAsia="仿宋_GB2312" w:cs="仿宋_GB2312"/>
          <w:sz w:val="32"/>
          <w:szCs w:val="32"/>
        </w:rPr>
        <w:sectPr>
          <w:pgSz w:w="12240" w:h="15840"/>
          <w:pgMar w:top="1440" w:right="1800" w:bottom="1440" w:left="1800" w:header="720" w:footer="720" w:gutter="0"/>
          <w:cols w:space="720" w:num="1"/>
          <w:docGrid w:type="lines" w:linePitch="312" w:charSpace="0"/>
        </w:sectPr>
      </w:pPr>
      <w:r>
        <w:rPr>
          <w:rFonts w:hint="eastAsia" w:ascii="仿宋_GB2312" w:hAnsi="仿宋_GB2312" w:eastAsia="仿宋_GB2312" w:cs="仿宋_GB2312"/>
          <w:sz w:val="32"/>
          <w:szCs w:val="32"/>
        </w:rPr>
        <w:t xml:space="preserve">                           2021年8月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rPr>
          <w:rFonts w:ascii="仿宋_GB2312" w:hAnsi="仿宋_GB2312" w:eastAsia="仿宋_GB2312" w:cs="仿宋_GB2312"/>
          <w:sz w:val="36"/>
          <w:szCs w:val="36"/>
          <w:lang w:val="zh-CN"/>
        </w:rPr>
      </w:pPr>
    </w:p>
    <w:p>
      <w:pPr>
        <w:jc w:val="center"/>
        <w:rPr>
          <w:rFonts w:asciiTheme="minorEastAsia" w:hAnsiTheme="minorEastAsia" w:eastAsiaTheme="minorEastAsia"/>
          <w:b/>
          <w:sz w:val="36"/>
          <w:szCs w:val="36"/>
        </w:rPr>
      </w:pPr>
      <w:r>
        <w:rPr>
          <w:rFonts w:hint="eastAsia" w:cs="仿宋_GB2312" w:asciiTheme="minorEastAsia" w:hAnsiTheme="minorEastAsia" w:eastAsiaTheme="minorEastAsia"/>
          <w:b/>
          <w:sz w:val="36"/>
          <w:szCs w:val="36"/>
          <w:lang w:val="zh-CN"/>
        </w:rPr>
        <w:t>沙河市文化和旅游领域包容免罚清单</w:t>
      </w:r>
    </w:p>
    <w:p>
      <w:pPr>
        <w:rPr>
          <w:rFonts w:hint="default" w:eastAsia="宋体"/>
          <w:lang w:val="en-US" w:eastAsia="zh-CN"/>
        </w:rPr>
      </w:pPr>
      <w:r>
        <w:rPr>
          <w:rFonts w:hint="eastAsia"/>
          <w:lang w:eastAsia="zh-CN"/>
        </w:rPr>
        <w:t>备注：清单</w:t>
      </w:r>
      <w:r>
        <w:rPr>
          <w:rFonts w:hint="eastAsia"/>
          <w:lang w:val="en-US" w:eastAsia="zh-CN"/>
        </w:rPr>
        <w:t>2、3、4、5项由属地乡镇办综合执法机构实施</w:t>
      </w:r>
    </w:p>
    <w:tbl>
      <w:tblPr>
        <w:tblStyle w:val="5"/>
        <w:tblpPr w:leftFromText="180" w:rightFromText="180" w:vertAnchor="text" w:horzAnchor="page" w:tblpX="1578"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862"/>
        <w:gridCol w:w="4413"/>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7" w:type="dxa"/>
            <w:vAlign w:val="center"/>
          </w:tcPr>
          <w:p>
            <w:pPr>
              <w:widowControl w:val="0"/>
              <w:rPr>
                <w:rFonts w:ascii="楷体_GB2312" w:hAnsi="仿宋_GB2312" w:eastAsia="楷体_GB2312" w:cs="仿宋_GB2312"/>
                <w:b/>
                <w:szCs w:val="21"/>
              </w:rPr>
            </w:pPr>
            <w:r>
              <w:rPr>
                <w:rFonts w:hint="eastAsia" w:ascii="楷体_GB2312" w:hAnsi="仿宋_GB2312" w:eastAsia="楷体_GB2312" w:cs="仿宋_GB2312"/>
                <w:b/>
                <w:szCs w:val="21"/>
              </w:rPr>
              <w:t>序号</w:t>
            </w:r>
          </w:p>
        </w:tc>
        <w:tc>
          <w:tcPr>
            <w:tcW w:w="3862" w:type="dxa"/>
            <w:vAlign w:val="center"/>
          </w:tcPr>
          <w:p>
            <w:pPr>
              <w:widowControl w:val="0"/>
              <w:jc w:val="center"/>
              <w:rPr>
                <w:rFonts w:ascii="楷体_GB2312" w:hAnsi="仿宋_GB2312" w:eastAsia="楷体_GB2312" w:cs="仿宋_GB2312"/>
                <w:b/>
                <w:szCs w:val="21"/>
              </w:rPr>
            </w:pPr>
            <w:r>
              <w:rPr>
                <w:rFonts w:hint="eastAsia" w:ascii="楷体_GB2312" w:hAnsi="仿宋_GB2312" w:eastAsia="楷体_GB2312" w:cs="仿宋_GB2312"/>
                <w:b/>
                <w:szCs w:val="21"/>
              </w:rPr>
              <w:t>违法行为</w:t>
            </w:r>
          </w:p>
        </w:tc>
        <w:tc>
          <w:tcPr>
            <w:tcW w:w="4413" w:type="dxa"/>
            <w:vAlign w:val="center"/>
          </w:tcPr>
          <w:p>
            <w:pPr>
              <w:widowControl w:val="0"/>
              <w:jc w:val="center"/>
              <w:rPr>
                <w:rFonts w:ascii="楷体_GB2312" w:hAnsi="仿宋_GB2312" w:eastAsia="楷体_GB2312" w:cs="仿宋_GB2312"/>
                <w:b/>
                <w:szCs w:val="21"/>
              </w:rPr>
            </w:pPr>
            <w:r>
              <w:rPr>
                <w:rFonts w:hint="eastAsia" w:ascii="楷体_GB2312" w:hAnsi="仿宋_GB2312" w:eastAsia="楷体_GB2312" w:cs="仿宋_GB2312"/>
                <w:b/>
                <w:szCs w:val="21"/>
              </w:rPr>
              <w:t>适用条件</w:t>
            </w:r>
          </w:p>
        </w:tc>
        <w:tc>
          <w:tcPr>
            <w:tcW w:w="4244" w:type="dxa"/>
            <w:vAlign w:val="center"/>
          </w:tcPr>
          <w:p>
            <w:pPr>
              <w:widowControl w:val="0"/>
              <w:jc w:val="center"/>
              <w:rPr>
                <w:rFonts w:ascii="楷体_GB2312" w:hAnsi="仿宋_GB2312" w:eastAsia="楷体_GB2312" w:cs="仿宋_GB2312"/>
                <w:b/>
                <w:szCs w:val="21"/>
              </w:rPr>
            </w:pPr>
            <w:r>
              <w:rPr>
                <w:rFonts w:hint="eastAsia" w:ascii="楷体_GB2312" w:hAnsi="仿宋_GB2312" w:eastAsia="楷体_GB2312" w:cs="仿宋_GB2312"/>
                <w:b/>
                <w:szCs w:val="21"/>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862" w:type="dxa"/>
            <w:vAlign w:val="center"/>
          </w:tcPr>
          <w:p>
            <w:pPr>
              <w:widowControl w:val="0"/>
              <w:rPr>
                <w:rFonts w:ascii="仿宋_GB2312" w:eastAsia="仿宋_GB2312"/>
                <w:szCs w:val="21"/>
              </w:rPr>
            </w:pPr>
            <w:r>
              <w:rPr>
                <w:rFonts w:hint="eastAsia" w:ascii="仿宋_GB2312" w:hAnsi="Times New Roman" w:eastAsia="仿宋_GB2312"/>
                <w:szCs w:val="21"/>
                <w:lang w:val="zh-CN"/>
              </w:rPr>
              <w:t>设立从事艺术品经营活动的经营单位或者其他经营单位增设艺术品经营业务，未依法到文化行政部门备案</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1.首次被发现；2.自行纠正或者在限期内改正；3.没有违法所得；4.违法情节轻微，未造成危害后果。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《艺术品经营管理办法》第五条、第十九条；《中华人民共和国行政处罚法》第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3862" w:type="dxa"/>
            <w:vAlign w:val="center"/>
          </w:tcPr>
          <w:p>
            <w:pPr>
              <w:widowControl w:val="0"/>
              <w:spacing w:line="400" w:lineRule="exact"/>
              <w:rPr>
                <w:rFonts w:ascii="仿宋_GB2312" w:eastAsia="仿宋_GB2312"/>
                <w:color w:val="auto"/>
                <w:szCs w:val="21"/>
              </w:rPr>
            </w:pPr>
            <w:r>
              <w:rPr>
                <w:rFonts w:hint="eastAsia" w:ascii="仿宋_GB2312" w:hAnsi="Times New Roman" w:eastAsia="仿宋_GB2312"/>
                <w:color w:val="auto"/>
                <w:szCs w:val="21"/>
                <w:lang w:val="zh-CN"/>
              </w:rPr>
              <w:t>互联网上网服务营业场所经营单位经营非网络游戏</w:t>
            </w:r>
          </w:p>
        </w:tc>
        <w:tc>
          <w:tcPr>
            <w:tcW w:w="4413" w:type="dxa"/>
            <w:vAlign w:val="center"/>
          </w:tcPr>
          <w:p>
            <w:pPr>
              <w:widowControl w:val="0"/>
              <w:rPr>
                <w:rFonts w:ascii="仿宋_GB2312" w:eastAsia="仿宋_GB2312"/>
                <w:color w:val="auto"/>
                <w:szCs w:val="21"/>
              </w:rPr>
            </w:pPr>
            <w:r>
              <w:rPr>
                <w:rFonts w:hint="eastAsia" w:ascii="仿宋_GB2312" w:hAnsi="Times New Roman" w:eastAsia="仿宋_GB2312"/>
                <w:color w:val="auto"/>
                <w:szCs w:val="21"/>
                <w:lang w:val="zh-CN"/>
              </w:rPr>
              <w:t>1.首次被发现；2.自行纠正或者在限期内改正；3.没有违法所得；4.违法情节轻微，未造成危害后果。</w:t>
            </w:r>
          </w:p>
        </w:tc>
        <w:tc>
          <w:tcPr>
            <w:tcW w:w="4244" w:type="dxa"/>
            <w:vAlign w:val="center"/>
          </w:tcPr>
          <w:p>
            <w:pPr>
              <w:widowControl w:val="0"/>
              <w:spacing w:line="400" w:lineRule="exact"/>
              <w:rPr>
                <w:rFonts w:ascii="仿宋_GB2312" w:eastAsia="仿宋_GB2312"/>
                <w:color w:val="auto"/>
                <w:szCs w:val="21"/>
              </w:rPr>
            </w:pPr>
            <w:r>
              <w:rPr>
                <w:rFonts w:hint="eastAsia" w:ascii="仿宋_GB2312" w:hAnsi="Times New Roman" w:eastAsia="仿宋_GB2312"/>
                <w:color w:val="auto"/>
                <w:szCs w:val="21"/>
                <w:lang w:val="zh-CN"/>
              </w:rPr>
              <w:t>《互联网上网服务营业场所管理条例》第十七条、第三十一条；《中华人民共和国行政处罚法》第三十三条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57" w:type="dxa"/>
            <w:vAlign w:val="center"/>
          </w:tcPr>
          <w:p>
            <w:pPr>
              <w:widowControl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互联网上网服务营业场所经营单位未悬挂《网络文化经营许可证》</w:t>
            </w:r>
            <w:r>
              <w:rPr>
                <w:rFonts w:hint="eastAsia" w:ascii="仿宋_GB2312" w:hAnsi="Times New Roman" w:eastAsia="仿宋_GB2312"/>
                <w:color w:val="FF0000"/>
                <w:szCs w:val="21"/>
                <w:lang w:val="zh-CN"/>
              </w:rPr>
              <w:t>或者未成年人禁入标志</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《互联网上网服务营业场所管理条例》第三十一条；《中华人民共和国行政处罚法》第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互联网上网服务营业场所经营单位在规定的营业时间以外营业</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1.首次被发现；2.自行纠正或者在限期内改正；3.没有违法所得；4.违法情节轻微，未造成危害后果。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《互联网上网服务营业场所管理条例》第三十一条；《中华人民共和国行政处罚法》第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互联网上网服务营业场所经营单位擅自停止实施经营管理技术措施</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1.首次被发现；2.自行纠正或者在限期内改正；3.没有违法所得；4.违法情节轻微，未造成危害后果。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《互联网上网服务营业场所管理条例》第三十一条；《中华人民共和国行政处罚法》第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eastAsia="仿宋_GB2312"/>
                <w:szCs w:val="21"/>
              </w:rPr>
            </w:pPr>
            <w:r>
              <w:rPr>
                <w:rFonts w:hint="eastAsia" w:ascii="仿宋_GB2312" w:eastAsia="仿宋_GB2312"/>
                <w:szCs w:val="21"/>
              </w:rPr>
              <w:t>6</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互联网上网服务营业场所经营单位未按规定核对、登记上网消费者的有效身份证件或者记录有关上网信息</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《互联网上网服务营业场所管理条例》第三十二条；《中华人民共和国行政处罚法》第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eastAsia="仿宋_GB2312"/>
                <w:szCs w:val="21"/>
              </w:rPr>
            </w:pPr>
            <w:r>
              <w:rPr>
                <w:rFonts w:hint="eastAsia" w:ascii="仿宋_GB2312" w:eastAsia="仿宋_GB2312"/>
                <w:szCs w:val="21"/>
              </w:rPr>
              <w:t>7</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娱乐场所未按照条例规定从业人员营业期间未统一着装并佩带工作标志</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《娱乐场所管理条例》第二十七条</w:t>
            </w:r>
            <w:r>
              <w:rPr>
                <w:rFonts w:hint="eastAsia" w:ascii="仿宋_GB2312" w:hAnsi="Times New Roman" w:eastAsia="仿宋_GB2312"/>
                <w:color w:val="FF0000"/>
                <w:szCs w:val="21"/>
                <w:lang w:val="zh-CN"/>
              </w:rPr>
              <w:t>、第四十九条</w:t>
            </w:r>
            <w:r>
              <w:rPr>
                <w:rFonts w:hint="eastAsia" w:ascii="仿宋_GB2312" w:hAnsi="Times New Roman" w:eastAsia="仿宋_GB2312"/>
                <w:szCs w:val="21"/>
                <w:lang w:val="zh-CN"/>
              </w:rPr>
              <w:t>；《中华人民共和国行政处罚法》第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eastAsia="仿宋_GB2312"/>
                <w:szCs w:val="21"/>
              </w:rPr>
            </w:pPr>
            <w:r>
              <w:rPr>
                <w:rFonts w:hint="eastAsia" w:ascii="仿宋_GB2312" w:eastAsia="仿宋_GB2312"/>
                <w:szCs w:val="21"/>
              </w:rPr>
              <w:t>8</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娱乐场所未按照条例规定建立从业人员名簿</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《娱乐场所管理条例》第二十五条</w:t>
            </w:r>
            <w:r>
              <w:rPr>
                <w:rFonts w:hint="eastAsia" w:ascii="仿宋_GB2312" w:hAnsi="Times New Roman" w:eastAsia="仿宋_GB2312"/>
                <w:color w:val="FF0000"/>
                <w:szCs w:val="21"/>
                <w:lang w:val="zh-CN"/>
              </w:rPr>
              <w:t>、</w:t>
            </w:r>
            <w:r>
              <w:rPr>
                <w:rFonts w:hint="eastAsia" w:ascii="仿宋_GB2312" w:hAnsi="Times New Roman" w:eastAsia="仿宋_GB2312"/>
                <w:color w:val="FF0000"/>
                <w:szCs w:val="21"/>
                <w:lang w:val="zh-CN" w:eastAsia="zh-CN"/>
              </w:rPr>
              <w:t>第五十条</w:t>
            </w:r>
            <w:r>
              <w:rPr>
                <w:rFonts w:hint="eastAsia" w:ascii="仿宋_GB2312" w:hAnsi="Times New Roman" w:eastAsia="仿宋_GB2312"/>
                <w:szCs w:val="21"/>
                <w:lang w:val="zh-CN"/>
              </w:rPr>
              <w:t>；《中华人民共和国行政处罚法》第二十七条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eastAsia="仿宋_GB2312"/>
                <w:szCs w:val="21"/>
              </w:rPr>
            </w:pPr>
            <w:r>
              <w:rPr>
                <w:rFonts w:hint="eastAsia" w:ascii="仿宋_GB2312" w:eastAsia="仿宋_GB2312"/>
                <w:szCs w:val="21"/>
              </w:rPr>
              <w:t>9</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娱乐场所未按照条例规定悬挂警示标志</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《娱乐场所管理条例》第五十一条；《中华人民共和国行政处罚法》第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ascii="仿宋_GB2312" w:eastAsia="仿宋_GB2312"/>
                <w:szCs w:val="21"/>
              </w:rPr>
            </w:pPr>
            <w:r>
              <w:rPr>
                <w:rFonts w:hint="eastAsia" w:ascii="仿宋_GB2312" w:eastAsia="仿宋_GB2312"/>
                <w:szCs w:val="21"/>
              </w:rPr>
              <w:t>10</w:t>
            </w:r>
          </w:p>
        </w:tc>
        <w:tc>
          <w:tcPr>
            <w:tcW w:w="3862" w:type="dxa"/>
            <w:vAlign w:val="center"/>
          </w:tcPr>
          <w:p>
            <w:pPr>
              <w:widowControl w:val="0"/>
              <w:spacing w:line="400" w:lineRule="exact"/>
              <w:rPr>
                <w:rFonts w:ascii="仿宋_GB2312" w:eastAsia="仿宋_GB2312"/>
                <w:szCs w:val="21"/>
              </w:rPr>
            </w:pPr>
            <w:r>
              <w:rPr>
                <w:rFonts w:hint="eastAsia" w:ascii="仿宋_GB2312" w:eastAsia="仿宋_GB2312"/>
                <w:szCs w:val="21"/>
              </w:rPr>
              <w:t>旅行社未按照国家有关规定向文化和旅游行政管理部门报送经营和财务信息等统计资料</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1.首次被发现；2.自行纠正或者在限期内改正；3.没有违法所得；4.违法情节轻微，未造成危害后果。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eastAsia="仿宋_GB2312"/>
                <w:szCs w:val="21"/>
              </w:rPr>
              <w:t>《旅行社条例》第四十</w:t>
            </w:r>
            <w:r>
              <w:rPr>
                <w:rFonts w:hint="eastAsia" w:ascii="仿宋_GB2312" w:eastAsia="仿宋_GB2312"/>
                <w:color w:val="FF0000"/>
                <w:szCs w:val="21"/>
                <w:lang w:eastAsia="zh-CN"/>
              </w:rPr>
              <w:t>四</w:t>
            </w:r>
            <w:r>
              <w:rPr>
                <w:rFonts w:hint="eastAsia" w:ascii="仿宋_GB2312" w:eastAsia="仿宋_GB2312"/>
                <w:szCs w:val="21"/>
              </w:rPr>
              <w:t>条、五十条；</w:t>
            </w:r>
            <w:r>
              <w:rPr>
                <w:rFonts w:hint="eastAsia" w:ascii="仿宋_GB2312" w:hAnsi="Times New Roman" w:eastAsia="仿宋_GB2312"/>
                <w:szCs w:val="21"/>
                <w:lang w:val="zh-CN"/>
              </w:rPr>
              <w:t>《中华人民共和国行政处罚法》第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hint="eastAsia" w:ascii="仿宋_GB2312" w:eastAsia="仿宋_GB2312"/>
                <w:szCs w:val="21"/>
                <w:lang w:val="en-US" w:eastAsia="zh-CN"/>
              </w:rPr>
            </w:pPr>
            <w:r>
              <w:rPr>
                <w:rFonts w:hint="eastAsia" w:ascii="仿宋_GB2312" w:eastAsia="仿宋_GB2312"/>
                <w:szCs w:val="21"/>
              </w:rPr>
              <w:t>1</w:t>
            </w:r>
            <w:r>
              <w:rPr>
                <w:rFonts w:hint="eastAsia" w:ascii="仿宋_GB2312" w:eastAsia="仿宋_GB2312"/>
                <w:szCs w:val="21"/>
                <w:lang w:val="en-US" w:eastAsia="zh-CN"/>
              </w:rPr>
              <w:t>1</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旅行社及其分社、服务网点未悬挂旅行社业务经营许可证、旅行社分社备案登记证明</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《旅行社条例实施细则》第二十六条</w:t>
            </w:r>
            <w:r>
              <w:rPr>
                <w:rFonts w:hint="eastAsia" w:ascii="仿宋_GB2312" w:hAnsi="Times New Roman" w:eastAsia="仿宋_GB2312"/>
                <w:color w:val="FF0000"/>
                <w:szCs w:val="21"/>
                <w:lang w:val="zh-CN"/>
              </w:rPr>
              <w:t>、第五十七条</w:t>
            </w:r>
            <w:r>
              <w:rPr>
                <w:rFonts w:hint="eastAsia" w:ascii="仿宋_GB2312" w:hAnsi="Times New Roman" w:eastAsia="仿宋_GB2312"/>
                <w:szCs w:val="21"/>
                <w:lang w:val="zh-CN"/>
              </w:rPr>
              <w:t>；《中华人民共和国行政处罚法》第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7" w:type="dxa"/>
            <w:vAlign w:val="center"/>
          </w:tcPr>
          <w:p>
            <w:pPr>
              <w:widowControl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2</w:t>
            </w:r>
          </w:p>
        </w:tc>
        <w:tc>
          <w:tcPr>
            <w:tcW w:w="3862"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旅行社未将安全信息卡交由旅游者或者未告知旅游者相关信息</w:t>
            </w:r>
          </w:p>
        </w:tc>
        <w:tc>
          <w:tcPr>
            <w:tcW w:w="4413" w:type="dxa"/>
            <w:vAlign w:val="center"/>
          </w:tcPr>
          <w:p>
            <w:pPr>
              <w:widowControl w:val="0"/>
              <w:rPr>
                <w:rFonts w:ascii="仿宋_GB2312" w:eastAsia="仿宋_GB2312"/>
                <w:szCs w:val="21"/>
              </w:rPr>
            </w:pPr>
            <w:r>
              <w:rPr>
                <w:rFonts w:hint="eastAsia" w:ascii="仿宋_GB2312" w:hAnsi="Times New Roman" w:eastAsia="仿宋_GB2312"/>
                <w:szCs w:val="21"/>
                <w:lang w:val="zh-CN"/>
              </w:rPr>
              <w:t>1.首次被发现；2.自行纠正或者在限期内改正；3.违法情节轻微，未造成危害后果。</w:t>
            </w:r>
          </w:p>
        </w:tc>
        <w:tc>
          <w:tcPr>
            <w:tcW w:w="4244" w:type="dxa"/>
            <w:vAlign w:val="center"/>
          </w:tcPr>
          <w:p>
            <w:pPr>
              <w:widowControl w:val="0"/>
              <w:spacing w:line="400" w:lineRule="exact"/>
              <w:rPr>
                <w:rFonts w:ascii="仿宋_GB2312" w:eastAsia="仿宋_GB2312"/>
                <w:szCs w:val="21"/>
              </w:rPr>
            </w:pPr>
            <w:r>
              <w:rPr>
                <w:rFonts w:hint="eastAsia" w:ascii="仿宋_GB2312" w:hAnsi="Times New Roman" w:eastAsia="仿宋_GB2312"/>
                <w:szCs w:val="21"/>
                <w:lang w:val="zh-CN"/>
              </w:rPr>
              <w:t>《旅游安全管理办法》第十二条、第三十五条</w:t>
            </w:r>
            <w:r>
              <w:rPr>
                <w:rFonts w:hint="eastAsia" w:ascii="仿宋_GB2312" w:hAnsi="Times New Roman" w:eastAsia="仿宋_GB2312"/>
                <w:szCs w:val="21"/>
              </w:rPr>
              <w:t>；</w:t>
            </w:r>
            <w:r>
              <w:rPr>
                <w:rFonts w:hint="eastAsia" w:ascii="仿宋_GB2312" w:hAnsi="Times New Roman" w:eastAsia="仿宋_GB2312"/>
                <w:szCs w:val="21"/>
                <w:lang w:val="zh-CN"/>
              </w:rPr>
              <w:t>《中华人民共和国行政处罚法》第</w:t>
            </w:r>
            <w:r>
              <w:rPr>
                <w:rFonts w:hint="eastAsia" w:ascii="仿宋_GB2312" w:hAnsi="Times New Roman" w:eastAsia="仿宋_GB2312"/>
                <w:color w:val="FF0000"/>
                <w:szCs w:val="21"/>
                <w:lang w:val="zh-CN"/>
              </w:rPr>
              <w:t>三十三</w:t>
            </w:r>
            <w:r>
              <w:rPr>
                <w:rFonts w:hint="eastAsia" w:ascii="仿宋_GB2312" w:hAnsi="Times New Roman" w:eastAsia="仿宋_GB2312"/>
                <w:szCs w:val="21"/>
                <w:lang w:val="zh-CN"/>
              </w:rPr>
              <w:t>条</w:t>
            </w:r>
          </w:p>
        </w:tc>
      </w:tr>
    </w:tbl>
    <w:p>
      <w:pPr>
        <w:rPr>
          <w:rFonts w:ascii="仿宋_GB2312" w:eastAsia="仿宋_GB2312" w:hAnsiTheme="minorEastAsia"/>
          <w:sz w:val="32"/>
          <w:szCs w:val="32"/>
        </w:rPr>
      </w:pPr>
    </w:p>
    <w:sectPr>
      <w:pgSz w:w="15840" w:h="12240"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jOWYwMDNkNTVlMTVjOGZlY2M2YzFhYzdjMmZlNGYifQ=="/>
  </w:docVars>
  <w:rsids>
    <w:rsidRoot w:val="00172A27"/>
    <w:rsid w:val="000549D7"/>
    <w:rsid w:val="00067F92"/>
    <w:rsid w:val="00172A27"/>
    <w:rsid w:val="002D3AF1"/>
    <w:rsid w:val="003014D9"/>
    <w:rsid w:val="0042035B"/>
    <w:rsid w:val="00450495"/>
    <w:rsid w:val="004F7399"/>
    <w:rsid w:val="00540313"/>
    <w:rsid w:val="005534E0"/>
    <w:rsid w:val="005A5336"/>
    <w:rsid w:val="005D5EFA"/>
    <w:rsid w:val="005F0A0E"/>
    <w:rsid w:val="005F5464"/>
    <w:rsid w:val="0060047E"/>
    <w:rsid w:val="00652D02"/>
    <w:rsid w:val="00980186"/>
    <w:rsid w:val="00A45639"/>
    <w:rsid w:val="00AB1153"/>
    <w:rsid w:val="00B84908"/>
    <w:rsid w:val="00C26977"/>
    <w:rsid w:val="00C8479A"/>
    <w:rsid w:val="00DB293D"/>
    <w:rsid w:val="00DC1E76"/>
    <w:rsid w:val="00E20BA5"/>
    <w:rsid w:val="00E576AD"/>
    <w:rsid w:val="00E629DC"/>
    <w:rsid w:val="00EB30B2"/>
    <w:rsid w:val="00F37B65"/>
    <w:rsid w:val="01505F75"/>
    <w:rsid w:val="0AED3C20"/>
    <w:rsid w:val="0C955DCD"/>
    <w:rsid w:val="14E36C4B"/>
    <w:rsid w:val="211D4854"/>
    <w:rsid w:val="2D3D2349"/>
    <w:rsid w:val="2E1D76B9"/>
    <w:rsid w:val="33E524DB"/>
    <w:rsid w:val="3D395279"/>
    <w:rsid w:val="3D801F7C"/>
    <w:rsid w:val="3E7423A1"/>
    <w:rsid w:val="441A22B3"/>
    <w:rsid w:val="46037B08"/>
    <w:rsid w:val="467418F2"/>
    <w:rsid w:val="4A2C577F"/>
    <w:rsid w:val="51264D86"/>
    <w:rsid w:val="7C737D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1667</Characters>
  <Lines>17</Lines>
  <Paragraphs>4</Paragraphs>
  <TotalTime>32</TotalTime>
  <ScaleCrop>false</ScaleCrop>
  <LinksUpToDate>false</LinksUpToDate>
  <CharactersWithSpaces>1718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2021-08-09T04:40:00Z</dcterms:created>
  <dc:creator>Administrator</dc:creator>
  <cp:lastModifiedBy>Administrator</cp:lastModifiedBy>
  <cp:lastPrinted>2022-08-31T01:49:12Z</cp:lastPrinted>
  <dcterms:modified xsi:type="dcterms:W3CDTF">2022-08-31T01:49:42Z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E9E6E9DB04F94C919E16E8806252F2BB</vt:lpwstr>
  </property>
</Properties>
</file>