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关于202</w:t>
      </w:r>
      <w:r>
        <w:rPr>
          <w:rFonts w:hint="eastAsia" w:ascii="方正小标宋简体" w:hAnsi="方正小标宋简体" w:eastAsia="方正小标宋简体" w:cs="方正小标宋简体"/>
          <w:b/>
          <w:sz w:val="44"/>
          <w:szCs w:val="44"/>
          <w:lang w:val="en-US" w:eastAsia="zh-CN"/>
        </w:rPr>
        <w:t>3年沙河</w:t>
      </w:r>
      <w:r>
        <w:rPr>
          <w:rFonts w:hint="eastAsia" w:ascii="方正小标宋简体" w:hAnsi="方正小标宋简体" w:eastAsia="方正小标宋简体" w:cs="方正小标宋简体"/>
          <w:b/>
          <w:sz w:val="44"/>
          <w:szCs w:val="44"/>
        </w:rPr>
        <w:t>市本级预算安排情况的</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说</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明</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p>
    <w:p>
      <w:pPr>
        <w:autoSpaceDN w:val="0"/>
        <w:snapToGrid w:val="0"/>
        <w:spacing w:line="58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年市级预算编制，</w:t>
      </w:r>
      <w:r>
        <w:rPr>
          <w:rFonts w:hint="eastAsia" w:ascii="仿宋_GB2312" w:hAnsi="仿宋" w:eastAsia="仿宋_GB2312" w:cs="仿宋"/>
          <w:sz w:val="32"/>
          <w:szCs w:val="32"/>
        </w:rPr>
        <w:t>坚持以习近平新时代中国特色社会主义思想为指导，全面贯彻党的十九大和十九届</w:t>
      </w:r>
      <w:r>
        <w:rPr>
          <w:rFonts w:hint="eastAsia" w:ascii="仿宋_GB2312" w:hAnsi="仿宋" w:eastAsia="仿宋_GB2312" w:cs="仿宋"/>
          <w:sz w:val="32"/>
          <w:szCs w:val="32"/>
          <w:lang w:eastAsia="zh-CN"/>
        </w:rPr>
        <w:t>历次</w:t>
      </w:r>
      <w:r>
        <w:rPr>
          <w:rFonts w:hint="eastAsia" w:ascii="仿宋_GB2312" w:hAnsi="仿宋" w:eastAsia="仿宋_GB2312" w:cs="仿宋"/>
          <w:sz w:val="32"/>
          <w:szCs w:val="32"/>
        </w:rPr>
        <w:t>全会精神，认真落实省、邢台市和我市会议精神，坚持稳中求进工作总基调，立足新发展阶段，贯彻新发展理念，构建新发展格局，推动高质量发展</w:t>
      </w:r>
      <w:r>
        <w:rPr>
          <w:rFonts w:hint="eastAsia" w:ascii="仿宋_GB2312" w:hAnsi="仿宋" w:eastAsia="仿宋_GB2312" w:cs="仿宋"/>
          <w:sz w:val="32"/>
          <w:szCs w:val="32"/>
          <w:lang w:eastAsia="zh-CN"/>
        </w:rPr>
        <w:t>；坚持</w:t>
      </w:r>
      <w:r>
        <w:rPr>
          <w:rFonts w:hint="eastAsia" w:ascii="仿宋_GB2312" w:hAnsi="仿宋" w:eastAsia="仿宋_GB2312" w:cs="仿宋"/>
          <w:sz w:val="32"/>
          <w:szCs w:val="32"/>
        </w:rPr>
        <w:t>以深化供给侧结构性改革为主线，</w:t>
      </w:r>
      <w:r>
        <w:rPr>
          <w:rFonts w:hint="eastAsia" w:ascii="仿宋_GB2312" w:hAnsi="仿宋" w:eastAsia="仿宋_GB2312" w:cs="仿宋"/>
          <w:sz w:val="32"/>
          <w:szCs w:val="32"/>
          <w:lang w:eastAsia="zh-CN"/>
        </w:rPr>
        <w:t>牢牢把握“疫情要防住、经济要稳住、发展要安全”的要求，高效统筹疫情防控和经济社会发展，</w:t>
      </w:r>
      <w:r>
        <w:rPr>
          <w:rFonts w:hint="eastAsia" w:ascii="仿宋_GB2312" w:hAnsi="仿宋" w:eastAsia="仿宋_GB2312" w:cs="仿宋"/>
          <w:sz w:val="32"/>
          <w:szCs w:val="32"/>
        </w:rPr>
        <w:t>做好“六稳”工作，落实“六保”任务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紧紧围绕市委、市政府决策部署，进一步深化财税改革，落实积极财政政策，优化支出结构，强化绩效管理；进一步树牢过“紧日子”思想，加强资金管理，防范财政风险，推动我市高质量财政建设再上新水平，为新时代全面建设经济强市、美丽沙河提供</w:t>
      </w:r>
      <w:r>
        <w:rPr>
          <w:rFonts w:hint="eastAsia" w:ascii="仿宋_GB2312" w:hAnsi="仿宋" w:eastAsia="仿宋_GB2312" w:cs="仿宋"/>
          <w:sz w:val="32"/>
          <w:szCs w:val="32"/>
          <w:lang w:eastAsia="zh-CN"/>
        </w:rPr>
        <w:t>有力</w:t>
      </w:r>
      <w:r>
        <w:rPr>
          <w:rFonts w:hint="eastAsia" w:ascii="仿宋_GB2312" w:hAnsi="仿宋" w:eastAsia="仿宋_GB2312" w:cs="仿宋"/>
          <w:sz w:val="32"/>
          <w:szCs w:val="32"/>
        </w:rPr>
        <w:t>财力支撑。</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市本级202</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年预算安排情况说明</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一般公共预算：</w:t>
      </w:r>
      <w:r>
        <w:rPr>
          <w:rFonts w:hint="eastAsia" w:ascii="仿宋_GB2312" w:hAnsi="仿宋_GB2312" w:eastAsia="仿宋_GB2312" w:cs="仿宋_GB2312"/>
          <w:b w:val="0"/>
          <w:bCs/>
          <w:sz w:val="32"/>
          <w:szCs w:val="32"/>
          <w:lang w:val="en-US" w:eastAsia="zh-CN"/>
        </w:rPr>
        <w:t>2023年市本级一般公共预算总收入为 355745.69万元，其中：本级收入144439万元，上级补助收入118416.15万元，上年结余3823.14万元，调入资金89067.4万元；2023年市本级一般公共预算总支出为355745.69万元，其中：本级安排支出298679.69万元，上解上级支出17507万元，债务还本支出39559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政府性基金预算：</w:t>
      </w:r>
      <w:r>
        <w:rPr>
          <w:rFonts w:hint="eastAsia" w:ascii="仿宋_GB2312" w:hAnsi="仿宋_GB2312" w:eastAsia="仿宋_GB2312" w:cs="仿宋_GB2312"/>
          <w:b w:val="0"/>
          <w:bCs/>
          <w:sz w:val="32"/>
          <w:szCs w:val="32"/>
          <w:lang w:val="en-US" w:eastAsia="zh-CN"/>
        </w:rPr>
        <w:t>2023年市本级政府性基金总收入为162947.21万元，其中：本级收入161982.4万元，上级补助收入964.81万元；2023年市本级政府性基金总支出为162947.21万元，其中：本级安排支出52029.81万元，调出资金89067.4万元，债务还本支出21850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国有资本经营预算：</w:t>
      </w:r>
      <w:r>
        <w:rPr>
          <w:rFonts w:hint="eastAsia" w:ascii="仿宋_GB2312" w:hAnsi="仿宋_GB2312" w:eastAsia="仿宋_GB2312" w:cs="仿宋_GB2312"/>
          <w:b w:val="0"/>
          <w:bCs/>
          <w:sz w:val="32"/>
          <w:szCs w:val="32"/>
          <w:lang w:val="en-US" w:eastAsia="zh-CN"/>
        </w:rPr>
        <w:t>2023年市本级国有资本经营预算总收入为216万元，其中：上级补助收入144万元，上年结余72万元；2023年市本级国有资本经营预算总支出216万元，其中：本级安排支出216万元。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社会保险基金预算：</w:t>
      </w:r>
      <w:r>
        <w:rPr>
          <w:rFonts w:hint="eastAsia" w:ascii="仿宋_GB2312" w:hAnsi="仿宋_GB2312" w:eastAsia="仿宋_GB2312" w:cs="仿宋_GB2312"/>
          <w:b w:val="0"/>
          <w:bCs/>
          <w:sz w:val="32"/>
          <w:szCs w:val="32"/>
          <w:lang w:val="en-US" w:eastAsia="zh-CN"/>
        </w:rPr>
        <w:t>2023年市级社保基金收入预算46018万元，支出40611万元。其中：城乡居民养老保险基金收入预算13153万元，支出8788万元；机关事业单位基本养老保险基金收入32865万元，支出31823万元。</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关于“三公”经费安排情况的说明</w:t>
      </w:r>
    </w:p>
    <w:p>
      <w:pPr>
        <w:spacing w:line="61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严格落实中央八项规定和《党政机关厉行节约反对浪费条例》，大力压减“三公”经费支出，202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市本级</w:t>
      </w:r>
      <w:r>
        <w:rPr>
          <w:rFonts w:hint="eastAsia" w:ascii="仿宋_GB2312" w:hAnsi="仿宋_GB2312" w:eastAsia="仿宋_GB2312" w:cs="仿宋_GB2312"/>
          <w:b w:val="0"/>
          <w:bCs/>
          <w:sz w:val="32"/>
          <w:szCs w:val="32"/>
        </w:rPr>
        <w:t>“三公”经费预算安排567.68万元，</w:t>
      </w:r>
      <w:r>
        <w:rPr>
          <w:rFonts w:hint="eastAsia" w:ascii="仿宋_GB2312" w:hAnsi="仿宋_GB2312" w:eastAsia="仿宋_GB2312" w:cs="仿宋_GB2312"/>
          <w:b w:val="0"/>
          <w:bCs/>
          <w:sz w:val="32"/>
          <w:szCs w:val="32"/>
          <w:lang w:val="en-US" w:eastAsia="zh-CN"/>
        </w:rPr>
        <w:t>同比</w:t>
      </w:r>
      <w:r>
        <w:rPr>
          <w:rFonts w:hint="eastAsia" w:ascii="仿宋_GB2312" w:hAnsi="仿宋" w:eastAsia="仿宋_GB2312" w:cs="仿宋_GB2312"/>
          <w:sz w:val="32"/>
          <w:szCs w:val="32"/>
          <w:highlight w:val="none"/>
          <w:lang w:eastAsia="zh-CN"/>
        </w:rPr>
        <w:t>减少</w:t>
      </w:r>
      <w:r>
        <w:rPr>
          <w:rFonts w:hint="eastAsia" w:ascii="仿宋_GB2312" w:hAnsi="仿宋" w:eastAsia="仿宋_GB2312" w:cs="仿宋_GB2312"/>
          <w:sz w:val="32"/>
          <w:szCs w:val="32"/>
          <w:highlight w:val="none"/>
          <w:lang w:val="en-US" w:eastAsia="zh-CN"/>
        </w:rPr>
        <w:t>14.14</w:t>
      </w:r>
      <w:r>
        <w:rPr>
          <w:rFonts w:hint="eastAsia" w:ascii="仿宋_GB2312" w:hAnsi="仿宋" w:eastAsia="仿宋_GB2312" w:cs="仿宋_GB2312"/>
          <w:sz w:val="32"/>
          <w:szCs w:val="32"/>
          <w:highlight w:val="none"/>
          <w:lang w:eastAsia="zh-CN"/>
        </w:rPr>
        <w:t>万元，</w:t>
      </w:r>
      <w:r>
        <w:rPr>
          <w:rFonts w:hint="eastAsia" w:ascii="仿宋_GB2312" w:hAnsi="仿宋" w:eastAsia="仿宋_GB2312" w:cs="仿宋_GB2312"/>
          <w:sz w:val="32"/>
          <w:szCs w:val="32"/>
          <w:highlight w:val="none"/>
          <w:lang w:val="en-US" w:eastAsia="zh-CN"/>
        </w:rPr>
        <w:t>减幅2.43</w:t>
      </w:r>
      <w:r>
        <w:rPr>
          <w:rFonts w:hint="eastAsia" w:ascii="仿宋_GB2312" w:hAnsi="仿宋" w:eastAsia="仿宋_GB2312" w:cs="仿宋_GB2312"/>
          <w:sz w:val="32"/>
          <w:szCs w:val="32"/>
          <w:highlight w:val="none"/>
          <w:lang w:eastAsia="zh-CN"/>
        </w:rPr>
        <w:t>%。政府性基金预算安排</w:t>
      </w:r>
      <w:r>
        <w:rPr>
          <w:rFonts w:hint="eastAsia" w:ascii="仿宋_GB2312" w:hAnsi="仿宋" w:eastAsia="仿宋_GB2312" w:cs="仿宋_GB2312"/>
          <w:sz w:val="32"/>
          <w:szCs w:val="32"/>
          <w:highlight w:val="none"/>
          <w:lang w:val="en-US" w:eastAsia="zh-CN"/>
        </w:rPr>
        <w:t>0万元。</w:t>
      </w:r>
      <w:r>
        <w:rPr>
          <w:rFonts w:hint="eastAsia" w:ascii="仿宋_GB2312" w:hAnsi="仿宋_GB2312" w:eastAsia="仿宋_GB2312" w:cs="仿宋_GB2312"/>
          <w:b w:val="0"/>
          <w:bCs/>
          <w:sz w:val="32"/>
          <w:szCs w:val="32"/>
        </w:rPr>
        <w:t>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因公出国（境）费0万元,与上年持平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公务接待费105.9万元，</w:t>
      </w:r>
      <w:r>
        <w:rPr>
          <w:rFonts w:hint="eastAsia" w:ascii="仿宋_GB2312" w:hAnsi="仿宋_GB2312" w:eastAsia="仿宋_GB2312" w:cs="仿宋_GB2312"/>
          <w:b w:val="0"/>
          <w:bCs/>
          <w:sz w:val="32"/>
          <w:szCs w:val="32"/>
          <w:lang w:val="en-US" w:eastAsia="zh-CN"/>
        </w:rPr>
        <w:t>同比减少2.9万元，减幅2.67%</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公务用车购置费117.78万元，</w:t>
      </w:r>
      <w:r>
        <w:rPr>
          <w:rFonts w:hint="eastAsia" w:ascii="仿宋_GB2312" w:hAnsi="仿宋_GB2312" w:eastAsia="仿宋_GB2312" w:cs="仿宋_GB2312"/>
          <w:b w:val="0"/>
          <w:bCs/>
          <w:sz w:val="32"/>
          <w:szCs w:val="32"/>
          <w:lang w:val="en-US" w:eastAsia="zh-CN"/>
        </w:rPr>
        <w:t>同比</w:t>
      </w:r>
      <w:r>
        <w:rPr>
          <w:rFonts w:hint="eastAsia" w:ascii="仿宋_GB2312" w:hAnsi="仿宋" w:eastAsia="仿宋_GB2312" w:cs="仿宋_GB2312"/>
          <w:sz w:val="32"/>
          <w:szCs w:val="32"/>
          <w:lang w:val="en-US" w:eastAsia="zh-CN"/>
        </w:rPr>
        <w:t>增加117.78万元</w:t>
      </w:r>
      <w:r>
        <w:rPr>
          <w:rFonts w:hint="eastAsia" w:ascii="仿宋_GB2312" w:hAnsi="仿宋" w:eastAsia="仿宋_GB2312" w:cs="仿宋_GB2312"/>
          <w:sz w:val="32"/>
          <w:szCs w:val="32"/>
          <w:lang w:eastAsia="zh-CN"/>
        </w:rPr>
        <w:t>，主要是市直部门有报废车辆，需要新购置公务用车；</w:t>
      </w:r>
      <w:r>
        <w:rPr>
          <w:rFonts w:hint="eastAsia" w:ascii="仿宋_GB2312" w:hAnsi="仿宋_GB2312" w:eastAsia="仿宋_GB2312" w:cs="仿宋_GB2312"/>
          <w:b w:val="0"/>
          <w:bCs/>
          <w:sz w:val="32"/>
          <w:szCs w:val="32"/>
        </w:rPr>
        <w:t>公车运行维护费344万元，</w:t>
      </w:r>
      <w:r>
        <w:rPr>
          <w:rFonts w:hint="eastAsia" w:ascii="仿宋_GB2312" w:hAnsi="仿宋_GB2312" w:eastAsia="仿宋_GB2312" w:cs="仿宋_GB2312"/>
          <w:b w:val="0"/>
          <w:bCs/>
          <w:sz w:val="32"/>
          <w:szCs w:val="32"/>
          <w:lang w:val="en-US" w:eastAsia="zh-CN"/>
        </w:rPr>
        <w:t>同比减少129.02万元，减幅27.28</w:t>
      </w:r>
      <w:r>
        <w:rPr>
          <w:rFonts w:hint="eastAsia" w:ascii="仿宋_GB2312" w:hAnsi="仿宋" w:eastAsia="仿宋_GB2312" w:cs="仿宋_GB2312"/>
          <w:sz w:val="32"/>
          <w:szCs w:val="32"/>
          <w:lang w:eastAsia="zh-CN"/>
        </w:rPr>
        <w:t>%，主要是市直部门公车使用减少。</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关于举借债务情况的说明</w:t>
      </w:r>
    </w:p>
    <w:p>
      <w:pPr>
        <w:spacing w:line="700" w:lineRule="exact"/>
        <w:ind w:firstLine="640" w:firstLineChars="200"/>
        <w:rPr>
          <w:rFonts w:hint="eastAsia" w:ascii="仿宋_GB2312" w:hAnsi="仿宋_GB2312" w:eastAsia="仿宋_GB2312" w:cs="仿宋_GB2312"/>
          <w:b w:val="0"/>
          <w:bCs/>
          <w:sz w:val="32"/>
          <w:szCs w:val="32"/>
        </w:rPr>
      </w:pPr>
      <w:r>
        <w:rPr>
          <w:rFonts w:hint="eastAsia" w:ascii="仿宋_GB2312" w:hAnsi="仿宋" w:eastAsia="仿宋_GB2312" w:cs="仿宋_GB2312"/>
          <w:sz w:val="32"/>
          <w:szCs w:val="32"/>
          <w:lang w:val="en-US" w:eastAsia="zh-CN"/>
        </w:rPr>
        <w:t>2023年需安排一般债券还本付息付费资金47217万元，其中：偿还一般债券到期本金39559万元；支付一般债券利息7658万元。</w:t>
      </w:r>
      <w:r>
        <w:rPr>
          <w:rFonts w:hint="eastAsia" w:ascii="仿宋_GB2312" w:hAnsi="仿宋_GB2312" w:eastAsia="仿宋_GB2312" w:cs="仿宋_GB2312"/>
          <w:b w:val="0"/>
          <w:bCs/>
          <w:sz w:val="32"/>
          <w:szCs w:val="32"/>
        </w:rPr>
        <w:t>截至202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年底，市本级政府一般债务余额</w:t>
      </w:r>
      <w:r>
        <w:rPr>
          <w:rFonts w:hint="eastAsia" w:ascii="仿宋_GB2312" w:hAnsi="仿宋" w:eastAsia="仿宋_GB2312" w:cs="仿宋_GB2312"/>
          <w:sz w:val="32"/>
          <w:szCs w:val="32"/>
          <w:lang w:val="en-US" w:eastAsia="zh-CN"/>
        </w:rPr>
        <w:t>228138</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w:t>
      </w:r>
      <w:r>
        <w:rPr>
          <w:rFonts w:hint="eastAsia" w:ascii="仿宋_GB2312" w:hAnsi="仿宋" w:eastAsia="仿宋_GB2312" w:cs="仿宋_GB2312"/>
          <w:sz w:val="32"/>
          <w:szCs w:val="32"/>
          <w:lang w:val="en-US" w:eastAsia="zh-CN"/>
        </w:rPr>
        <w:t>2023年需安排专项债券还本付息付费资金28574万元，其中：偿还专项债券到期本金21850万元；支付专项</w:t>
      </w:r>
      <w:bookmarkStart w:id="2" w:name="_GoBack"/>
      <w:bookmarkEnd w:id="2"/>
      <w:r>
        <w:rPr>
          <w:rFonts w:hint="eastAsia" w:ascii="仿宋_GB2312" w:hAnsi="仿宋" w:eastAsia="仿宋_GB2312" w:cs="仿宋_GB2312"/>
          <w:sz w:val="32"/>
          <w:szCs w:val="32"/>
          <w:lang w:val="en-US" w:eastAsia="zh-CN"/>
        </w:rPr>
        <w:t>债券利息6724万元。</w:t>
      </w:r>
      <w:r>
        <w:rPr>
          <w:rFonts w:hint="eastAsia" w:ascii="仿宋_GB2312" w:hAnsi="仿宋_GB2312" w:eastAsia="仿宋_GB2312" w:cs="仿宋_GB2312"/>
          <w:b w:val="0"/>
          <w:bCs/>
          <w:sz w:val="32"/>
          <w:szCs w:val="32"/>
        </w:rPr>
        <w:t>截至202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年底，市本级政府专项债务余额</w:t>
      </w:r>
      <w:r>
        <w:rPr>
          <w:rFonts w:hint="eastAsia" w:ascii="仿宋_GB2312" w:hAnsi="仿宋" w:eastAsia="仿宋_GB2312" w:cs="仿宋_GB2312"/>
          <w:sz w:val="32"/>
          <w:szCs w:val="32"/>
          <w:lang w:val="en-US" w:eastAsia="zh-CN"/>
        </w:rPr>
        <w:t>196450</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w:t>
      </w:r>
    </w:p>
    <w:p>
      <w:pPr>
        <w:autoSpaceDN w:val="0"/>
        <w:snapToGrid w:val="0"/>
        <w:spacing w:line="58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需要说明的是：202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年地方政府新增债务限额暂未下达，待省级下达我市新增限额后，按程序提请市人大常委会批准审议。</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关于转移支付情况的说明</w:t>
      </w:r>
    </w:p>
    <w:p>
      <w:pPr>
        <w:spacing w:line="61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（一）一般公共预算转移支付</w:t>
      </w:r>
    </w:p>
    <w:p>
      <w:pPr>
        <w:spacing w:line="610" w:lineRule="exact"/>
        <w:ind w:firstLine="643" w:firstLineChars="200"/>
        <w:rPr>
          <w:rFonts w:ascii="楷体_GB2312" w:eastAsia="楷体_GB2312" w:cs="仿宋_GB2312"/>
          <w:b/>
          <w:bCs/>
          <w:sz w:val="32"/>
          <w:szCs w:val="32"/>
          <w:lang w:eastAsia="zh-CN"/>
        </w:rPr>
      </w:pPr>
      <w:r>
        <w:rPr>
          <w:rFonts w:hint="eastAsia" w:ascii="楷体_GB2312" w:eastAsia="楷体_GB2312" w:cs="仿宋_GB2312"/>
          <w:b/>
          <w:bCs/>
          <w:sz w:val="32"/>
          <w:szCs w:val="32"/>
          <w:lang w:eastAsia="zh-CN"/>
        </w:rPr>
        <w:t>一</w:t>
      </w:r>
      <w:r>
        <w:rPr>
          <w:rFonts w:ascii="楷体_GB2312" w:eastAsia="楷体_GB2312" w:cs="仿宋_GB2312"/>
          <w:b/>
          <w:bCs/>
          <w:sz w:val="32"/>
          <w:szCs w:val="32"/>
          <w:lang w:eastAsia="zh-CN"/>
        </w:rPr>
        <w:t>、</w:t>
      </w:r>
      <w:r>
        <w:rPr>
          <w:rFonts w:hint="eastAsia" w:ascii="楷体_GB2312" w:eastAsia="楷体_GB2312" w:cs="仿宋_GB2312"/>
          <w:b/>
          <w:bCs/>
          <w:sz w:val="32"/>
          <w:szCs w:val="32"/>
          <w:lang w:eastAsia="zh-CN"/>
        </w:rPr>
        <w:t>一般性转移支付，即财力性补助。</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2023年预算安排一般性转移支付60458万元。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1、体制补助收入1457万元。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2、均衡性转移支付收入25366万元。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3、县级基本财力保障机制奖补资金收入12390万元。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4、结算补助收入956万元。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5、重点生态功能区转移支付收入3634万元。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6、固定数额补助收入8728万元。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7、革命老区转移支付收入778万元。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8、社会保障和就业共同财政事权转移支付收入 23万元。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9、其他一般性转移支付收入7126万元。</w:t>
      </w:r>
    </w:p>
    <w:p>
      <w:pPr>
        <w:spacing w:line="610" w:lineRule="exact"/>
        <w:ind w:firstLine="643" w:firstLineChars="200"/>
        <w:rPr>
          <w:rFonts w:ascii="楷体_GB2312" w:eastAsia="楷体_GB2312" w:cs="仿宋_GB2312"/>
          <w:b/>
          <w:bCs/>
          <w:sz w:val="32"/>
          <w:szCs w:val="32"/>
          <w:lang w:eastAsia="zh-CN"/>
        </w:rPr>
      </w:pPr>
      <w:r>
        <w:rPr>
          <w:rFonts w:hint="eastAsia" w:ascii="楷体_GB2312" w:eastAsia="楷体_GB2312" w:cs="仿宋_GB2312"/>
          <w:b/>
          <w:bCs/>
          <w:sz w:val="32"/>
          <w:szCs w:val="32"/>
          <w:lang w:eastAsia="zh-CN"/>
        </w:rPr>
        <w:t>二、专项转移支付，即部门专项资金。</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2023年预算安排专项转移支付52809.15万元。</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一般公共服务56.3万元。2、公共安全970.5万元。3、教育13197.06万元。4、科学技术支出552.53万元。5、文化旅游体育与传媒496.28万元。6、社会保障和就业19578.75万元。7、卫生健康支出3688.78万元。8、节能环保1576.46万元。9、农林水10882.15万元。10、交通运输224万元。11、资源勘探工业信息等支出250万元。12、商业服务业等支出625万元。13、住房保障支出466万元。14、灾害防治及应急管理支出245.34万元。</w:t>
      </w:r>
    </w:p>
    <w:p>
      <w:pPr>
        <w:spacing w:line="610" w:lineRule="exact"/>
        <w:ind w:firstLine="643" w:firstLineChars="200"/>
        <w:rPr>
          <w:rFonts w:ascii="楷体_GB2312" w:eastAsia="楷体_GB2312" w:cs="仿宋_GB2312"/>
          <w:b/>
          <w:bCs/>
          <w:sz w:val="32"/>
          <w:szCs w:val="32"/>
          <w:lang w:eastAsia="zh-CN"/>
        </w:rPr>
      </w:pPr>
      <w:r>
        <w:rPr>
          <w:rFonts w:hint="eastAsia" w:ascii="楷体_GB2312" w:eastAsia="楷体_GB2312" w:cs="仿宋_GB2312"/>
          <w:b/>
          <w:bCs/>
          <w:sz w:val="32"/>
          <w:szCs w:val="32"/>
          <w:lang w:eastAsia="zh-CN"/>
        </w:rPr>
        <w:t>（二）政府性</w:t>
      </w:r>
      <w:r>
        <w:rPr>
          <w:rFonts w:ascii="楷体_GB2312" w:eastAsia="楷体_GB2312" w:cs="仿宋_GB2312"/>
          <w:b/>
          <w:bCs/>
          <w:sz w:val="32"/>
          <w:szCs w:val="32"/>
          <w:lang w:eastAsia="zh-CN"/>
        </w:rPr>
        <w:t>基金预算转移支付</w:t>
      </w:r>
    </w:p>
    <w:p>
      <w:pPr>
        <w:spacing w:line="610" w:lineRule="exact"/>
        <w:ind w:firstLine="640" w:firstLineChars="200"/>
        <w:rPr>
          <w:rFonts w:hint="eastAsia" w:ascii="仿宋" w:hAnsi="仿宋" w:eastAsia="仿宋"/>
          <w:sz w:val="32"/>
          <w:szCs w:val="32"/>
          <w:lang w:eastAsia="zh-CN"/>
        </w:rPr>
      </w:pPr>
      <w:r>
        <w:rPr>
          <w:rFonts w:hint="eastAsia" w:ascii="仿宋_GB2312" w:hAnsi="仿宋" w:eastAsia="仿宋_GB2312" w:cs="仿宋_GB2312"/>
          <w:sz w:val="32"/>
          <w:szCs w:val="32"/>
          <w:lang w:val="en-US" w:eastAsia="zh-CN"/>
        </w:rPr>
        <w:t>2023年预算安排政府性基金转移支付964.81万元。按支出功能分类，包括：文化旅游体育与传媒支出9万元，社会保障和就业支出483.56万元，其他支出472万元。</w:t>
      </w:r>
    </w:p>
    <w:p>
      <w:pPr>
        <w:spacing w:line="610" w:lineRule="exact"/>
        <w:ind w:firstLine="643" w:firstLineChars="200"/>
        <w:rPr>
          <w:rFonts w:hint="eastAsia" w:ascii="楷体_GB2312" w:eastAsia="楷体_GB2312" w:cs="仿宋_GB2312"/>
          <w:b/>
          <w:bCs/>
          <w:sz w:val="32"/>
          <w:szCs w:val="32"/>
          <w:lang w:eastAsia="zh-CN"/>
        </w:rPr>
      </w:pPr>
      <w:r>
        <w:rPr>
          <w:rFonts w:hint="eastAsia" w:ascii="楷体_GB2312" w:eastAsia="楷体_GB2312" w:cs="仿宋_GB2312"/>
          <w:b/>
          <w:bCs/>
          <w:sz w:val="32"/>
          <w:szCs w:val="32"/>
          <w:lang w:eastAsia="zh-CN"/>
        </w:rPr>
        <w:t>（三）国有资本</w:t>
      </w:r>
      <w:r>
        <w:rPr>
          <w:rFonts w:ascii="楷体_GB2312" w:eastAsia="楷体_GB2312" w:cs="仿宋_GB2312"/>
          <w:b/>
          <w:bCs/>
          <w:sz w:val="32"/>
          <w:szCs w:val="32"/>
          <w:lang w:eastAsia="zh-CN"/>
        </w:rPr>
        <w:t>经营预算转移支付</w:t>
      </w:r>
    </w:p>
    <w:p>
      <w:pPr>
        <w:spacing w:line="61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lang w:val="en-US" w:eastAsia="zh-CN"/>
        </w:rPr>
        <w:t>2023年预算安排国有资本经营转移支付72万元，用于解决历史遗留问题及改革成本支出。</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年政府采购预算情况说明</w:t>
      </w:r>
    </w:p>
    <w:p>
      <w:pPr>
        <w:spacing w:line="7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进一步加强政府采购预算管理，规范政府采购预算的编制及执行，提高政府采购资金的使用效率，按照《政府采购法》的规定和《河北省政府采购集中采购目录和限额标准》确定的政府采购范围，编制政府采购预算。未编报政府采购预算的部门单位，一律停止办理政府采购项目。政府采购预算一经批复，各单位应严格按照批准的政府采购预算办理政府采购执行计划。未列入政府采购预算的项目，不得实施政府采购计划。年度内确因工作原因，需调整政府采购预算的，应按预算调整的相关手续办理。</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预算绩效管理工作开展情况</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沙河市预算绩效管理工作坚持积极谋划、主动作为、多措并举，认真贯彻落实中央、省、市关于全面实施预算绩效管理决策部署，坚持以全面实施预算绩效管理为关键点和突破口，有力推动预算绩效管理工作提质增效，提升财政资金使用效益和政策实施效果。</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一是开展事前绩效评估。</w:t>
      </w:r>
      <w:r>
        <w:rPr>
          <w:rFonts w:hint="eastAsia" w:ascii="仿宋_GB2312" w:hAnsi="仿宋" w:eastAsia="仿宋_GB2312" w:cs="仿宋_GB2312"/>
          <w:sz w:val="32"/>
          <w:szCs w:val="32"/>
          <w:lang w:val="en-US" w:eastAsia="zh-CN"/>
        </w:rPr>
        <w:t>在编制下年度预算时开展绩效评估，将事前绩效评估报告作为申请预算的必备条件，对新增重大政策、重大专项未按要求开展绩效评估或绩效评估结果差的不得列入年度预算，相关项目不得纳入预算项目库，并将评估结果应用于预算编制。</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二是做实绩效监控</w:t>
      </w:r>
      <w:r>
        <w:rPr>
          <w:rFonts w:hint="eastAsia" w:ascii="仿宋_GB2312" w:hAnsi="仿宋" w:eastAsia="仿宋_GB2312" w:cs="仿宋_GB2312"/>
          <w:sz w:val="32"/>
          <w:szCs w:val="32"/>
          <w:lang w:val="en-US" w:eastAsia="zh-CN"/>
        </w:rPr>
        <w:t>。定期对各预算部门绩效目标实现程度和预算执行情况开展绩效监控汇总，分析存在的问题，结合预算执行，提出建议意见，督促单位及时整改。对预算执行明显偏离绩效目标、大幅落后进度要求或预计难以完成绩效目标的，按程序采取暂缓或停止拨款、调整预算、调整绩效目标指标等措施。</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三是加强绩效评价。</w:t>
      </w:r>
      <w:r>
        <w:rPr>
          <w:rFonts w:hint="eastAsia" w:ascii="仿宋_GB2312" w:hAnsi="仿宋" w:eastAsia="仿宋_GB2312" w:cs="仿宋_GB2312"/>
          <w:sz w:val="32"/>
          <w:szCs w:val="32"/>
          <w:lang w:val="en-US" w:eastAsia="zh-CN"/>
        </w:rPr>
        <w:t>科学设置评价指标，形成各类支出、目标内容、绩效特色、细化量化的绩效指标体系。将项目实施水平、经济效益、社会效益、生态效益和可持续影响等列为评价范围。建立绩效评价结果的反馈与整改、激励与问责制度，进一步完善绩效评价结果的反馈和运用机制，将绩效结果公开，进一步增强单位的责任感和紧迫感。</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重大政策和重点项目等绩效目标：</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1.基层政权和社区党组织服务群众专项经费绩效目标表</w:t>
      </w:r>
    </w:p>
    <w:tbl>
      <w:tblPr>
        <w:tblStyle w:val="7"/>
        <w:tblW w:w="9380" w:type="dxa"/>
        <w:jc w:val="center"/>
        <w:tblInd w:w="-53"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80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50" w:type="dxa"/>
            <w:vAlign w:val="center"/>
          </w:tcPr>
          <w:p>
            <w:pPr>
              <w:pStyle w:val="9"/>
              <w:keepNext w:val="0"/>
              <w:keepLines w:val="0"/>
              <w:suppressLineNumbers w:val="0"/>
              <w:spacing w:beforeAutospacing="0" w:afterAutospacing="0"/>
              <w:ind w:left="0" w:right="0"/>
              <w:rPr>
                <w:rFonts w:hint="eastAsia" w:ascii="仿宋_GB2312" w:hAnsi="仿宋" w:eastAsia="仿宋_GB2312" w:cs="仿宋_GB2312"/>
                <w:b w:val="0"/>
                <w:sz w:val="28"/>
                <w:szCs w:val="28"/>
                <w:lang w:val="en-US" w:eastAsia="zh-CN" w:bidi="ar-SA"/>
              </w:rPr>
            </w:pPr>
            <w:r>
              <w:rPr>
                <w:rFonts w:hint="eastAsia"/>
                <w:lang w:val="en-US" w:eastAsia="zh-CN"/>
              </w:rPr>
              <w:t>绩效目标</w:t>
            </w:r>
          </w:p>
        </w:tc>
        <w:tc>
          <w:tcPr>
            <w:tcW w:w="8030" w:type="dxa"/>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b w:val="0"/>
                <w:sz w:val="28"/>
                <w:szCs w:val="28"/>
                <w:lang w:val="en-US" w:eastAsia="zh-CN" w:bidi="ar-SA"/>
              </w:rPr>
            </w:pPr>
            <w:r>
              <w:rPr>
                <w:rFonts w:hint="eastAsia" w:ascii="仿宋_GB2312" w:hAnsi="仿宋" w:eastAsia="仿宋_GB2312" w:cs="仿宋_GB2312"/>
                <w:b w:val="0"/>
                <w:sz w:val="28"/>
                <w:szCs w:val="28"/>
                <w:lang w:val="en-US" w:eastAsia="zh-CN" w:bidi="ar-SA"/>
              </w:rPr>
              <w:t>进一步加强社区居民委员会建设工作。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3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340"/>
        <w:gridCol w:w="1340"/>
        <w:gridCol w:w="2680"/>
        <w:gridCol w:w="1340"/>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1340" w:type="dxa"/>
            <w:vAlign w:val="center"/>
          </w:tcPr>
          <w:p>
            <w:pPr>
              <w:pStyle w:val="9"/>
              <w:keepNext w:val="0"/>
              <w:keepLines w:val="0"/>
              <w:suppressLineNumbers w:val="0"/>
              <w:spacing w:beforeAutospacing="0" w:afterAutospacing="0"/>
              <w:ind w:left="0" w:right="0"/>
              <w:rPr>
                <w:rFonts w:hint="default"/>
              </w:rPr>
            </w:pPr>
            <w:r>
              <w:rPr>
                <w:rFonts w:hint="default"/>
              </w:rPr>
              <w:t>一级指标</w:t>
            </w:r>
          </w:p>
        </w:tc>
        <w:tc>
          <w:tcPr>
            <w:tcW w:w="1340" w:type="dxa"/>
            <w:vAlign w:val="center"/>
          </w:tcPr>
          <w:p>
            <w:pPr>
              <w:pStyle w:val="9"/>
              <w:keepNext w:val="0"/>
              <w:keepLines w:val="0"/>
              <w:suppressLineNumbers w:val="0"/>
              <w:spacing w:beforeAutospacing="0" w:afterAutospacing="0"/>
              <w:ind w:left="0" w:right="0"/>
              <w:rPr>
                <w:rFonts w:hint="default"/>
              </w:rPr>
            </w:pPr>
            <w:r>
              <w:rPr>
                <w:rFonts w:hint="default"/>
              </w:rPr>
              <w:t>二级指标</w:t>
            </w:r>
          </w:p>
        </w:tc>
        <w:tc>
          <w:tcPr>
            <w:tcW w:w="1340" w:type="dxa"/>
            <w:vAlign w:val="center"/>
          </w:tcPr>
          <w:p>
            <w:pPr>
              <w:pStyle w:val="9"/>
              <w:keepNext w:val="0"/>
              <w:keepLines w:val="0"/>
              <w:suppressLineNumbers w:val="0"/>
              <w:spacing w:beforeAutospacing="0" w:afterAutospacing="0"/>
              <w:ind w:left="0" w:right="0"/>
              <w:rPr>
                <w:rFonts w:hint="default"/>
              </w:rPr>
            </w:pPr>
            <w:r>
              <w:rPr>
                <w:rFonts w:hint="default"/>
              </w:rPr>
              <w:t>三级指标</w:t>
            </w:r>
          </w:p>
        </w:tc>
        <w:tc>
          <w:tcPr>
            <w:tcW w:w="2680" w:type="dxa"/>
            <w:vAlign w:val="center"/>
          </w:tcPr>
          <w:p>
            <w:pPr>
              <w:pStyle w:val="9"/>
              <w:keepNext w:val="0"/>
              <w:keepLines w:val="0"/>
              <w:suppressLineNumbers w:val="0"/>
              <w:spacing w:beforeAutospacing="0" w:afterAutospacing="0"/>
              <w:ind w:left="0" w:right="0"/>
              <w:rPr>
                <w:rFonts w:hint="default"/>
              </w:rPr>
            </w:pPr>
            <w:r>
              <w:rPr>
                <w:rFonts w:hint="default"/>
              </w:rPr>
              <w:t>绩效指标描述</w:t>
            </w:r>
          </w:p>
        </w:tc>
        <w:tc>
          <w:tcPr>
            <w:tcW w:w="1340" w:type="dxa"/>
            <w:vAlign w:val="center"/>
          </w:tcPr>
          <w:p>
            <w:pPr>
              <w:pStyle w:val="9"/>
              <w:keepNext w:val="0"/>
              <w:keepLines w:val="0"/>
              <w:suppressLineNumbers w:val="0"/>
              <w:spacing w:beforeAutospacing="0" w:afterAutospacing="0"/>
              <w:ind w:left="0" w:right="0"/>
              <w:rPr>
                <w:rFonts w:hint="default"/>
              </w:rPr>
            </w:pPr>
            <w:r>
              <w:rPr>
                <w:rFonts w:hint="default"/>
              </w:rPr>
              <w:t>指标值</w:t>
            </w:r>
          </w:p>
        </w:tc>
        <w:tc>
          <w:tcPr>
            <w:tcW w:w="1340" w:type="dxa"/>
            <w:vAlign w:val="center"/>
          </w:tcPr>
          <w:p>
            <w:pPr>
              <w:pStyle w:val="9"/>
              <w:keepNext w:val="0"/>
              <w:keepLines w:val="0"/>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Merge w:val="restart"/>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工资发放率</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已发放资金占应发放资金的比例</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完成质量</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按时发放工资、保险及信息化建设和培训经费</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办公经费发放率</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已发放资金占应发放资金的比例</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项目资金</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工资、保险及信息化建设和培训经费</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可持续影响指标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工作按时完成比例</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工作按时完成比例</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40" w:type="dxa"/>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工作人员满意度</w:t>
            </w:r>
          </w:p>
        </w:tc>
        <w:tc>
          <w:tcPr>
            <w:tcW w:w="268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按时发放工资、保险和信息化建设和培训经费</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40"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调查问卷</w:t>
            </w:r>
          </w:p>
        </w:tc>
      </w:tr>
    </w:tbl>
    <w:p>
      <w:pPr>
        <w:rPr>
          <w:sz w:val="24"/>
          <w:szCs w:val="24"/>
        </w:rPr>
        <w:sectPr>
          <w:headerReference r:id="rId3" w:type="default"/>
          <w:footerReference r:id="rId4" w:type="default"/>
          <w:pgSz w:w="11900" w:h="16840"/>
          <w:pgMar w:top="1984" w:right="1304" w:bottom="1134" w:left="1304" w:header="720" w:footer="720" w:gutter="0"/>
          <w:pgBorders>
            <w:top w:val="none" w:sz="0" w:space="0"/>
            <w:left w:val="none" w:sz="0" w:space="0"/>
            <w:bottom w:val="none" w:sz="0" w:space="0"/>
            <w:right w:val="none" w:sz="0" w:space="0"/>
          </w:pgBorders>
        </w:sectPr>
      </w:pPr>
    </w:p>
    <w:p>
      <w:pPr>
        <w:pStyle w:val="2"/>
        <w:numPr>
          <w:ilvl w:val="0"/>
          <w:numId w:val="0"/>
        </w:numPr>
        <w:kinsoku w:val="0"/>
        <w:overflowPunct w:val="0"/>
        <w:spacing w:before="76" w:beforeLines="0" w:afterLines="0"/>
        <w:ind w:firstLine="640" w:firstLineChars="200"/>
        <w:rPr>
          <w:rFonts w:hint="eastAsia" w:ascii="仿宋_GB2312" w:hAnsi="仿宋" w:eastAsia="仿宋_GB2312" w:cs="仿宋_GB2312"/>
          <w:sz w:val="32"/>
          <w:szCs w:val="32"/>
          <w:lang w:val="en-US" w:eastAsia="zh-CN" w:bidi="ar-SA"/>
        </w:rPr>
      </w:pPr>
      <w:r>
        <w:rPr>
          <w:rFonts w:hint="eastAsia" w:ascii="仿宋_GB2312" w:hAnsi="仿宋" w:eastAsia="仿宋_GB2312" w:cs="仿宋_GB2312"/>
          <w:sz w:val="32"/>
          <w:szCs w:val="32"/>
          <w:lang w:val="en-US" w:eastAsia="zh-CN" w:bidi="ar-SA"/>
        </w:rPr>
        <w:t>2.图书馆、文化站免费开放绩效目标表</w:t>
      </w:r>
    </w:p>
    <w:tbl>
      <w:tblPr>
        <w:tblStyle w:val="7"/>
        <w:tblpPr w:leftFromText="180" w:rightFromText="180" w:vertAnchor="text" w:horzAnchor="page" w:tblpX="1799" w:tblpY="71"/>
        <w:tblOverlap w:val="never"/>
        <w:tblW w:w="8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7"/>
        <w:gridCol w:w="1440"/>
        <w:gridCol w:w="1152"/>
        <w:gridCol w:w="1900"/>
        <w:gridCol w:w="1040"/>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397"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51" w:lineRule="exact"/>
              <w:ind w:left="93" w:right="76"/>
              <w:jc w:val="center"/>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绩效目标</w:t>
            </w:r>
          </w:p>
        </w:tc>
        <w:tc>
          <w:tcPr>
            <w:tcW w:w="6888" w:type="dxa"/>
            <w:gridSpan w:val="5"/>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58" w:lineRule="exact"/>
              <w:ind w:left="0" w:right="0"/>
              <w:rPr>
                <w:rFonts w:hint="eastAsia"/>
                <w:sz w:val="21"/>
              </w:rPr>
            </w:pPr>
            <w:r>
              <w:rPr>
                <w:rFonts w:hint="eastAsia"/>
                <w:sz w:val="21"/>
              </w:rPr>
              <w:t>通过补助</w:t>
            </w:r>
            <w:r>
              <w:rPr>
                <w:rFonts w:hint="default" w:ascii="Times New Roman" w:hAnsi="Times New Roman" w:eastAsia="Times New Roman"/>
                <w:sz w:val="21"/>
              </w:rPr>
              <w:t>“</w:t>
            </w:r>
            <w:r>
              <w:rPr>
                <w:rFonts w:hint="eastAsia"/>
                <w:sz w:val="21"/>
              </w:rPr>
              <w:t>三馆一站</w:t>
            </w:r>
            <w:r>
              <w:rPr>
                <w:rFonts w:hint="default" w:ascii="Times New Roman" w:hAnsi="Times New Roman" w:eastAsia="Times New Roman"/>
                <w:sz w:val="21"/>
              </w:rPr>
              <w:t>”</w:t>
            </w:r>
            <w:r>
              <w:rPr>
                <w:rFonts w:hint="eastAsia"/>
                <w:sz w:val="21"/>
              </w:rPr>
              <w:t>，面向社会公众进行免费开放，提高开放服务水。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139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一级指标</w:t>
            </w: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二级指标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三级指标</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绩效指标描述</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指标值</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rPr>
                <w:rFonts w:hint="default" w:ascii="Microsoft JhengHei" w:hAnsi="Microsoft JhengHei" w:eastAsia="Microsoft JhengHei"/>
                <w:b/>
                <w:sz w:val="21"/>
              </w:rPr>
            </w:pPr>
            <w:r>
              <w:rPr>
                <w:rFonts w:hint="default"/>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5" w:hRule="atLeast"/>
        </w:trPr>
        <w:tc>
          <w:tcPr>
            <w:tcW w:w="1397"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免费开放比例</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列入资金补助范围且进行免费开放的</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占列入资金补助范围的</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的比例</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政府文件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139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平均免费开放服务项目</w:t>
            </w: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列入资金补助范围</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 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的免费开展的服务项目的</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平均数量</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≥3</w:t>
            </w:r>
            <w:r>
              <w:rPr>
                <w:rFonts w:hint="eastAsia" w:ascii="仿宋_GB2312" w:hAnsi="仿宋" w:eastAsia="仿宋_GB2312" w:cs="仿宋_GB2312"/>
                <w:sz w:val="24"/>
                <w:szCs w:val="24"/>
                <w:lang w:val="en-US" w:eastAsia="zh-CN" w:bidi="ar-SA"/>
              </w:rPr>
              <w:t>个</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trPr>
        <w:tc>
          <w:tcPr>
            <w:tcW w:w="139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资金补助拨</w:t>
            </w: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付时间</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拨付基层</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免费开</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放补助经费的时间</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3</w:t>
            </w:r>
            <w:r>
              <w:rPr>
                <w:rFonts w:hint="eastAsia" w:ascii="仿宋_GB2312" w:hAnsi="仿宋" w:eastAsia="仿宋_GB2312" w:cs="仿宋_GB2312"/>
                <w:sz w:val="24"/>
                <w:szCs w:val="24"/>
                <w:lang w:val="en-US" w:eastAsia="zh-CN" w:bidi="ar-SA"/>
              </w:rPr>
              <w:t>月底</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139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服务项目资金拨付比例</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列入资金补助范围的</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用于免费开展基本公共文</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化服务项目的资金拨付比例</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139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社会效益指标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服务群众</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列入资金补助范围</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免费对群众提供开放服务</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提供对外免费开放服务</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水平</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6" w:hRule="atLeast"/>
        </w:trPr>
        <w:tc>
          <w:tcPr>
            <w:tcW w:w="139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4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15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群众满意度</w:t>
            </w:r>
          </w:p>
        </w:tc>
        <w:tc>
          <w:tcPr>
            <w:tcW w:w="190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列入资金补助范围的地区群众对本地区</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三馆一站</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免费</w:t>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开放工作的满意度</w:t>
            </w:r>
          </w:p>
        </w:tc>
        <w:tc>
          <w:tcPr>
            <w:tcW w:w="1040"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≥80%</w:t>
            </w:r>
          </w:p>
        </w:tc>
        <w:tc>
          <w:tcPr>
            <w:tcW w:w="13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问卷调查</w:t>
            </w:r>
          </w:p>
        </w:tc>
      </w:tr>
    </w:tbl>
    <w:p>
      <w:pPr>
        <w:pStyle w:val="2"/>
        <w:kinsoku w:val="0"/>
        <w:overflowPunct w:val="0"/>
        <w:spacing w:beforeLines="0" w:afterLines="0"/>
        <w:rPr>
          <w:rFonts w:hint="eastAsia"/>
          <w:sz w:val="24"/>
          <w:szCs w:val="24"/>
        </w:rPr>
      </w:pPr>
    </w:p>
    <w:p>
      <w:pPr>
        <w:spacing w:line="610" w:lineRule="exact"/>
        <w:rPr>
          <w:rFonts w:hint="eastAsia" w:ascii="仿宋_GB2312" w:hAnsi="仿宋" w:eastAsia="仿宋_GB2312" w:cs="仿宋_GB2312"/>
          <w:sz w:val="32"/>
          <w:szCs w:val="32"/>
          <w:lang w:val="en-US" w:eastAsia="zh-CN"/>
        </w:rPr>
      </w:pPr>
    </w:p>
    <w:p>
      <w:pPr>
        <w:pStyle w:val="2"/>
        <w:numPr>
          <w:ilvl w:val="0"/>
          <w:numId w:val="0"/>
        </w:numPr>
        <w:kinsoku w:val="0"/>
        <w:overflowPunct w:val="0"/>
        <w:spacing w:before="76" w:beforeLines="0" w:afterLines="0"/>
        <w:ind w:firstLine="640" w:firstLineChars="200"/>
        <w:rPr>
          <w:rFonts w:hint="eastAsia" w:ascii="仿宋_GB2312" w:hAnsi="仿宋" w:eastAsia="仿宋_GB2312" w:cs="仿宋_GB2312"/>
          <w:sz w:val="32"/>
          <w:szCs w:val="32"/>
          <w:lang w:val="en-US" w:eastAsia="zh-CN" w:bidi="ar-SA"/>
        </w:rPr>
      </w:pPr>
      <w:r>
        <w:rPr>
          <w:rFonts w:hint="eastAsia" w:ascii="仿宋_GB2312" w:hAnsi="仿宋" w:eastAsia="仿宋_GB2312" w:cs="仿宋_GB2312"/>
          <w:sz w:val="32"/>
          <w:szCs w:val="32"/>
          <w:lang w:val="en-US" w:eastAsia="zh-CN" w:bidi="ar-SA"/>
        </w:rPr>
        <w:t>3.农村道路日常养护绩效目标表</w:t>
      </w:r>
    </w:p>
    <w:p>
      <w:pPr>
        <w:pStyle w:val="2"/>
        <w:kinsoku w:val="0"/>
        <w:overflowPunct w:val="0"/>
        <w:spacing w:before="3" w:beforeLines="0" w:afterLines="0"/>
        <w:rPr>
          <w:rFonts w:hint="eastAsia"/>
          <w:sz w:val="6"/>
        </w:rPr>
      </w:pPr>
    </w:p>
    <w:tbl>
      <w:tblPr>
        <w:tblStyle w:val="7"/>
        <w:tblW w:w="8315"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7"/>
        <w:gridCol w:w="1240"/>
        <w:gridCol w:w="1272"/>
        <w:gridCol w:w="1884"/>
        <w:gridCol w:w="1128"/>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0" w:right="0"/>
              <w:jc w:val="center"/>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绩效目标</w:t>
            </w:r>
          </w:p>
        </w:tc>
        <w:tc>
          <w:tcPr>
            <w:tcW w:w="6988" w:type="dxa"/>
            <w:gridSpan w:val="5"/>
            <w:tcBorders>
              <w:top w:val="single" w:color="000000" w:sz="6" w:space="0"/>
              <w:left w:val="single" w:color="000000" w:sz="6" w:space="0"/>
              <w:bottom w:val="double" w:color="000000" w:sz="2"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04" w:lineRule="exact"/>
              <w:ind w:left="0" w:right="-29"/>
              <w:rPr>
                <w:rFonts w:hint="eastAsia"/>
                <w:sz w:val="21"/>
              </w:rPr>
            </w:pPr>
            <w:r>
              <w:rPr>
                <w:rFonts w:hint="eastAsia"/>
                <w:spacing w:val="-2"/>
                <w:sz w:val="21"/>
              </w:rPr>
              <w:t>支持建设改造农村</w:t>
            </w:r>
            <w:r>
              <w:rPr>
                <w:rFonts w:hint="eastAsia"/>
                <w:spacing w:val="-2"/>
                <w:sz w:val="21"/>
                <w:lang w:eastAsia="zh-CN"/>
              </w:rPr>
              <w:t>道</w:t>
            </w:r>
            <w:r>
              <w:rPr>
                <w:rFonts w:hint="eastAsia"/>
                <w:spacing w:val="-2"/>
                <w:sz w:val="21"/>
              </w:rPr>
              <w:t>路</w:t>
            </w:r>
            <w:r>
              <w:rPr>
                <w:rFonts w:hint="eastAsia"/>
                <w:spacing w:val="-7"/>
                <w:sz w:val="21"/>
              </w:rPr>
              <w:t>，农村</w:t>
            </w:r>
            <w:r>
              <w:rPr>
                <w:rFonts w:hint="eastAsia"/>
                <w:spacing w:val="-7"/>
                <w:sz w:val="21"/>
                <w:lang w:eastAsia="zh-CN"/>
              </w:rPr>
              <w:t>道</w:t>
            </w:r>
            <w:r>
              <w:rPr>
                <w:rFonts w:hint="eastAsia"/>
                <w:spacing w:val="-7"/>
                <w:sz w:val="21"/>
              </w:rPr>
              <w:t>路路网结构和公路路况进一步优化和改善，</w:t>
            </w:r>
            <w:r>
              <w:rPr>
                <w:rFonts w:hint="eastAsia"/>
                <w:sz w:val="21"/>
              </w:rPr>
              <w:t>进一步提升</w:t>
            </w:r>
            <w:r>
              <w:rPr>
                <w:rFonts w:hint="eastAsia"/>
                <w:sz w:val="21"/>
                <w:lang w:eastAsia="zh-CN"/>
              </w:rPr>
              <w:t>道</w:t>
            </w:r>
            <w:r>
              <w:rPr>
                <w:rFonts w:hint="eastAsia"/>
                <w:sz w:val="21"/>
              </w:rPr>
              <w:t>路通行能力。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一级指标</w:t>
            </w:r>
          </w:p>
        </w:tc>
        <w:tc>
          <w:tcPr>
            <w:tcW w:w="1240" w:type="dxa"/>
            <w:tcBorders>
              <w:top w:val="double" w:color="000000" w:sz="2"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二级指标</w:t>
            </w:r>
          </w:p>
        </w:tc>
        <w:tc>
          <w:tcPr>
            <w:tcW w:w="1272" w:type="dxa"/>
            <w:tcBorders>
              <w:top w:val="double" w:color="000000" w:sz="2"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三级指标</w:t>
            </w:r>
          </w:p>
        </w:tc>
        <w:tc>
          <w:tcPr>
            <w:tcW w:w="1884" w:type="dxa"/>
            <w:tcBorders>
              <w:top w:val="double" w:color="000000" w:sz="2"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绩效指标描述</w:t>
            </w:r>
          </w:p>
        </w:tc>
        <w:tc>
          <w:tcPr>
            <w:tcW w:w="1128" w:type="dxa"/>
            <w:tcBorders>
              <w:top w:val="double" w:color="000000" w:sz="2"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指标值</w:t>
            </w:r>
          </w:p>
        </w:tc>
        <w:tc>
          <w:tcPr>
            <w:tcW w:w="1464" w:type="dxa"/>
            <w:tcBorders>
              <w:top w:val="double" w:color="000000" w:sz="2"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rPr>
            </w:pPr>
            <w:r>
              <w:rPr>
                <w:rFonts w:hint="default"/>
              </w:rPr>
              <w:t>指标值确定</w:t>
            </w:r>
          </w:p>
          <w:p>
            <w:pPr>
              <w:pStyle w:val="9"/>
              <w:keepNext w:val="0"/>
              <w:keepLines w:val="0"/>
              <w:suppressLineNumbers w:val="0"/>
              <w:spacing w:beforeAutospacing="0" w:afterAutospacing="0"/>
              <w:ind w:left="0" w:right="0" w:firstLine="0" w:firstLineChars="0"/>
              <w:jc w:val="center"/>
              <w:rPr>
                <w:rFonts w:hint="default"/>
              </w:rPr>
            </w:pPr>
            <w:r>
              <w:rPr>
                <w:rFonts w:hint="default"/>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27"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将养护资金列入预算比例</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将农村道路养护资金列入预算的比例</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新建改造里程</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新建改造农村道路里程</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50</w:t>
            </w:r>
            <w:r>
              <w:rPr>
                <w:rFonts w:hint="default" w:ascii="仿宋_GB2312" w:hAnsi="仿宋" w:eastAsia="仿宋_GB2312" w:cs="仿宋_GB2312"/>
                <w:sz w:val="24"/>
                <w:szCs w:val="24"/>
                <w:lang w:val="en-US" w:eastAsia="zh-CN" w:bidi="ar-SA"/>
              </w:rPr>
              <w:t xml:space="preserve"> </w:t>
            </w:r>
            <w:r>
              <w:rPr>
                <w:rFonts w:hint="eastAsia" w:ascii="仿宋_GB2312" w:hAnsi="仿宋" w:eastAsia="仿宋_GB2312" w:cs="仿宋_GB2312"/>
                <w:sz w:val="24"/>
                <w:szCs w:val="24"/>
                <w:lang w:val="en-US" w:eastAsia="zh-CN" w:bidi="ar-SA"/>
              </w:rPr>
              <w:t>公里</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年度工作任务和目标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工程质量合格率</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合格工程占全部工程的比例</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≥98%</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年度建设任</w:t>
            </w: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务和目标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农村道路技术状况中等以上的比例</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中等以上农村道路占农村公路评定里程的比例</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50</w:t>
            </w:r>
            <w:r>
              <w:rPr>
                <w:rFonts w:hint="default" w:ascii="仿宋_GB2312" w:hAnsi="仿宋" w:eastAsia="仿宋_GB2312" w:cs="仿宋_GB2312"/>
                <w:sz w:val="24"/>
                <w:szCs w:val="24"/>
                <w:lang w:val="en-US" w:eastAsia="zh-CN" w:bidi="ar-SA"/>
              </w:rPr>
              <w:t>%</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年度建设任务和目标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农村道路建设养护项目完工时间</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农村道路建设养护工程按计划实施，计划年度内完工项目按期完工</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年底前</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年度工作任务和目标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27"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可持续影响指标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改善交通状况</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通过实施项目建设和养护，对区域交通状况的改善影响周期</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持续改善</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行业平均水平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经济效益指标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对社会经济发展的影响</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对社会经济发展的促进作用</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进一步促进</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行业平均水平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27" w:type="dxa"/>
            <w:vMerge w:val="continue"/>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生态效益指标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项目实施对环境的影响</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项目实施对生态环境带来的直接或间接影响情况</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进一步改善了周围的生态环境</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2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27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社会公众和服务对象满意度</w:t>
            </w:r>
          </w:p>
        </w:tc>
        <w:tc>
          <w:tcPr>
            <w:tcW w:w="188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both"/>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对农村道路周边群众的调查满意度</w:t>
            </w:r>
          </w:p>
        </w:tc>
        <w:tc>
          <w:tcPr>
            <w:tcW w:w="11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p>
          <w:p>
            <w:pPr>
              <w:pStyle w:val="10"/>
              <w:keepNext w:val="0"/>
              <w:keepLines w:val="0"/>
              <w:suppressLineNumbers w:val="0"/>
              <w:spacing w:beforeAutospacing="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≥90%</w:t>
            </w:r>
          </w:p>
        </w:tc>
        <w:tc>
          <w:tcPr>
            <w:tcW w:w="146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suppressLineNumbers w:val="0"/>
              <w:spacing w:beforeAutospacing="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行业平均水平</w:t>
            </w:r>
          </w:p>
        </w:tc>
      </w:tr>
    </w:tbl>
    <w:p>
      <w:pPr>
        <w:pStyle w:val="2"/>
        <w:kinsoku w:val="0"/>
        <w:overflowPunct w:val="0"/>
        <w:spacing w:beforeLines="0" w:afterLines="0" w:line="276" w:lineRule="exact"/>
        <w:ind w:left="0" w:leftChars="0" w:firstLine="0" w:firstLineChars="0"/>
        <w:rPr>
          <w:rFonts w:hint="default" w:ascii="Times New Roman" w:hAnsi="Times New Roman" w:eastAsia="Times New Roman"/>
          <w:sz w:val="28"/>
        </w:rPr>
      </w:pPr>
    </w:p>
    <w:p>
      <w:pPr>
        <w:pStyle w:val="2"/>
        <w:kinsoku w:val="0"/>
        <w:overflowPunct w:val="0"/>
        <w:spacing w:beforeLines="0" w:afterLines="0" w:line="276" w:lineRule="exact"/>
        <w:ind w:left="0" w:leftChars="0" w:firstLine="0" w:firstLineChars="0"/>
        <w:rPr>
          <w:rFonts w:hint="default" w:ascii="Times New Roman" w:hAnsi="Times New Roman" w:eastAsia="Times New Roman"/>
          <w:sz w:val="28"/>
        </w:rPr>
      </w:pPr>
    </w:p>
    <w:p>
      <w:pPr>
        <w:pStyle w:val="2"/>
        <w:numPr>
          <w:ilvl w:val="0"/>
          <w:numId w:val="0"/>
        </w:numPr>
        <w:kinsoku w:val="0"/>
        <w:overflowPunct w:val="0"/>
        <w:spacing w:before="76" w:beforeLines="0" w:afterLines="0"/>
        <w:ind w:firstLine="640" w:firstLineChars="200"/>
        <w:rPr>
          <w:rFonts w:hint="eastAsia" w:ascii="仿宋_GB2312" w:hAnsi="仿宋" w:eastAsia="仿宋_GB2312" w:cs="仿宋_GB2312"/>
          <w:sz w:val="32"/>
          <w:szCs w:val="32"/>
          <w:lang w:val="en-US" w:eastAsia="zh-CN" w:bidi="ar-SA"/>
        </w:rPr>
      </w:pPr>
      <w:r>
        <w:rPr>
          <w:rFonts w:hint="eastAsia" w:ascii="仿宋_GB2312" w:hAnsi="仿宋" w:eastAsia="仿宋_GB2312" w:cs="仿宋_GB2312"/>
          <w:sz w:val="32"/>
          <w:szCs w:val="32"/>
          <w:lang w:val="en-US" w:eastAsia="zh-CN" w:bidi="ar-SA"/>
        </w:rPr>
        <w:t>4</w:t>
      </w:r>
      <w:r>
        <w:rPr>
          <w:rFonts w:hint="default" w:ascii="仿宋_GB2312" w:hAnsi="仿宋" w:eastAsia="仿宋_GB2312" w:cs="仿宋_GB2312"/>
          <w:sz w:val="32"/>
          <w:szCs w:val="32"/>
          <w:lang w:val="en-US" w:eastAsia="zh-CN" w:bidi="ar-SA"/>
        </w:rPr>
        <w:t>.</w:t>
      </w:r>
      <w:r>
        <w:rPr>
          <w:rFonts w:hint="eastAsia" w:ascii="仿宋_GB2312" w:hAnsi="仿宋" w:eastAsia="仿宋_GB2312" w:cs="仿宋_GB2312"/>
          <w:sz w:val="32"/>
          <w:szCs w:val="32"/>
          <w:lang w:val="en-US" w:eastAsia="zh-CN" w:bidi="ar-SA"/>
        </w:rPr>
        <w:t>农房保险绩效目标表</w:t>
      </w:r>
    </w:p>
    <w:p>
      <w:pPr>
        <w:pStyle w:val="2"/>
        <w:kinsoku w:val="0"/>
        <w:overflowPunct w:val="0"/>
        <w:spacing w:before="3" w:beforeLines="0" w:afterLines="0"/>
        <w:rPr>
          <w:rFonts w:hint="eastAsia"/>
          <w:sz w:val="6"/>
        </w:rPr>
      </w:pPr>
    </w:p>
    <w:tbl>
      <w:tblPr>
        <w:tblStyle w:val="7"/>
        <w:tblW w:w="8412"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1236"/>
        <w:gridCol w:w="1044"/>
        <w:gridCol w:w="2256"/>
        <w:gridCol w:w="90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7" w:hRule="atLeast"/>
        </w:trPr>
        <w:tc>
          <w:tcPr>
            <w:tcW w:w="15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suppressLineNumbers w:val="0"/>
              <w:spacing w:beforeAutospacing="0" w:afterAutospacing="0"/>
              <w:ind w:left="0" w:right="0" w:firstLine="0" w:firstLineChars="0"/>
              <w:jc w:val="center"/>
              <w:rPr>
                <w:rFonts w:hint="default" w:ascii="Microsoft JhengHei" w:hAnsi="Microsoft JhengHei" w:eastAsia="Microsoft JhengHei"/>
                <w:b w:val="0"/>
                <w:sz w:val="21"/>
              </w:rPr>
            </w:pPr>
            <w:r>
              <w:rPr>
                <w:rFonts w:hint="default"/>
                <w:lang w:val="en-US" w:eastAsia="en-US"/>
              </w:rPr>
              <w:t>绩效目标</w:t>
            </w:r>
          </w:p>
        </w:tc>
        <w:tc>
          <w:tcPr>
            <w:tcW w:w="6912" w:type="dxa"/>
            <w:gridSpan w:val="5"/>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numPr>
                <w:ilvl w:val="0"/>
                <w:numId w:val="2"/>
              </w:numPr>
              <w:suppressLineNumbers w:val="0"/>
              <w:tabs>
                <w:tab w:val="left" w:pos="296"/>
              </w:tabs>
              <w:kinsoku w:val="0"/>
              <w:overflowPunct w:val="0"/>
              <w:spacing w:before="41" w:beforeLines="0" w:beforeAutospacing="0" w:after="0" w:afterLines="0" w:afterAutospacing="0" w:line="235" w:lineRule="auto"/>
              <w:ind w:right="151" w:firstLine="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通过对受灾群众救助，提升受灾农户抵御自然灾害和突发事故能力，提高农村居民住房灾后重建保障能力。</w:t>
            </w:r>
          </w:p>
          <w:p>
            <w:pPr>
              <w:pStyle w:val="12"/>
              <w:keepNext w:val="0"/>
              <w:keepLines w:val="0"/>
              <w:numPr>
                <w:ilvl w:val="0"/>
                <w:numId w:val="2"/>
              </w:numPr>
              <w:suppressLineNumbers w:val="0"/>
              <w:tabs>
                <w:tab w:val="left" w:pos="296"/>
              </w:tabs>
              <w:kinsoku w:val="0"/>
              <w:overflowPunct w:val="0"/>
              <w:spacing w:before="3" w:beforeLines="0" w:beforeAutospacing="0" w:after="0" w:afterLines="0" w:afterAutospacing="0" w:line="235" w:lineRule="auto"/>
              <w:ind w:right="151" w:firstLine="0"/>
              <w:rPr>
                <w:rFonts w:hint="eastAsia"/>
                <w:sz w:val="21"/>
              </w:rPr>
            </w:pPr>
            <w:r>
              <w:rPr>
                <w:rFonts w:hint="eastAsia" w:ascii="仿宋_GB2312" w:hAnsi="仿宋" w:eastAsia="仿宋_GB2312" w:cs="仿宋_GB2312"/>
                <w:sz w:val="24"/>
                <w:szCs w:val="24"/>
                <w:lang w:val="en-US" w:eastAsia="zh-CN" w:bidi="ar-SA"/>
              </w:rPr>
              <w:t>通过开展灾民基本生活救助，保障受灾群众衣、食、住、医等基本生活需求，确保受灾地区社会稳定。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一级指标</w:t>
            </w: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二级指标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三级指标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绩效指标描述</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指标值</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firstLine="0" w:firstLineChars="0"/>
              <w:jc w:val="center"/>
              <w:textAlignment w:val="auto"/>
              <w:rPr>
                <w:rFonts w:hint="default"/>
              </w:rPr>
            </w:pPr>
            <w:r>
              <w:rPr>
                <w:rFonts w:hint="default"/>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1500" w:type="dxa"/>
            <w:vMerge w:val="restart"/>
            <w:tcBorders>
              <w:top w:val="single" w:color="000000" w:sz="6" w:space="0"/>
              <w:left w:val="single" w:color="000000" w:sz="6" w:space="0"/>
              <w:bottom w:val="nil"/>
              <w:right w:val="single" w:color="000000" w:sz="6" w:space="0"/>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因灾倒塌需恢复重建居民补助率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对全省因灾倒塌需恢复重建居民进行补助的总体救</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助率</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≥85%</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2023 </w:t>
            </w:r>
            <w:r>
              <w:rPr>
                <w:rFonts w:hint="eastAsia" w:ascii="仿宋_GB2312" w:hAnsi="仿宋" w:eastAsia="仿宋_GB2312" w:cs="仿宋_GB2312"/>
                <w:sz w:val="24"/>
                <w:szCs w:val="24"/>
                <w:lang w:val="en-US" w:eastAsia="zh-CN" w:bidi="ar-SA"/>
              </w:rPr>
              <w:t>年灾害救助工作计划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00" w:type="dxa"/>
            <w:vMerge w:val="continue"/>
            <w:tcBorders>
              <w:top w:val="nil"/>
              <w:left w:val="single" w:color="000000" w:sz="6" w:space="0"/>
              <w:bottom w:val="nil"/>
              <w:right w:val="single" w:color="000000" w:sz="6" w:space="0"/>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农房保险出保赔付率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反映农房保险工作服务水平</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2023 </w:t>
            </w:r>
            <w:r>
              <w:rPr>
                <w:rFonts w:hint="eastAsia" w:ascii="仿宋_GB2312" w:hAnsi="仿宋" w:eastAsia="仿宋_GB2312" w:cs="仿宋_GB2312"/>
                <w:sz w:val="24"/>
                <w:szCs w:val="24"/>
                <w:lang w:val="en-US" w:eastAsia="zh-CN" w:bidi="ar-SA"/>
              </w:rPr>
              <w:t>年农房保险工作计划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1500" w:type="dxa"/>
            <w:vMerge w:val="continue"/>
            <w:tcBorders>
              <w:top w:val="nil"/>
              <w:left w:val="single" w:color="000000" w:sz="6" w:space="0"/>
              <w:bottom w:val="nil"/>
              <w:right w:val="single" w:color="000000" w:sz="6" w:space="0"/>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因灾倒塌恢复重建补助标准</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对因灾倒塌需恢复重建居民进行补助的资金额</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 </w:t>
            </w:r>
            <w:r>
              <w:rPr>
                <w:rFonts w:hint="eastAsia" w:ascii="仿宋_GB2312" w:hAnsi="仿宋" w:eastAsia="仿宋_GB2312" w:cs="仿宋_GB2312"/>
                <w:sz w:val="24"/>
                <w:szCs w:val="24"/>
                <w:lang w:val="en-US" w:eastAsia="zh-CN" w:bidi="ar-SA"/>
              </w:rPr>
              <w:t>万元</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《河北省自然灾害救助指导标准》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00" w:type="dxa"/>
            <w:vMerge w:val="continue"/>
            <w:tcBorders>
              <w:top w:val="nil"/>
              <w:left w:val="single" w:color="000000" w:sz="6" w:space="0"/>
              <w:bottom w:val="nil"/>
              <w:right w:val="single" w:color="000000" w:sz="6" w:space="0"/>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补助发放完成及时率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年度内完成救助事业费发放</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2023 </w:t>
            </w:r>
            <w:r>
              <w:rPr>
                <w:rFonts w:hint="eastAsia" w:ascii="仿宋_GB2312" w:hAnsi="仿宋" w:eastAsia="仿宋_GB2312" w:cs="仿宋_GB2312"/>
                <w:sz w:val="24"/>
                <w:szCs w:val="24"/>
                <w:lang w:val="en-US" w:eastAsia="zh-CN" w:bidi="ar-SA"/>
              </w:rPr>
              <w:t>年灾害救助工作计划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00" w:type="dxa"/>
            <w:vMerge w:val="continue"/>
            <w:tcBorders>
              <w:top w:val="nil"/>
              <w:left w:val="single" w:color="000000" w:sz="6" w:space="0"/>
              <w:bottom w:val="nil"/>
              <w:right w:val="single" w:color="000000" w:sz="6" w:space="0"/>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补助发放完成及时率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年度内完成演练费用补助发放</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地方演练计划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00" w:type="dxa"/>
            <w:vMerge w:val="continue"/>
            <w:tcBorders>
              <w:top w:val="nil"/>
              <w:left w:val="single" w:color="000000" w:sz="6" w:space="0"/>
              <w:bottom w:val="single" w:color="000000" w:sz="6" w:space="0"/>
              <w:right w:val="single" w:color="000000" w:sz="6" w:space="0"/>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eastAsia" w:ascii="仿宋_GB2312" w:hAnsi="仿宋" w:eastAsia="仿宋_GB2312" w:cs="仿宋_GB2312"/>
                <w:sz w:val="24"/>
                <w:szCs w:val="24"/>
                <w:lang w:val="en-US" w:eastAsia="zh-CN" w:bidi="ar-SA"/>
              </w:rPr>
            </w:pP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农房保险补助标准</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农房保险补助标准</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≤7 </w:t>
            </w:r>
            <w:r>
              <w:rPr>
                <w:rFonts w:hint="eastAsia" w:ascii="仿宋_GB2312" w:hAnsi="仿宋" w:eastAsia="仿宋_GB2312" w:cs="仿宋_GB2312"/>
                <w:sz w:val="24"/>
                <w:szCs w:val="24"/>
                <w:lang w:val="en-US" w:eastAsia="zh-CN" w:bidi="ar-SA"/>
              </w:rPr>
              <w:t>元</w:t>
            </w:r>
            <w:r>
              <w:rPr>
                <w:rFonts w:hint="default" w:ascii="仿宋_GB2312" w:hAnsi="仿宋" w:eastAsia="仿宋_GB2312" w:cs="仿宋_GB2312"/>
                <w:sz w:val="24"/>
                <w:szCs w:val="24"/>
                <w:lang w:val="en-US" w:eastAsia="zh-CN" w:bidi="ar-SA"/>
              </w:rPr>
              <w:t>/</w:t>
            </w:r>
            <w:r>
              <w:rPr>
                <w:rFonts w:hint="eastAsia" w:ascii="仿宋_GB2312" w:hAnsi="仿宋" w:eastAsia="仿宋_GB2312" w:cs="仿宋_GB2312"/>
                <w:sz w:val="24"/>
                <w:szCs w:val="24"/>
                <w:lang w:val="en-US" w:eastAsia="zh-CN" w:bidi="ar-SA"/>
              </w:rPr>
              <w:t>户</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2023 </w:t>
            </w:r>
            <w:r>
              <w:rPr>
                <w:rFonts w:hint="eastAsia" w:ascii="仿宋_GB2312" w:hAnsi="仿宋" w:eastAsia="仿宋_GB2312" w:cs="仿宋_GB2312"/>
                <w:sz w:val="24"/>
                <w:szCs w:val="24"/>
                <w:lang w:val="en-US" w:eastAsia="zh-CN" w:bidi="ar-SA"/>
              </w:rPr>
              <w:t>年省级财政补助资金测算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1500"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default"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37" w:lineRule="auto"/>
              <w:ind w:left="0" w:right="186"/>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236" w:type="dxa"/>
            <w:tcBorders>
              <w:top w:val="nil"/>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60" w:lineRule="exact"/>
              <w:ind w:left="101" w:right="194"/>
              <w:jc w:val="left"/>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社会效益指标</w:t>
            </w:r>
          </w:p>
        </w:tc>
        <w:tc>
          <w:tcPr>
            <w:tcW w:w="1044" w:type="dxa"/>
            <w:tcBorders>
              <w:top w:val="nil"/>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提高农户抵御灾害能力</w:t>
            </w:r>
          </w:p>
        </w:tc>
        <w:tc>
          <w:tcPr>
            <w:tcW w:w="2256" w:type="dxa"/>
            <w:tcBorders>
              <w:top w:val="nil"/>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215" w:beforeLines="0" w:beforeAutospacing="0" w:after="0" w:afterLines="0" w:afterAutospacing="0"/>
              <w:ind w:left="0" w:right="0"/>
              <w:jc w:val="left"/>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反映参保农户保障水平</w:t>
            </w:r>
          </w:p>
        </w:tc>
        <w:tc>
          <w:tcPr>
            <w:tcW w:w="900" w:type="dxa"/>
            <w:tcBorders>
              <w:top w:val="nil"/>
              <w:left w:val="single" w:color="000000" w:sz="6" w:space="0"/>
              <w:bottom w:val="single" w:color="000000" w:sz="6" w:space="0"/>
              <w:right w:val="single" w:color="000000" w:sz="6" w:space="0"/>
              <w:tl2br w:val="nil"/>
              <w:tr2bl w:val="nil"/>
            </w:tcBorders>
            <w:vAlign w:val="center"/>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进一步提高</w:t>
            </w:r>
          </w:p>
        </w:tc>
        <w:tc>
          <w:tcPr>
            <w:tcW w:w="1476" w:type="dxa"/>
            <w:tcBorders>
              <w:top w:val="nil"/>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60" w:lineRule="exact"/>
              <w:ind w:left="0" w:right="231"/>
              <w:jc w:val="left"/>
              <w:rPr>
                <w:rFonts w:hint="eastAsia"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 xml:space="preserve">2023 </w:t>
            </w:r>
            <w:r>
              <w:rPr>
                <w:rFonts w:hint="eastAsia" w:ascii="仿宋_GB2312" w:hAnsi="仿宋" w:eastAsia="仿宋_GB2312" w:cs="仿宋_GB2312"/>
                <w:sz w:val="24"/>
                <w:szCs w:val="24"/>
                <w:lang w:val="en-US" w:eastAsia="zh-CN" w:bidi="ar-SA"/>
              </w:rPr>
              <w:t>年农房保险工作计划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150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Lines="0" w:beforeAutospacing="0" w:after="0" w:afterLines="0" w:afterAutospacing="0"/>
              <w:ind w:left="0" w:right="0"/>
              <w:jc w:val="center"/>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2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41" w:beforeLines="0" w:beforeAutospacing="0" w:after="0" w:afterLines="0" w:afterAutospacing="0" w:line="235" w:lineRule="auto"/>
              <w:ind w:left="101" w:right="194"/>
              <w:jc w:val="left"/>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04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left"/>
              <w:textAlignment w:val="auto"/>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农房保险参保农户满意率</w:t>
            </w:r>
          </w:p>
        </w:tc>
        <w:tc>
          <w:tcPr>
            <w:tcW w:w="22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left"/>
              <w:rPr>
                <w:rFonts w:hint="default"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left"/>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反映服务对象满意程度</w:t>
            </w:r>
          </w:p>
        </w:tc>
        <w:tc>
          <w:tcPr>
            <w:tcW w:w="90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left"/>
              <w:rPr>
                <w:rFonts w:hint="default"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left"/>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≥85%</w:t>
            </w:r>
          </w:p>
        </w:tc>
        <w:tc>
          <w:tcPr>
            <w:tcW w:w="14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left"/>
              <w:rPr>
                <w:rFonts w:hint="default"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left"/>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调查问卷</w:t>
            </w:r>
          </w:p>
        </w:tc>
      </w:tr>
    </w:tbl>
    <w:p>
      <w:pPr>
        <w:keepNext w:val="0"/>
        <w:keepLines w:val="0"/>
        <w:pageBreakBefore w:val="0"/>
        <w:widowControl w:val="0"/>
        <w:kinsoku/>
        <w:wordWrap/>
        <w:overflowPunct/>
        <w:topLinePunct w:val="0"/>
        <w:autoSpaceDE w:val="0"/>
        <w:autoSpaceDN w:val="0"/>
        <w:bidi w:val="0"/>
        <w:adjustRightInd/>
        <w:snapToGrid/>
        <w:spacing w:line="610" w:lineRule="exact"/>
        <w:jc w:val="center"/>
        <w:textAlignment w:val="auto"/>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pStyle w:val="2"/>
        <w:numPr>
          <w:ilvl w:val="0"/>
          <w:numId w:val="0"/>
        </w:numPr>
        <w:kinsoku w:val="0"/>
        <w:overflowPunct w:val="0"/>
        <w:spacing w:before="76" w:beforeLines="0" w:afterLines="0"/>
        <w:ind w:firstLine="640" w:firstLineChars="200"/>
        <w:rPr>
          <w:rFonts w:hint="eastAsia" w:ascii="仿宋_GB2312" w:hAnsi="仿宋" w:eastAsia="仿宋_GB2312" w:cs="仿宋_GB2312"/>
          <w:sz w:val="32"/>
          <w:szCs w:val="32"/>
          <w:lang w:val="en-US" w:eastAsia="zh-CN" w:bidi="ar-SA"/>
        </w:rPr>
      </w:pPr>
      <w:r>
        <w:rPr>
          <w:rFonts w:hint="eastAsia" w:ascii="仿宋_GB2312" w:hAnsi="仿宋" w:eastAsia="仿宋_GB2312" w:cs="仿宋_GB2312"/>
          <w:sz w:val="32"/>
          <w:szCs w:val="32"/>
          <w:lang w:val="en-US" w:eastAsia="zh-CN" w:bidi="ar-SA"/>
        </w:rPr>
        <w:t>5</w:t>
      </w:r>
      <w:r>
        <w:rPr>
          <w:rFonts w:hint="default" w:ascii="仿宋_GB2312" w:hAnsi="仿宋" w:eastAsia="仿宋_GB2312" w:cs="仿宋_GB2312"/>
          <w:sz w:val="32"/>
          <w:szCs w:val="32"/>
          <w:lang w:val="en-US" w:eastAsia="zh-CN" w:bidi="ar-SA"/>
        </w:rPr>
        <w:t xml:space="preserve">. </w:t>
      </w:r>
      <w:r>
        <w:rPr>
          <w:rFonts w:hint="eastAsia" w:ascii="仿宋_GB2312" w:hAnsi="仿宋" w:eastAsia="仿宋_GB2312" w:cs="仿宋_GB2312"/>
          <w:sz w:val="32"/>
          <w:szCs w:val="32"/>
          <w:lang w:val="en-US" w:eastAsia="zh-CN" w:bidi="ar-SA"/>
        </w:rPr>
        <w:t>财政衔接推进乡村振兴补助资金绩效目标表</w:t>
      </w:r>
    </w:p>
    <w:p>
      <w:pPr>
        <w:pStyle w:val="2"/>
        <w:kinsoku w:val="0"/>
        <w:overflowPunct w:val="0"/>
        <w:spacing w:before="3" w:beforeLines="0" w:afterLines="0"/>
        <w:rPr>
          <w:rFonts w:hint="eastAsia"/>
          <w:sz w:val="6"/>
        </w:rPr>
      </w:pPr>
    </w:p>
    <w:tbl>
      <w:tblPr>
        <w:tblStyle w:val="7"/>
        <w:tblW w:w="8555"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1"/>
        <w:gridCol w:w="1324"/>
        <w:gridCol w:w="1327"/>
        <w:gridCol w:w="2053"/>
        <w:gridCol w:w="1116"/>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3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绩效目标</w:t>
            </w:r>
          </w:p>
        </w:tc>
        <w:tc>
          <w:tcPr>
            <w:tcW w:w="7224" w:type="dxa"/>
            <w:gridSpan w:val="5"/>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58" w:lineRule="exact"/>
              <w:ind w:left="0" w:right="-29"/>
              <w:rPr>
                <w:rFonts w:hint="eastAsia"/>
                <w:spacing w:val="-12"/>
                <w:sz w:val="21"/>
              </w:rPr>
            </w:pPr>
            <w:r>
              <w:rPr>
                <w:rFonts w:hint="eastAsia" w:ascii="仿宋_GB2312" w:hAnsi="仿宋" w:eastAsia="仿宋_GB2312" w:cs="仿宋_GB2312"/>
                <w:sz w:val="24"/>
                <w:szCs w:val="24"/>
                <w:lang w:val="en-US" w:eastAsia="zh-CN" w:bidi="ar-SA"/>
              </w:rPr>
              <w:t>巩固拓展脱贫攻坚成果，逐步提高用于产业比例，进一步提升脱贫地区生产生活条件。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13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一级指标</w:t>
            </w: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0" w:right="0"/>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二级指标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0" w:right="0" w:firstLine="210" w:firstLineChars="100"/>
              <w:jc w:val="both"/>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三级指标</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0" w:right="0"/>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绩效指标描述</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94" w:beforeLines="0" w:beforeAutospacing="0" w:after="0" w:afterLines="0" w:afterAutospacing="0"/>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287" w:lineRule="exact"/>
              <w:ind w:left="117" w:right="101"/>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3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保障脱贫人口和监测对象数</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保障脱贫人口和监测对象的人数</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≥50人</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6" w:hRule="atLeast"/>
        </w:trPr>
        <w:tc>
          <w:tcPr>
            <w:tcW w:w="1331" w:type="dxa"/>
            <w:vMerge w:val="continue"/>
            <w:tcBorders>
              <w:top w:val="nil"/>
              <w:left w:val="single" w:color="000000" w:sz="6" w:space="0"/>
              <w:bottom w:val="single" w:color="000000" w:sz="6" w:space="0"/>
              <w:right w:val="single" w:color="000000" w:sz="6" w:space="0"/>
              <w:tl2br w:val="nil"/>
              <w:tr2bl w:val="nil"/>
            </w:tcBorders>
            <w:vAlign w:val="center"/>
          </w:tcPr>
          <w:p>
            <w:pPr>
              <w:pStyle w:val="2"/>
              <w:keepNext w:val="0"/>
              <w:keepLines w:val="0"/>
              <w:suppressLineNumbers w:val="0"/>
              <w:kinsoku w:val="0"/>
              <w:overflowPunct w:val="0"/>
              <w:spacing w:before="3" w:beforeLines="0" w:beforeAutospacing="0" w:after="0" w:afterLines="0" w:afterAutospacing="0"/>
              <w:ind w:right="0"/>
              <w:jc w:val="center"/>
              <w:rPr>
                <w:rFonts w:hint="eastAsia" w:ascii="仿宋_GB2312" w:hAnsi="仿宋" w:eastAsia="仿宋_GB2312" w:cs="仿宋_GB2312"/>
                <w:sz w:val="24"/>
                <w:szCs w:val="24"/>
                <w:lang w:val="en-US" w:eastAsia="zh-CN" w:bidi="ar-SA"/>
              </w:rPr>
            </w:pP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04" w:lineRule="auto"/>
              <w:ind w:left="0" w:right="146"/>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资金使用绩效实现率</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衔接资金绩效目标实现程度</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《河北省财政衔接推进乡村振兴补助资金管理</w:t>
            </w: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7" w:hRule="atLeast"/>
        </w:trPr>
        <w:tc>
          <w:tcPr>
            <w:tcW w:w="1331" w:type="dxa"/>
            <w:vMerge w:val="continue"/>
            <w:tcBorders>
              <w:top w:val="nil"/>
              <w:left w:val="single" w:color="000000" w:sz="6" w:space="0"/>
              <w:bottom w:val="single" w:color="000000" w:sz="6" w:space="0"/>
              <w:right w:val="single" w:color="000000" w:sz="6" w:space="0"/>
              <w:tl2br w:val="nil"/>
              <w:tr2bl w:val="nil"/>
            </w:tcBorders>
            <w:vAlign w:val="center"/>
          </w:tcPr>
          <w:p>
            <w:pPr>
              <w:pStyle w:val="2"/>
              <w:keepNext w:val="0"/>
              <w:keepLines w:val="0"/>
              <w:suppressLineNumbers w:val="0"/>
              <w:kinsoku w:val="0"/>
              <w:overflowPunct w:val="0"/>
              <w:spacing w:before="3" w:beforeLines="0" w:beforeAutospacing="0" w:after="0" w:afterLines="0" w:afterAutospacing="0"/>
              <w:ind w:right="0"/>
              <w:jc w:val="center"/>
              <w:rPr>
                <w:rFonts w:hint="eastAsia" w:ascii="仿宋_GB2312" w:hAnsi="仿宋" w:eastAsia="仿宋_GB2312" w:cs="仿宋_GB2312"/>
                <w:sz w:val="24"/>
                <w:szCs w:val="24"/>
                <w:lang w:val="en-US" w:eastAsia="zh-CN" w:bidi="ar-SA"/>
              </w:rPr>
            </w:pP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04" w:lineRule="auto"/>
              <w:ind w:left="0" w:right="146"/>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资金拨付到位率</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5"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资金拨付到位率</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《河北省财政衔接推进乡村振兴补助资金管理</w:t>
            </w: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6" w:hRule="atLeast"/>
        </w:trPr>
        <w:tc>
          <w:tcPr>
            <w:tcW w:w="1331" w:type="dxa"/>
            <w:vMerge w:val="continue"/>
            <w:tcBorders>
              <w:top w:val="nil"/>
              <w:left w:val="single" w:color="000000" w:sz="6" w:space="0"/>
              <w:bottom w:val="single" w:color="000000" w:sz="6" w:space="0"/>
              <w:right w:val="single" w:color="000000" w:sz="6" w:space="0"/>
              <w:tl2br w:val="nil"/>
              <w:tr2bl w:val="nil"/>
            </w:tcBorders>
            <w:vAlign w:val="center"/>
          </w:tcPr>
          <w:p>
            <w:pPr>
              <w:pStyle w:val="2"/>
              <w:keepNext w:val="0"/>
              <w:keepLines w:val="0"/>
              <w:suppressLineNumbers w:val="0"/>
              <w:kinsoku w:val="0"/>
              <w:overflowPunct w:val="0"/>
              <w:spacing w:before="3" w:beforeLines="0" w:beforeAutospacing="0" w:after="0" w:afterLines="0" w:afterAutospacing="0"/>
              <w:ind w:right="0"/>
              <w:jc w:val="center"/>
              <w:rPr>
                <w:rFonts w:hint="eastAsia" w:ascii="仿宋_GB2312" w:hAnsi="仿宋" w:eastAsia="仿宋_GB2312" w:cs="仿宋_GB2312"/>
                <w:sz w:val="24"/>
                <w:szCs w:val="24"/>
                <w:lang w:val="en-US" w:eastAsia="zh-CN" w:bidi="ar-SA"/>
              </w:rPr>
            </w:pP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7"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1" w:beforeLines="0" w:beforeAutospacing="0" w:after="0" w:afterLines="0" w:afterAutospacing="0" w:line="206" w:lineRule="auto"/>
              <w:ind w:left="0" w:right="146"/>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年初预算编制数</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11"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年初预算编制数</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≥2200万元</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《河北省财政衔接推进乡村振兴补助资金管理</w:t>
            </w: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13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社会效益指标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脱贫群众生活改善程度</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11"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脱贫地区农民收入增速高于全国平均水平</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高于全国平均水平</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3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32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脱贫户和监测对象满意度</w:t>
            </w:r>
          </w:p>
        </w:tc>
        <w:tc>
          <w:tcPr>
            <w:tcW w:w="20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60" w:lineRule="exact"/>
              <w:ind w:left="101" w:right="194"/>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脱贫户和监测对象满意度</w:t>
            </w:r>
          </w:p>
        </w:tc>
        <w:tc>
          <w:tcPr>
            <w:tcW w:w="111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≥90%</w:t>
            </w:r>
          </w:p>
        </w:tc>
        <w:tc>
          <w:tcPr>
            <w:tcW w:w="140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考核结果</w:t>
            </w:r>
          </w:p>
        </w:tc>
      </w:tr>
    </w:tbl>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pStyle w:val="2"/>
        <w:kinsoku w:val="0"/>
        <w:overflowPunct w:val="0"/>
        <w:spacing w:beforeLines="0" w:afterLines="0"/>
        <w:ind w:left="0" w:leftChars="0" w:firstLine="0" w:firstLineChars="0"/>
        <w:rPr>
          <w:rFonts w:hint="default" w:ascii="Times New Roman" w:hAnsi="Times New Roman" w:eastAsia="Times New Roman"/>
          <w:sz w:val="20"/>
        </w:rPr>
      </w:pPr>
    </w:p>
    <w:p>
      <w:pPr>
        <w:pStyle w:val="2"/>
        <w:numPr>
          <w:ilvl w:val="0"/>
          <w:numId w:val="0"/>
        </w:numPr>
        <w:kinsoku w:val="0"/>
        <w:overflowPunct w:val="0"/>
        <w:spacing w:before="76" w:beforeLines="0" w:afterLines="0"/>
        <w:ind w:firstLine="640" w:firstLineChars="200"/>
        <w:rPr>
          <w:rFonts w:hint="default" w:ascii="仿宋_GB2312" w:hAnsi="仿宋" w:eastAsia="仿宋_GB2312" w:cs="仿宋_GB2312"/>
          <w:sz w:val="32"/>
          <w:szCs w:val="32"/>
          <w:lang w:val="en-US" w:eastAsia="zh-CN" w:bidi="ar-SA"/>
        </w:rPr>
      </w:pPr>
      <w:r>
        <w:rPr>
          <w:rFonts w:hint="eastAsia" w:ascii="仿宋_GB2312" w:hAnsi="仿宋" w:eastAsia="仿宋_GB2312" w:cs="仿宋_GB2312"/>
          <w:sz w:val="32"/>
          <w:szCs w:val="32"/>
          <w:lang w:val="en-US" w:eastAsia="zh-CN" w:bidi="ar-SA"/>
        </w:rPr>
        <w:t>6</w:t>
      </w:r>
      <w:r>
        <w:rPr>
          <w:rFonts w:hint="default" w:ascii="仿宋_GB2312" w:hAnsi="仿宋" w:eastAsia="仿宋_GB2312" w:cs="仿宋_GB2312"/>
          <w:sz w:val="32"/>
          <w:szCs w:val="32"/>
          <w:lang w:val="en-US" w:eastAsia="zh-CN" w:bidi="ar-SA"/>
        </w:rPr>
        <w:t>.</w:t>
      </w:r>
      <w:r>
        <w:rPr>
          <w:rFonts w:hint="eastAsia" w:ascii="仿宋_GB2312" w:hAnsi="仿宋" w:eastAsia="仿宋_GB2312" w:cs="仿宋_GB2312"/>
          <w:sz w:val="32"/>
          <w:szCs w:val="32"/>
          <w:lang w:val="en-US" w:eastAsia="zh-CN" w:bidi="ar-SA"/>
        </w:rPr>
        <w:t>农村综合改革专项资金绩效目标</w:t>
      </w:r>
    </w:p>
    <w:p>
      <w:pPr>
        <w:pStyle w:val="2"/>
        <w:kinsoku w:val="0"/>
        <w:overflowPunct w:val="0"/>
        <w:spacing w:beforeLines="0" w:afterLines="0"/>
        <w:rPr>
          <w:rFonts w:hint="default" w:ascii="Times New Roman" w:hAnsi="Times New Roman" w:eastAsia="Times New Roman"/>
          <w:sz w:val="20"/>
        </w:rPr>
      </w:pPr>
      <w:r>
        <w:rPr>
          <w:rFonts w:hint="default" w:ascii="Times New Roman" w:hAnsi="Times New Roman" w:eastAsia="Times New Roman"/>
          <w:sz w:val="20"/>
        </w:rPr>
        <mc:AlternateContent>
          <mc:Choice Requires="wps">
            <w:drawing>
              <wp:inline distT="0" distB="0" distL="114300" distR="114300">
                <wp:extent cx="5390515" cy="4770755"/>
                <wp:effectExtent l="0" t="0" r="0" b="0"/>
                <wp:docPr id="1" name="文本框 3"/>
                <wp:cNvGraphicFramePr/>
                <a:graphic xmlns:a="http://schemas.openxmlformats.org/drawingml/2006/main">
                  <a:graphicData uri="http://schemas.microsoft.com/office/word/2010/wordprocessingShape">
                    <wps:wsp>
                      <wps:cNvSpPr txBox="1"/>
                      <wps:spPr>
                        <a:xfrm>
                          <a:off x="0" y="0"/>
                          <a:ext cx="5390515" cy="4770755"/>
                        </a:xfrm>
                        <a:prstGeom prst="rect">
                          <a:avLst/>
                        </a:prstGeom>
                        <a:noFill/>
                        <a:ln w="9525">
                          <a:noFill/>
                        </a:ln>
                      </wps:spPr>
                      <wps:txbx>
                        <w:txbxContent>
                          <w:tbl>
                            <w:tblPr>
                              <w:tblStyle w:val="7"/>
                              <w:tblW w:w="845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9"/>
                              <w:gridCol w:w="1176"/>
                              <w:gridCol w:w="1380"/>
                              <w:gridCol w:w="2040"/>
                              <w:gridCol w:w="106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49" w:lineRule="exact"/>
                                    <w:ind w:left="0" w:right="0"/>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绩效目标</w:t>
                                  </w:r>
                                </w:p>
                              </w:tc>
                              <w:tc>
                                <w:tcPr>
                                  <w:tcW w:w="7176" w:type="dxa"/>
                                  <w:gridSpan w:val="5"/>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49" w:lineRule="exact"/>
                                    <w:ind w:left="0" w:right="0"/>
                                    <w:rPr>
                                      <w:rFonts w:hint="eastAsia"/>
                                      <w:sz w:val="21"/>
                                    </w:rPr>
                                  </w:pPr>
                                  <w:r>
                                    <w:rPr>
                                      <w:rFonts w:hint="eastAsia" w:ascii="仿宋_GB2312" w:hAnsi="仿宋" w:eastAsia="仿宋_GB2312" w:cs="仿宋_GB2312"/>
                                      <w:sz w:val="24"/>
                                      <w:szCs w:val="24"/>
                                      <w:lang w:val="en-US" w:eastAsia="zh-CN" w:bidi="ar-SA"/>
                                    </w:rPr>
                                    <w:t>推进农村公益事业建设，建设一批美丽乡村，发展村级集体经济。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66" w:lineRule="exact"/>
                                    <w:ind w:left="0" w:right="0"/>
                                    <w:jc w:val="center"/>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一级指标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0"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二级指标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三级指标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绩效指标描述</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trPr>
                              <w:tc>
                                <w:tcPr>
                                  <w:tcW w:w="1279" w:type="dxa"/>
                                  <w:vMerge w:val="restart"/>
                                  <w:tcBorders>
                                    <w:top w:val="nil"/>
                                    <w:left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line="204"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支持农村公益设施建设数量</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支持开展农村公益事业建设</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≥30</w:t>
                                  </w:r>
                                  <w:r>
                                    <w:rPr>
                                      <w:rFonts w:hint="default" w:ascii="仿宋_GB2312" w:hAnsi="仿宋" w:eastAsia="仿宋_GB2312" w:cs="仿宋_GB2312"/>
                                      <w:sz w:val="24"/>
                                      <w:szCs w:val="24"/>
                                      <w:lang w:val="en-US" w:eastAsia="zh-CN" w:bidi="ar-SA"/>
                                    </w:rPr>
                                    <w:t xml:space="preserve"> </w:t>
                                  </w:r>
                                  <w:r>
                                    <w:rPr>
                                      <w:rFonts w:hint="eastAsia" w:ascii="仿宋_GB2312" w:hAnsi="仿宋" w:eastAsia="仿宋_GB2312" w:cs="仿宋_GB2312"/>
                                      <w:sz w:val="24"/>
                                      <w:szCs w:val="24"/>
                                      <w:lang w:val="en-US" w:eastAsia="zh-CN" w:bidi="ar-SA"/>
                                    </w:rPr>
                                    <w:t>个</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line="204"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农村公益事业建设工程验收合格率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工程验收合格情况</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3"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106" w:right="0"/>
                                    <w:jc w:val="center"/>
                                    <w:textAlignment w:val="auto"/>
                                    <w:outlineLvl w:val="9"/>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1"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line="206" w:lineRule="auto"/>
                                    <w:ind w:left="0" w:right="89"/>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资金拨付及时率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及时拨付资金</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106" w:right="0"/>
                                    <w:jc w:val="center"/>
                                    <w:textAlignment w:val="auto"/>
                                    <w:outlineLvl w:val="9"/>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8"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line="206"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一事一议奖补标准</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奖补标准</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≥10万元</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60" w:beforeLines="0" w:beforeAutospacing="0" w:after="0" w:afterLines="0" w:afterAutospacing="0" w:line="204" w:lineRule="auto"/>
                                    <w:ind w:left="0" w:right="96" w:rightChars="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生态效益指标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60" w:beforeLines="0" w:beforeAutospacing="0" w:after="0" w:afterLines="0" w:afterAutospacing="0" w:line="204" w:lineRule="auto"/>
                                    <w:ind w:left="0" w:right="154" w:rightChars="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农村人居环境</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leftChars="0"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人居环境改善情况</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leftChars="0" w:right="0"/>
                                    <w:jc w:val="center"/>
                                    <w:textAlignment w:val="auto"/>
                                    <w:outlineLvl w:val="9"/>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有所改善</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bl>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jc w:val="center"/>
                              <w:textAlignment w:val="auto"/>
                              <w:outlineLvl w:val="9"/>
                              <w:rPr>
                                <w:rFonts w:hint="default"/>
                                <w:sz w:val="24"/>
                              </w:rPr>
                            </w:pPr>
                          </w:p>
                        </w:txbxContent>
                      </wps:txbx>
                      <wps:bodyPr vert="horz" wrap="square" lIns="0" tIns="0" rIns="0" bIns="0" upright="1"/>
                    </wps:wsp>
                  </a:graphicData>
                </a:graphic>
              </wp:inline>
            </w:drawing>
          </mc:Choice>
          <mc:Fallback>
            <w:pict>
              <v:shape id="文本框 3" o:spid="_x0000_s1026" o:spt="202" type="#_x0000_t202" style="height:375.65pt;width:424.45pt;" filled="f" stroked="f" coordsize="21600,21600" o:gfxdata="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pltX1gAAAAUBAAAPAAAAAAAAAAEAIAAAACIAAABkcnMvZG93bnJldi54bWxQSwEC&#10;FAAUAAAACACHTuJAVr9sMb0BAABIAwAADgAAAAAAAAABACAAAAAlAQAAZHJzL2Uyb0RvYy54bWxQ&#10;SwUGAAAAAAYABgBZAQAAVAUAAAAA&#10;">
                <v:fill on="f" focussize="0,0"/>
                <v:stroke on="f"/>
                <v:imagedata o:title=""/>
                <o:lock v:ext="edit" aspectratio="f"/>
                <v:textbox inset="0mm,0mm,0mm,0mm">
                  <w:txbxContent>
                    <w:tbl>
                      <w:tblPr>
                        <w:tblStyle w:val="7"/>
                        <w:tblW w:w="845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9"/>
                        <w:gridCol w:w="1176"/>
                        <w:gridCol w:w="1380"/>
                        <w:gridCol w:w="2040"/>
                        <w:gridCol w:w="106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49" w:lineRule="exact"/>
                              <w:ind w:left="0" w:right="0"/>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绩效目标</w:t>
                            </w:r>
                          </w:p>
                        </w:tc>
                        <w:tc>
                          <w:tcPr>
                            <w:tcW w:w="7176" w:type="dxa"/>
                            <w:gridSpan w:val="5"/>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line="349" w:lineRule="exact"/>
                              <w:ind w:left="0" w:right="0"/>
                              <w:rPr>
                                <w:rFonts w:hint="eastAsia"/>
                                <w:sz w:val="21"/>
                              </w:rPr>
                            </w:pPr>
                            <w:r>
                              <w:rPr>
                                <w:rFonts w:hint="eastAsia" w:ascii="仿宋_GB2312" w:hAnsi="仿宋" w:eastAsia="仿宋_GB2312" w:cs="仿宋_GB2312"/>
                                <w:sz w:val="24"/>
                                <w:szCs w:val="24"/>
                                <w:lang w:val="en-US" w:eastAsia="zh-CN" w:bidi="ar-SA"/>
                              </w:rPr>
                              <w:t>推进农村公益事业建设，建设一批美丽乡村，发展村级集体经济。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66" w:lineRule="exact"/>
                              <w:ind w:left="0" w:right="0"/>
                              <w:jc w:val="center"/>
                              <w:rPr>
                                <w:rFonts w:hint="default" w:ascii="Microsoft JhengHei" w:hAnsi="Microsoft JhengHei" w:eastAsia="Microsoft JhengHei"/>
                                <w:b/>
                                <w:sz w:val="21"/>
                              </w:rPr>
                            </w:pPr>
                            <w:r>
                              <w:rPr>
                                <w:rFonts w:hint="default" w:ascii="方正书宋_GBK" w:hAnsi="方正书宋_GBK" w:eastAsia="方正书宋_GBK" w:cs="方正书宋_GBK"/>
                                <w:b/>
                                <w:sz w:val="21"/>
                                <w:szCs w:val="22"/>
                                <w:lang w:val="en-US" w:eastAsia="en-US" w:bidi="ar-SA"/>
                              </w:rPr>
                              <w:t>一级指标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0"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二级指标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三级指标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绩效指标描述</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351" w:lineRule="exact"/>
                              <w:ind w:left="119" w:right="98"/>
                              <w:jc w:val="center"/>
                              <w:rPr>
                                <w:rFonts w:hint="default" w:ascii="方正书宋_GBK" w:hAnsi="方正书宋_GBK" w:eastAsia="方正书宋_GBK" w:cs="方正书宋_GBK"/>
                                <w:b/>
                                <w:sz w:val="21"/>
                                <w:szCs w:val="22"/>
                                <w:lang w:val="en-US" w:eastAsia="en-US" w:bidi="ar-SA"/>
                              </w:rPr>
                            </w:pPr>
                            <w:r>
                              <w:rPr>
                                <w:rFonts w:hint="default" w:ascii="方正书宋_GBK" w:hAnsi="方正书宋_GBK" w:eastAsia="方正书宋_GBK" w:cs="方正书宋_GBK"/>
                                <w:b/>
                                <w:sz w:val="21"/>
                                <w:szCs w:val="22"/>
                                <w:lang w:val="en-US" w:eastAsia="en-US" w:bidi="ar-SA"/>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trPr>
                        <w:tc>
                          <w:tcPr>
                            <w:tcW w:w="1279" w:type="dxa"/>
                            <w:vMerge w:val="restart"/>
                            <w:tcBorders>
                              <w:top w:val="nil"/>
                              <w:left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line="204"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支持农村公益设施建设数量</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支持开展农村公益事业建设</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≥30</w:t>
                            </w:r>
                            <w:r>
                              <w:rPr>
                                <w:rFonts w:hint="default" w:ascii="仿宋_GB2312" w:hAnsi="仿宋" w:eastAsia="仿宋_GB2312" w:cs="仿宋_GB2312"/>
                                <w:sz w:val="24"/>
                                <w:szCs w:val="24"/>
                                <w:lang w:val="en-US" w:eastAsia="zh-CN" w:bidi="ar-SA"/>
                              </w:rPr>
                              <w:t xml:space="preserve"> </w:t>
                            </w:r>
                            <w:r>
                              <w:rPr>
                                <w:rFonts w:hint="eastAsia" w:ascii="仿宋_GB2312" w:hAnsi="仿宋" w:eastAsia="仿宋_GB2312" w:cs="仿宋_GB2312"/>
                                <w:sz w:val="24"/>
                                <w:szCs w:val="24"/>
                                <w:lang w:val="en-US" w:eastAsia="zh-CN" w:bidi="ar-SA"/>
                              </w:rPr>
                              <w:t>个</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line="204"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农村公益事业建设工程验收合格率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6"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工程验收合格情况</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3"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106" w:right="0"/>
                              <w:jc w:val="center"/>
                              <w:textAlignment w:val="auto"/>
                              <w:outlineLvl w:val="9"/>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1"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line="206" w:lineRule="auto"/>
                              <w:ind w:left="0" w:right="89"/>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资金拨付及时率</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及时拨付资金</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106" w:right="0"/>
                              <w:jc w:val="center"/>
                              <w:textAlignment w:val="auto"/>
                              <w:outlineLvl w:val="9"/>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100%</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5"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8" w:hRule="atLeast"/>
                        </w:trPr>
                        <w:tc>
                          <w:tcPr>
                            <w:tcW w:w="1279" w:type="dxa"/>
                            <w:vMerge w:val="continue"/>
                            <w:tcBorders>
                              <w:top w:val="nil"/>
                              <w:left w:val="single" w:color="000000" w:sz="6" w:space="0"/>
                              <w:bottom w:val="single" w:color="000000" w:sz="6" w:space="0"/>
                              <w:right w:val="single" w:color="000000" w:sz="6" w:space="0"/>
                              <w:tl2br w:val="nil"/>
                              <w:tr2bl w:val="nil"/>
                            </w:tcBorders>
                            <w:vAlign w:val="top"/>
                          </w:tcPr>
                          <w:p>
                            <w:pPr>
                              <w:pStyle w:val="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right="0"/>
                              <w:jc w:val="center"/>
                              <w:textAlignment w:val="auto"/>
                              <w:outlineLvl w:val="9"/>
                              <w:rPr>
                                <w:rFonts w:hint="default" w:ascii="仿宋_GB2312" w:hAnsi="仿宋" w:eastAsia="仿宋_GB2312" w:cs="仿宋_GB2312"/>
                                <w:sz w:val="24"/>
                                <w:szCs w:val="24"/>
                                <w:lang w:val="en-US" w:eastAsia="zh-CN" w:bidi="ar-SA"/>
                              </w:rPr>
                            </w:pPr>
                          </w:p>
                        </w:tc>
                        <w:tc>
                          <w:tcPr>
                            <w:tcW w:w="1176"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line="206" w:lineRule="auto"/>
                              <w:ind w:left="0" w:right="154"/>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一事一议奖补标准</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奖补标准</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≥10万元</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1279"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center"/>
                              <w:textAlignment w:val="auto"/>
                              <w:outlineLvl w:val="9"/>
                              <w:rPr>
                                <w:rFonts w:hint="eastAsia" w:ascii="仿宋_GB2312" w:hAnsi="仿宋" w:eastAsia="仿宋_GB2312" w:cs="仿宋_GB2312"/>
                                <w:sz w:val="24"/>
                                <w:szCs w:val="24"/>
                                <w:lang w:val="en-US" w:eastAsia="zh-CN" w:bidi="ar-SA"/>
                              </w:rPr>
                            </w:pPr>
                          </w:p>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1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60" w:beforeLines="0" w:beforeAutospacing="0" w:after="0" w:afterLines="0" w:afterAutospacing="0" w:line="204" w:lineRule="auto"/>
                              <w:ind w:left="0" w:right="96" w:rightChars="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生态效益指标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160" w:beforeLines="0" w:beforeAutospacing="0" w:after="0" w:afterLines="0" w:afterAutospacing="0" w:line="204" w:lineRule="auto"/>
                              <w:ind w:left="0" w:right="154" w:rightChars="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农村人居环境</w:t>
                            </w:r>
                          </w:p>
                        </w:tc>
                        <w:tc>
                          <w:tcPr>
                            <w:tcW w:w="20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leftChars="0" w:right="0"/>
                              <w:jc w:val="center"/>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人居环境改善情况</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278" w:beforeLines="0" w:beforeAutospacing="0" w:after="0" w:afterLines="0" w:afterAutospacing="0"/>
                              <w:ind w:left="106" w:leftChars="0" w:right="0"/>
                              <w:jc w:val="center"/>
                              <w:textAlignment w:val="auto"/>
                              <w:outlineLvl w:val="9"/>
                              <w:rPr>
                                <w:rFonts w:hint="default"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有所改善</w:t>
                            </w:r>
                          </w:p>
                        </w:tc>
                        <w:tc>
                          <w:tcPr>
                            <w:tcW w:w="15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bl>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jc w:val="center"/>
                        <w:textAlignment w:val="auto"/>
                        <w:outlineLvl w:val="9"/>
                        <w:rPr>
                          <w:rFonts w:hint="default"/>
                          <w:sz w:val="24"/>
                        </w:rPr>
                      </w:pPr>
                    </w:p>
                  </w:txbxContent>
                </v:textbox>
                <w10:wrap type="none"/>
                <w10:anchorlock/>
              </v:shape>
            </w:pict>
          </mc:Fallback>
        </mc:AlternateContent>
      </w:r>
    </w:p>
    <w:tbl>
      <w:tblPr>
        <w:tblStyle w:val="7"/>
        <w:tblW w:w="847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4"/>
        <w:gridCol w:w="1188"/>
        <w:gridCol w:w="1380"/>
        <w:gridCol w:w="2028"/>
        <w:gridCol w:w="1068"/>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1284" w:type="dxa"/>
            <w:tcBorders>
              <w:top w:val="single" w:color="000000" w:sz="6" w:space="0"/>
              <w:left w:val="single" w:color="000000" w:sz="6" w:space="0"/>
              <w:bottom w:val="single" w:color="000000" w:sz="6" w:space="0"/>
              <w:right w:val="single" w:color="000000" w:sz="6" w:space="0"/>
              <w:tl2br w:val="nil"/>
              <w:tr2bl w:val="nil"/>
            </w:tcBorders>
            <w:vAlign w:val="top"/>
          </w:tcPr>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ind w:left="0" w:right="0"/>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18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3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项目区农民满意度</w:t>
            </w:r>
          </w:p>
        </w:tc>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群众满意程度</w:t>
            </w:r>
          </w:p>
        </w:tc>
        <w:tc>
          <w:tcPr>
            <w:tcW w:w="106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eastAsia" w:ascii="仿宋_GB2312" w:hAnsi="仿宋" w:eastAsia="仿宋_GB2312" w:cs="仿宋_GB2312"/>
                <w:sz w:val="24"/>
                <w:szCs w:val="24"/>
                <w:lang w:val="en-US" w:eastAsia="zh-CN" w:bidi="ar-SA"/>
              </w:rPr>
            </w:pPr>
          </w:p>
          <w:p>
            <w:pPr>
              <w:pStyle w:val="12"/>
              <w:keepNext w:val="0"/>
              <w:keepLines w:val="0"/>
              <w:suppressLineNumbers w:val="0"/>
              <w:kinsoku w:val="0"/>
              <w:overflowPunct w:val="0"/>
              <w:spacing w:before="0" w:beforeLines="0" w:beforeAutospacing="0" w:after="0" w:afterLines="0" w:afterAutospacing="0" w:line="204" w:lineRule="auto"/>
              <w:ind w:left="0" w:right="213"/>
              <w:jc w:val="center"/>
              <w:rPr>
                <w:rFonts w:hint="default" w:ascii="仿宋_GB2312" w:hAnsi="仿宋" w:eastAsia="仿宋_GB2312" w:cs="仿宋_GB2312"/>
                <w:sz w:val="24"/>
                <w:szCs w:val="24"/>
                <w:lang w:val="en-US" w:eastAsia="zh-CN" w:bidi="ar-SA"/>
              </w:rPr>
            </w:pPr>
            <w:r>
              <w:rPr>
                <w:rFonts w:hint="default" w:ascii="仿宋_GB2312" w:hAnsi="仿宋" w:eastAsia="仿宋_GB2312" w:cs="仿宋_GB2312"/>
                <w:sz w:val="24"/>
                <w:szCs w:val="24"/>
                <w:lang w:val="en-US" w:eastAsia="zh-CN" w:bidi="ar-SA"/>
              </w:rPr>
              <w:t>≥90%</w:t>
            </w:r>
          </w:p>
        </w:tc>
        <w:tc>
          <w:tcPr>
            <w:tcW w:w="152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beforeAutospacing="0" w:after="0" w:afterLines="0" w:afterAutospacing="0"/>
              <w:ind w:left="0" w:right="0"/>
              <w:jc w:val="both"/>
              <w:textAlignment w:val="auto"/>
              <w:outlineLvl w:val="9"/>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农村综合改革转移支付管理办法</w:t>
            </w:r>
          </w:p>
        </w:tc>
      </w:tr>
    </w:tbl>
    <w:p>
      <w:pPr>
        <w:pStyle w:val="2"/>
        <w:kinsoku w:val="0"/>
        <w:overflowPunct w:val="0"/>
        <w:spacing w:beforeLines="0" w:afterLines="0" w:line="386" w:lineRule="exact"/>
        <w:rPr>
          <w:rFonts w:hint="eastAsia"/>
          <w:sz w:val="28"/>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line="610" w:lineRule="exact"/>
        <w:rPr>
          <w:rFonts w:hint="eastAsia" w:ascii="仿宋_GB2312" w:hAnsi="仿宋" w:eastAsia="仿宋_GB2312" w:cs="仿宋_GB2312"/>
          <w:sz w:val="32"/>
          <w:szCs w:val="32"/>
          <w:lang w:eastAsia="zh-CN"/>
        </w:rPr>
      </w:pPr>
    </w:p>
    <w:p>
      <w:pPr>
        <w:spacing w:before="0" w:after="0"/>
        <w:ind w:firstLine="560"/>
        <w:jc w:val="left"/>
        <w:outlineLvl w:val="3"/>
        <w:rPr>
          <w:rFonts w:hint="eastAsia" w:ascii="仿宋_GB2312" w:hAnsi="仿宋" w:eastAsia="仿宋_GB2312" w:cs="仿宋_GB2312"/>
          <w:sz w:val="32"/>
          <w:szCs w:val="32"/>
          <w:lang w:val="en-US" w:eastAsia="zh-CN" w:bidi="ar-SA"/>
        </w:rPr>
      </w:pPr>
      <w:bookmarkStart w:id="0" w:name="_Toc_4_4_0000000007"/>
      <w:r>
        <w:rPr>
          <w:rFonts w:hint="eastAsia" w:ascii="仿宋_GB2312" w:hAnsi="仿宋" w:eastAsia="仿宋_GB2312" w:cs="仿宋_GB2312"/>
          <w:sz w:val="32"/>
          <w:szCs w:val="32"/>
          <w:lang w:val="en-US" w:eastAsia="zh-CN" w:bidi="ar-SA"/>
        </w:rPr>
        <w:t>7.省级老旧小区改造奖励专项资金绩效目标表</w:t>
      </w:r>
      <w:bookmarkEnd w:id="0"/>
    </w:p>
    <w:tbl>
      <w:tblPr>
        <w:tblStyle w:val="7"/>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9"/>
              <w:keepNext w:val="0"/>
              <w:keepLines w:val="0"/>
              <w:suppressLineNumbers w:val="0"/>
              <w:spacing w:beforeAutospacing="0" w:afterAutospacing="0"/>
              <w:ind w:left="0" w:right="0"/>
              <w:rPr>
                <w:rFonts w:hint="default"/>
              </w:rPr>
            </w:pPr>
            <w:r>
              <w:rPr>
                <w:rFonts w:hint="default"/>
              </w:rPr>
              <w:t>绩效目标</w:t>
            </w:r>
          </w:p>
        </w:tc>
        <w:tc>
          <w:tcPr>
            <w:tcW w:w="7962" w:type="dxa"/>
            <w:vAlign w:val="center"/>
          </w:tcPr>
          <w:p>
            <w:pPr>
              <w:pStyle w:val="10"/>
              <w:keepNext w:val="0"/>
              <w:keepLines w:val="0"/>
              <w:suppressLineNumbers w:val="0"/>
              <w:spacing w:beforeAutospacing="0" w:afterAutospacing="0"/>
              <w:ind w:left="0" w:right="0"/>
              <w:rPr>
                <w:rFonts w:hint="default"/>
              </w:rPr>
            </w:pPr>
            <w:r>
              <w:rPr>
                <w:rFonts w:hint="eastAsia" w:ascii="仿宋_GB2312" w:hAnsi="仿宋" w:eastAsia="仿宋_GB2312" w:cs="仿宋_GB2312"/>
                <w:sz w:val="24"/>
                <w:szCs w:val="24"/>
                <w:lang w:val="en-US" w:eastAsia="zh-CN" w:bidi="ar-SA"/>
              </w:rPr>
              <w:t>1.用于老旧小区改造，改善老旧小区居民居住环境。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一级指标</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二级指标</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三级指标</w:t>
            </w:r>
          </w:p>
        </w:tc>
        <w:tc>
          <w:tcPr>
            <w:tcW w:w="2654" w:type="dxa"/>
            <w:vAlign w:val="center"/>
          </w:tcPr>
          <w:p>
            <w:pPr>
              <w:pStyle w:val="9"/>
              <w:keepNext w:val="0"/>
              <w:keepLines w:val="0"/>
              <w:suppressLineNumbers w:val="0"/>
              <w:spacing w:beforeAutospacing="0" w:afterAutospacing="0"/>
              <w:ind w:left="0" w:right="0"/>
              <w:rPr>
                <w:rFonts w:hint="default"/>
              </w:rPr>
            </w:pPr>
            <w:r>
              <w:rPr>
                <w:rFonts w:hint="default"/>
              </w:rPr>
              <w:t>绩效指标描述</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指标值</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改造小区个数</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奖励资金支持的改造小区个数</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1个</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落实改造方案</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改造方案明确的改造内容全部完成</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按时开工</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按照计划开工</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改造成本</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按照合同约定执行</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社会效益指标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群众居住条件改善情况</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居住条件得到改善</w:t>
            </w:r>
          </w:p>
        </w:tc>
        <w:tc>
          <w:tcPr>
            <w:tcW w:w="1327" w:type="dxa"/>
            <w:vAlign w:val="center"/>
          </w:tcPr>
          <w:p>
            <w:pPr>
              <w:pStyle w:val="10"/>
              <w:keepNext w:val="0"/>
              <w:keepLines w:val="0"/>
              <w:suppressLineNumbers w:val="0"/>
              <w:tabs>
                <w:tab w:val="center" w:pos="555"/>
              </w:tabs>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进一步提高</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改造项目居民满意度</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改造项目居民满意度</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冀财建【2022】230号</w:t>
            </w:r>
          </w:p>
        </w:tc>
      </w:tr>
    </w:tbl>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line="610" w:lineRule="exact"/>
        <w:rPr>
          <w:rFonts w:hint="eastAsia" w:ascii="仿宋_GB2312" w:hAnsi="仿宋" w:eastAsia="仿宋_GB2312" w:cs="仿宋_GB2312"/>
          <w:sz w:val="24"/>
          <w:szCs w:val="24"/>
          <w:lang w:val="en-US" w:eastAsia="zh-CN" w:bidi="ar-SA"/>
        </w:rPr>
      </w:pPr>
    </w:p>
    <w:p>
      <w:pPr>
        <w:spacing w:before="0" w:after="0"/>
        <w:jc w:val="left"/>
        <w:outlineLvl w:val="3"/>
        <w:rPr>
          <w:rFonts w:hint="eastAsia" w:ascii="方正仿宋_GBK" w:hAnsi="方正仿宋_GBK" w:eastAsia="方正仿宋_GBK" w:cs="方正仿宋_GBK"/>
          <w:color w:val="000000"/>
          <w:sz w:val="28"/>
          <w:lang w:val="en-US" w:eastAsia="zh-CN"/>
        </w:rPr>
      </w:pPr>
      <w:bookmarkStart w:id="1" w:name="_Toc_4_4_0000000008"/>
    </w:p>
    <w:p>
      <w:pPr>
        <w:spacing w:before="0" w:after="0"/>
        <w:ind w:firstLine="560"/>
        <w:jc w:val="left"/>
        <w:outlineLvl w:val="3"/>
      </w:pPr>
      <w:r>
        <w:rPr>
          <w:rFonts w:hint="eastAsia" w:ascii="仿宋_GB2312" w:hAnsi="仿宋" w:eastAsia="仿宋_GB2312" w:cs="仿宋_GB2312"/>
          <w:sz w:val="32"/>
          <w:szCs w:val="32"/>
          <w:lang w:val="en-US" w:eastAsia="zh-CN" w:bidi="ar-SA"/>
        </w:rPr>
        <w:t>8.省级普惠金融发展专项资金绩效目标表</w:t>
      </w:r>
      <w:bookmarkEnd w:id="1"/>
    </w:p>
    <w:tbl>
      <w:tblPr>
        <w:tblStyle w:val="7"/>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9"/>
              <w:keepNext w:val="0"/>
              <w:keepLines w:val="0"/>
              <w:suppressLineNumbers w:val="0"/>
              <w:spacing w:beforeAutospacing="0" w:afterAutospacing="0"/>
              <w:ind w:left="0" w:right="0"/>
              <w:rPr>
                <w:rFonts w:hint="default"/>
              </w:rPr>
            </w:pPr>
            <w:r>
              <w:rPr>
                <w:rFonts w:hint="default"/>
              </w:rPr>
              <w:t>绩效目标</w:t>
            </w:r>
          </w:p>
        </w:tc>
        <w:tc>
          <w:tcPr>
            <w:tcW w:w="7962"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1.支持农村金融组织体系建设，扩大农村金融服务覆盖面。</w:t>
            </w:r>
            <w:r>
              <w:rPr>
                <w:rFonts w:hint="eastAsia" w:ascii="仿宋_GB2312" w:hAnsi="仿宋" w:eastAsia="仿宋_GB2312" w:cs="仿宋_GB2312"/>
                <w:sz w:val="24"/>
                <w:szCs w:val="24"/>
                <w:lang w:val="en-US" w:eastAsia="zh-CN" w:bidi="ar-SA"/>
              </w:rPr>
              <w:tab/>
            </w:r>
            <w:r>
              <w:rPr>
                <w:rFonts w:hint="eastAsia" w:ascii="仿宋_GB2312" w:hAnsi="仿宋" w:eastAsia="仿宋_GB2312" w:cs="仿宋_GB2312"/>
                <w:sz w:val="24"/>
                <w:szCs w:val="24"/>
                <w:lang w:val="en-US" w:eastAsia="zh-CN" w:bidi="ar-SA"/>
              </w:rPr>
              <w:tab/>
            </w:r>
          </w:p>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2.支持重点群体和符合条件的小微企业融资发展。</w:t>
            </w:r>
            <w:r>
              <w:rPr>
                <w:rFonts w:hint="eastAsia" w:ascii="仿宋_GB2312" w:hAnsi="仿宋" w:eastAsia="仿宋_GB2312" w:cs="仿宋_GB2312"/>
                <w:sz w:val="24"/>
                <w:szCs w:val="24"/>
                <w:lang w:val="en-US" w:eastAsia="zh-CN" w:bidi="ar-SA"/>
              </w:rPr>
              <w:tab/>
            </w:r>
            <w:r>
              <w:rPr>
                <w:rFonts w:hint="eastAsia" w:ascii="仿宋_GB2312" w:hAnsi="仿宋" w:eastAsia="仿宋_GB2312" w:cs="仿宋_GB2312"/>
                <w:sz w:val="24"/>
                <w:szCs w:val="24"/>
                <w:lang w:val="en-US" w:eastAsia="zh-CN" w:bidi="ar-SA"/>
              </w:rPr>
              <w:tab/>
            </w:r>
            <w:r>
              <w:rPr>
                <w:rFonts w:hint="eastAsia" w:ascii="仿宋_GB2312" w:hAnsi="仿宋" w:eastAsia="仿宋_GB2312" w:cs="仿宋_GB2312"/>
                <w:sz w:val="24"/>
                <w:szCs w:val="24"/>
                <w:lang w:val="en-US" w:eastAsia="zh-CN" w:bidi="ar-SA"/>
              </w:rPr>
              <w:tab/>
            </w:r>
          </w:p>
          <w:p>
            <w:pPr>
              <w:pStyle w:val="10"/>
              <w:keepNext w:val="0"/>
              <w:keepLines w:val="0"/>
              <w:suppressLineNumbers w:val="0"/>
              <w:spacing w:beforeAutospacing="0" w:afterAutospacing="0"/>
              <w:ind w:left="0" w:right="0"/>
              <w:rPr>
                <w:rFonts w:hint="default"/>
              </w:rPr>
            </w:pPr>
            <w:r>
              <w:rPr>
                <w:rFonts w:hint="eastAsia" w:ascii="仿宋_GB2312" w:hAnsi="仿宋" w:eastAsia="仿宋_GB2312" w:cs="仿宋_GB2312"/>
                <w:sz w:val="24"/>
                <w:szCs w:val="24"/>
                <w:lang w:val="en-US" w:eastAsia="zh-CN" w:bidi="ar-SA"/>
              </w:rPr>
              <w:t>3.支持因地制宜打造各具特色的普惠金融发展示范区，增强金融普惠性，推动普惠金融高质量发展。</w:t>
            </w:r>
            <w:r>
              <w:rPr>
                <w:rFonts w:hint="eastAsia" w:ascii="仿宋_GB2312" w:hAnsi="仿宋" w:eastAsia="仿宋_GB2312" w:cs="仿宋_GB2312"/>
                <w:sz w:val="24"/>
                <w:szCs w:val="24"/>
                <w:lang w:val="en-US" w:eastAsia="zh-CN" w:bidi="ar-SA"/>
              </w:rPr>
              <w:tab/>
            </w:r>
            <w:r>
              <w:rPr>
                <w:rFonts w:hint="default"/>
              </w:rPr>
              <w:tab/>
            </w:r>
            <w:r>
              <w:rPr>
                <w:rFonts w:hint="default"/>
              </w:rPr>
              <w:tab/>
            </w:r>
            <w:r>
              <w:rPr>
                <w:rFonts w:hint="default"/>
              </w:rPr>
              <w:tab/>
            </w:r>
            <w:r>
              <w:rPr>
                <w:rFonts w:hint="default"/>
              </w:rPr>
              <w:tab/>
            </w:r>
            <w:r>
              <w:rPr>
                <w:rFonts w:hint="default"/>
              </w:rP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一级指标</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二级指标</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三级指标</w:t>
            </w:r>
          </w:p>
        </w:tc>
        <w:tc>
          <w:tcPr>
            <w:tcW w:w="2654" w:type="dxa"/>
            <w:vAlign w:val="center"/>
          </w:tcPr>
          <w:p>
            <w:pPr>
              <w:pStyle w:val="9"/>
              <w:keepNext w:val="0"/>
              <w:keepLines w:val="0"/>
              <w:suppressLineNumbers w:val="0"/>
              <w:spacing w:beforeAutospacing="0" w:afterAutospacing="0"/>
              <w:ind w:left="0" w:right="0"/>
              <w:rPr>
                <w:rFonts w:hint="default"/>
              </w:rPr>
            </w:pPr>
            <w:r>
              <w:rPr>
                <w:rFonts w:hint="default"/>
              </w:rPr>
              <w:t>绩效指标描述</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指标值</w:t>
            </w:r>
          </w:p>
        </w:tc>
        <w:tc>
          <w:tcPr>
            <w:tcW w:w="1327" w:type="dxa"/>
            <w:vAlign w:val="center"/>
          </w:tcPr>
          <w:p>
            <w:pPr>
              <w:pStyle w:val="9"/>
              <w:keepNext w:val="0"/>
              <w:keepLines w:val="0"/>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产出指标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数量指标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本年度创业担保贷款发放金额</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本年度创业担保贷款发放金额</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≤16亿</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质量指标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创业担保贷款回收率</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创业担保贷款回收率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≥90%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时效指标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资金足额拨付率</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资金足额拨付率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成本指标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地方配套资金到位率</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地方配套资金到位率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100%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效益指标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社会效益指标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金融机构网点覆盖率</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金融机构网点覆盖率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≥60%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cs="仿宋_GB2312"/>
                <w:sz w:val="24"/>
                <w:szCs w:val="24"/>
                <w:lang w:val="en-US" w:eastAsia="zh-CN" w:bidi="ar-SA"/>
              </w:rPr>
            </w:pP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经济效益指标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创业担保基金放大倍数</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创业担保基金放大倍数</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≥2倍</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1"/>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满意度指标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服务对象满意度指标</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申请创业担保贷款贴息企业及个人满意度</w:t>
            </w:r>
          </w:p>
        </w:tc>
        <w:tc>
          <w:tcPr>
            <w:tcW w:w="2654"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申请创业担保贷款贴息企业及个人满意度</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≥80%</w:t>
            </w:r>
          </w:p>
        </w:tc>
        <w:tc>
          <w:tcPr>
            <w:tcW w:w="1327" w:type="dxa"/>
            <w:vAlign w:val="center"/>
          </w:tcPr>
          <w:p>
            <w:pPr>
              <w:pStyle w:val="10"/>
              <w:keepNext w:val="0"/>
              <w:keepLines w:val="0"/>
              <w:suppressLineNumbers w:val="0"/>
              <w:spacing w:beforeAutospacing="0" w:afterAutospacing="0"/>
              <w:ind w:left="0" w:right="0"/>
              <w:rPr>
                <w:rFonts w:hint="eastAsia" w:ascii="仿宋_GB2312" w:hAnsi="仿宋" w:eastAsia="仿宋_GB2312" w:cs="仿宋_GB2312"/>
                <w:sz w:val="24"/>
                <w:szCs w:val="24"/>
                <w:lang w:val="en-US" w:eastAsia="zh-CN" w:bidi="ar-SA"/>
              </w:rPr>
            </w:pPr>
            <w:r>
              <w:rPr>
                <w:rFonts w:hint="eastAsia" w:ascii="仿宋_GB2312" w:hAnsi="仿宋" w:eastAsia="仿宋_GB2312" w:cs="仿宋_GB2312"/>
                <w:sz w:val="24"/>
                <w:szCs w:val="24"/>
                <w:lang w:val="en-US" w:eastAsia="zh-CN" w:bidi="ar-SA"/>
              </w:rPr>
              <w:t>历史数据</w:t>
            </w:r>
          </w:p>
        </w:tc>
      </w:tr>
    </w:tbl>
    <w:p>
      <w:pPr>
        <w:pStyle w:val="8"/>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8"/>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8"/>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zh-CN" w:eastAsia="zh-CN" w:bidi="ar-SA"/>
        </w:rPr>
      </w:pPr>
      <w:r>
        <w:rPr>
          <w:rFonts w:hint="eastAsia" w:ascii="黑体" w:hAnsi="黑体" w:eastAsia="黑体" w:cs="黑体"/>
          <w:b w:val="0"/>
          <w:bCs/>
          <w:kern w:val="0"/>
          <w:sz w:val="32"/>
          <w:szCs w:val="32"/>
          <w:lang w:val="en-US" w:eastAsia="zh-CN" w:bidi="ar-SA"/>
        </w:rPr>
        <w:t>七、</w:t>
      </w:r>
      <w:r>
        <w:rPr>
          <w:rFonts w:hint="eastAsia" w:ascii="黑体" w:hAnsi="黑体" w:eastAsia="黑体" w:cs="黑体"/>
          <w:b w:val="0"/>
          <w:bCs/>
          <w:kern w:val="0"/>
          <w:sz w:val="32"/>
          <w:szCs w:val="32"/>
          <w:lang w:val="zh-CN" w:eastAsia="zh-CN" w:bidi="ar-SA"/>
        </w:rPr>
        <w:t>其他重要事项的解释说明</w:t>
      </w:r>
    </w:p>
    <w:p>
      <w:pPr>
        <w:pStyle w:val="8"/>
        <w:numPr>
          <w:ilvl w:val="0"/>
          <w:numId w:val="0"/>
        </w:numPr>
        <w:spacing w:before="0" w:beforeAutospacing="0" w:after="0" w:afterAutospacing="0" w:line="600" w:lineRule="exact"/>
        <w:ind w:firstLine="640" w:firstLineChars="200"/>
        <w:jc w:val="both"/>
        <w:rPr>
          <w:rFonts w:hint="eastAsia" w:ascii="宋体" w:hAnsi="宋体" w:eastAsia="宋体" w:cs="宋体"/>
          <w:sz w:val="32"/>
          <w:szCs w:val="32"/>
          <w:lang w:eastAsia="zh-CN"/>
        </w:rPr>
      </w:pPr>
      <w:r>
        <w:rPr>
          <w:rFonts w:hint="eastAsia" w:ascii="宋体" w:hAnsi="宋体" w:cs="宋体"/>
          <w:sz w:val="32"/>
          <w:szCs w:val="32"/>
        </w:rPr>
        <w:t>无其他重要事项解释说明</w:t>
      </w:r>
      <w:r>
        <w:rPr>
          <w:rFonts w:hint="eastAsia" w:cs="宋体"/>
          <w:sz w:val="32"/>
          <w:szCs w:val="32"/>
          <w:lang w:eastAsia="zh-CN"/>
        </w:rPr>
        <w:t>。</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402"/>
    <w:lvl w:ilvl="0" w:tentative="0">
      <w:start w:val="1"/>
      <w:numFmt w:val="decimal"/>
      <w:lvlText w:val="%1."/>
      <w:lvlJc w:val="left"/>
      <w:pPr>
        <w:ind w:left="136" w:hanging="160"/>
      </w:pPr>
      <w:rPr>
        <w:rFonts w:hint="default" w:ascii="Times New Roman" w:hAnsi="Times New Roman" w:eastAsia="Times New Roman"/>
        <w:sz w:val="19"/>
        <w:u w:val="none" w:color="auto"/>
      </w:rPr>
    </w:lvl>
    <w:lvl w:ilvl="1" w:tentative="0">
      <w:start w:val="1"/>
      <w:numFmt w:val="bullet"/>
      <w:lvlText w:val="•"/>
      <w:lvlJc w:val="left"/>
      <w:pPr>
        <w:ind w:left="948" w:hanging="160"/>
      </w:pPr>
      <w:rPr>
        <w:rFonts w:hint="default"/>
        <w:u w:val="none" w:color="auto"/>
      </w:rPr>
    </w:lvl>
    <w:lvl w:ilvl="2" w:tentative="0">
      <w:start w:val="1"/>
      <w:numFmt w:val="bullet"/>
      <w:lvlText w:val="•"/>
      <w:lvlJc w:val="left"/>
      <w:pPr>
        <w:ind w:left="1757" w:hanging="160"/>
      </w:pPr>
      <w:rPr>
        <w:rFonts w:hint="default"/>
        <w:u w:val="none" w:color="auto"/>
      </w:rPr>
    </w:lvl>
    <w:lvl w:ilvl="3" w:tentative="0">
      <w:start w:val="1"/>
      <w:numFmt w:val="bullet"/>
      <w:lvlText w:val="•"/>
      <w:lvlJc w:val="left"/>
      <w:pPr>
        <w:ind w:left="2565" w:hanging="160"/>
      </w:pPr>
      <w:rPr>
        <w:rFonts w:hint="default"/>
        <w:u w:val="none" w:color="auto"/>
      </w:rPr>
    </w:lvl>
    <w:lvl w:ilvl="4" w:tentative="0">
      <w:start w:val="1"/>
      <w:numFmt w:val="bullet"/>
      <w:lvlText w:val="•"/>
      <w:lvlJc w:val="left"/>
      <w:pPr>
        <w:ind w:left="3374" w:hanging="160"/>
      </w:pPr>
      <w:rPr>
        <w:rFonts w:hint="default"/>
        <w:u w:val="none" w:color="auto"/>
      </w:rPr>
    </w:lvl>
    <w:lvl w:ilvl="5" w:tentative="0">
      <w:start w:val="1"/>
      <w:numFmt w:val="bullet"/>
      <w:lvlText w:val="•"/>
      <w:lvlJc w:val="left"/>
      <w:pPr>
        <w:ind w:left="4182" w:hanging="160"/>
      </w:pPr>
      <w:rPr>
        <w:rFonts w:hint="default"/>
        <w:u w:val="none" w:color="auto"/>
      </w:rPr>
    </w:lvl>
    <w:lvl w:ilvl="6" w:tentative="0">
      <w:start w:val="1"/>
      <w:numFmt w:val="bullet"/>
      <w:lvlText w:val="•"/>
      <w:lvlJc w:val="left"/>
      <w:pPr>
        <w:ind w:left="4991" w:hanging="160"/>
      </w:pPr>
      <w:rPr>
        <w:rFonts w:hint="default"/>
        <w:u w:val="none" w:color="auto"/>
      </w:rPr>
    </w:lvl>
    <w:lvl w:ilvl="7" w:tentative="0">
      <w:start w:val="1"/>
      <w:numFmt w:val="bullet"/>
      <w:lvlText w:val="•"/>
      <w:lvlJc w:val="left"/>
      <w:pPr>
        <w:ind w:left="5799" w:hanging="160"/>
      </w:pPr>
      <w:rPr>
        <w:rFonts w:hint="default"/>
        <w:u w:val="none" w:color="auto"/>
      </w:rPr>
    </w:lvl>
    <w:lvl w:ilvl="8" w:tentative="0">
      <w:start w:val="1"/>
      <w:numFmt w:val="bullet"/>
      <w:lvlText w:val="•"/>
      <w:lvlJc w:val="left"/>
      <w:pPr>
        <w:ind w:left="6608" w:hanging="160"/>
      </w:pPr>
      <w:rPr>
        <w:rFonts w:hint="default"/>
        <w:u w:val="none" w:color="auto"/>
      </w:rPr>
    </w:lvl>
  </w:abstractNum>
  <w:abstractNum w:abstractNumId="1">
    <w:nsid w:val="187AE514"/>
    <w:multiLevelType w:val="singleLevel"/>
    <w:tmpl w:val="187AE5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53B1"/>
    <w:rsid w:val="021A0F98"/>
    <w:rsid w:val="02BB58E7"/>
    <w:rsid w:val="06E37140"/>
    <w:rsid w:val="06F1095C"/>
    <w:rsid w:val="07BE30BA"/>
    <w:rsid w:val="0B0C436A"/>
    <w:rsid w:val="1B7C219C"/>
    <w:rsid w:val="20406BEF"/>
    <w:rsid w:val="21F80EC5"/>
    <w:rsid w:val="24D50B15"/>
    <w:rsid w:val="2A2E76F3"/>
    <w:rsid w:val="36F31373"/>
    <w:rsid w:val="387743FD"/>
    <w:rsid w:val="3F062B66"/>
    <w:rsid w:val="41B2066C"/>
    <w:rsid w:val="45CF5557"/>
    <w:rsid w:val="45D43CAC"/>
    <w:rsid w:val="4EF812DB"/>
    <w:rsid w:val="51E17CA1"/>
    <w:rsid w:val="5A2C7BB8"/>
    <w:rsid w:val="5E2334FA"/>
    <w:rsid w:val="646D0291"/>
    <w:rsid w:val="6B913A12"/>
    <w:rsid w:val="6C7E5BBA"/>
    <w:rsid w:val="71972FDE"/>
    <w:rsid w:val="788E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2024-02-02T06:54:00Z</dcterms:created>
  <dc:creator>Lenovo</dc:creator>
  <cp:lastModifiedBy>Lenovo</cp:lastModifiedBy>
  <cp:lastPrinted>2024-02-02T08:13:00Z</cp:lastPrinted>
  <dcterms:modified xsi:type="dcterms:W3CDTF">2024-08-13T02:46:21Z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