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hint="eastAsia" w:ascii="方正小标宋简体" w:hAnsi="方正小标宋简体" w:eastAsia="方正小标宋简体" w:cs="方正小标宋简体"/>
          <w:color w:val="auto"/>
          <w:spacing w:val="0"/>
          <w:position w:val="0"/>
          <w:sz w:val="44"/>
          <w:shd w:val="clear" w:fill="auto"/>
        </w:rPr>
      </w:pPr>
      <w:r>
        <w:rPr>
          <w:rFonts w:hint="eastAsia" w:ascii="方正小标宋简体" w:hAnsi="方正小标宋简体" w:eastAsia="方正小标宋简体" w:cs="方正小标宋简体"/>
          <w:color w:val="auto"/>
          <w:spacing w:val="0"/>
          <w:position w:val="0"/>
          <w:sz w:val="44"/>
          <w:shd w:val="clear" w:fill="auto"/>
        </w:rPr>
        <w:t>沙河市人民法院</w:t>
      </w:r>
    </w:p>
    <w:p>
      <w:pPr>
        <w:spacing w:before="0" w:after="0" w:line="240" w:lineRule="auto"/>
        <w:ind w:left="0" w:right="0" w:firstLine="0"/>
        <w:jc w:val="center"/>
        <w:rPr>
          <w:rFonts w:hint="eastAsia" w:ascii="方正小标宋简体" w:hAnsi="方正小标宋简体" w:eastAsia="方正小标宋简体" w:cs="方正小标宋简体"/>
          <w:color w:val="auto"/>
          <w:spacing w:val="0"/>
          <w:position w:val="0"/>
          <w:sz w:val="44"/>
          <w:shd w:val="clear" w:fill="auto"/>
        </w:rPr>
      </w:pPr>
      <w:r>
        <w:rPr>
          <w:rFonts w:hint="eastAsia" w:ascii="方正小标宋简体" w:hAnsi="方正小标宋简体" w:eastAsia="方正小标宋简体" w:cs="方正小标宋简体"/>
          <w:color w:val="auto"/>
          <w:spacing w:val="0"/>
          <w:position w:val="0"/>
          <w:sz w:val="44"/>
          <w:shd w:val="clear" w:fill="auto"/>
        </w:rPr>
        <w:t>2017年部门预算信息公开</w:t>
      </w:r>
    </w:p>
    <w:p>
      <w:pPr>
        <w:spacing w:before="0" w:after="0" w:line="24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p>
    <w:p>
      <w:pPr>
        <w:spacing w:before="0" w:after="0" w:line="610" w:lineRule="auto"/>
        <w:ind w:left="0" w:right="0" w:firstLine="640"/>
        <w:jc w:val="both"/>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按照《预算法》、《地方预决算公开操作规程》规定，现将</w:t>
      </w:r>
      <w:r>
        <w:rPr>
          <w:rFonts w:hint="eastAsia" w:ascii="仿宋" w:hAnsi="仿宋" w:eastAsia="仿宋" w:cs="仿宋"/>
          <w:color w:val="auto"/>
          <w:spacing w:val="0"/>
          <w:position w:val="0"/>
          <w:sz w:val="32"/>
          <w:shd w:val="clear" w:fill="auto"/>
          <w:lang w:eastAsia="zh-CN"/>
        </w:rPr>
        <w:t>沙河市人民法院</w:t>
      </w:r>
      <w:r>
        <w:rPr>
          <w:rFonts w:hint="eastAsia" w:ascii="仿宋" w:hAnsi="仿宋" w:eastAsia="仿宋" w:cs="仿宋"/>
          <w:color w:val="auto"/>
          <w:spacing w:val="0"/>
          <w:position w:val="0"/>
          <w:sz w:val="32"/>
          <w:shd w:val="clear" w:fill="auto"/>
        </w:rPr>
        <w:t>2017部门预算公开如下：</w:t>
      </w:r>
    </w:p>
    <w:p>
      <w:pPr>
        <w:numPr>
          <w:ilvl w:val="0"/>
          <w:numId w:val="0"/>
        </w:numPr>
        <w:spacing w:before="0" w:after="0" w:line="610" w:lineRule="auto"/>
        <w:ind w:left="640" w:leftChars="0" w:right="0" w:rightChars="0"/>
        <w:jc w:val="both"/>
        <w:rPr>
          <w:rFonts w:hint="eastAsia" w:ascii="黑体" w:hAnsi="黑体" w:eastAsia="黑体" w:cs="黑体"/>
          <w:b w:val="0"/>
          <w:bCs w:val="0"/>
          <w:color w:val="auto"/>
          <w:spacing w:val="0"/>
          <w:position w:val="0"/>
          <w:sz w:val="32"/>
          <w:shd w:val="clear" w:fill="auto"/>
        </w:rPr>
      </w:pPr>
      <w:r>
        <w:rPr>
          <w:rFonts w:hint="eastAsia" w:ascii="黑体" w:hAnsi="黑体" w:eastAsia="黑体" w:cs="黑体"/>
          <w:b w:val="0"/>
          <w:bCs w:val="0"/>
          <w:color w:val="auto"/>
          <w:spacing w:val="0"/>
          <w:position w:val="0"/>
          <w:sz w:val="32"/>
          <w:shd w:val="clear" w:fill="auto"/>
          <w:lang w:eastAsia="zh-CN"/>
        </w:rPr>
        <w:t>一、</w:t>
      </w:r>
      <w:r>
        <w:rPr>
          <w:rFonts w:hint="eastAsia" w:ascii="黑体" w:hAnsi="黑体" w:eastAsia="黑体" w:cs="黑体"/>
          <w:b w:val="0"/>
          <w:bCs w:val="0"/>
          <w:color w:val="auto"/>
          <w:spacing w:val="0"/>
          <w:position w:val="0"/>
          <w:sz w:val="32"/>
          <w:shd w:val="clear" w:fill="auto"/>
        </w:rPr>
        <w:t>部门职责及</w:t>
      </w:r>
      <w:r>
        <w:rPr>
          <w:rFonts w:hint="eastAsia" w:ascii="黑体" w:hAnsi="黑体" w:eastAsia="黑体" w:cs="黑体"/>
          <w:b w:val="0"/>
          <w:bCs w:val="0"/>
          <w:color w:val="auto"/>
          <w:spacing w:val="0"/>
          <w:position w:val="0"/>
          <w:sz w:val="32"/>
          <w:shd w:val="clear" w:fill="auto"/>
          <w:lang w:eastAsia="zh-CN"/>
        </w:rPr>
        <w:t>机构设置</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562"/>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部门职责：</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562"/>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充分发挥职能作用，全面落实维稳任务。2、高度重视涉访涉诉，全面排查矛盾隐患。针对日益严峻的涉访涉诉形势，要求干警要迅速转变工作作风，强化为民理念，主动出击，加强与市直、政法、社会媒体的联系。3、继续加强队伍建设，全面提高干警素质。要进一步加强对全院干警的政治思想教育，坚定理想信念，坚守共产党人精神追求。4、以司法礼仪为抓手，全面提高审执效率。树立人民法院良好形象。通过开展岗位培训、岗位练兵、技能培训等活动，积极动员干警广泛参与，切实提高干警的业务素质和办案水平，提高人民群众对法院审判工作的信任度和满意度。继续加强法院队伍廉政建设，以廉洁促公正，确保领导班子、法官队伍不出问题。</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预算单位构成：</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本部门无下级预算单位，部门预算构成只包括沙河市人民法院。</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lang w:eastAsia="zh-CN"/>
        </w:rPr>
      </w:pPr>
      <w:r>
        <w:rPr>
          <w:rFonts w:hint="eastAsia" w:ascii="仿宋" w:hAnsi="仿宋" w:eastAsia="仿宋" w:cs="仿宋"/>
          <w:color w:val="auto"/>
          <w:spacing w:val="0"/>
          <w:position w:val="0"/>
          <w:sz w:val="32"/>
          <w:shd w:val="clear" w:fill="auto"/>
          <w:lang w:eastAsia="zh-CN"/>
        </w:rPr>
        <w:t>机构设置：</w:t>
      </w:r>
    </w:p>
    <w:tbl>
      <w:tblPr>
        <w:tblStyle w:val="3"/>
        <w:tblW w:w="8330" w:type="dxa"/>
        <w:tblInd w:w="0" w:type="dxa"/>
        <w:shd w:val="clear" w:color="auto" w:fill="auto"/>
        <w:tblLayout w:type="fixed"/>
        <w:tblCellMar>
          <w:top w:w="0" w:type="dxa"/>
          <w:left w:w="0" w:type="dxa"/>
          <w:bottom w:w="0" w:type="dxa"/>
          <w:right w:w="0" w:type="dxa"/>
        </w:tblCellMar>
      </w:tblPr>
      <w:tblGrid>
        <w:gridCol w:w="2712"/>
        <w:gridCol w:w="1527"/>
        <w:gridCol w:w="1690"/>
        <w:gridCol w:w="2401"/>
      </w:tblGrid>
      <w:tr>
        <w:tblPrEx>
          <w:tblLayout w:type="fixed"/>
          <w:tblCellMar>
            <w:top w:w="0" w:type="dxa"/>
            <w:left w:w="0" w:type="dxa"/>
            <w:bottom w:w="0" w:type="dxa"/>
            <w:right w:w="0" w:type="dxa"/>
          </w:tblCellMar>
        </w:tblPrEx>
        <w:trPr>
          <w:trHeight w:val="642" w:hRule="atLeast"/>
        </w:trPr>
        <w:tc>
          <w:tcPr>
            <w:tcW w:w="27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单位名称</w:t>
            </w:r>
          </w:p>
        </w:tc>
        <w:tc>
          <w:tcPr>
            <w:tcW w:w="1527"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单位性质</w:t>
            </w:r>
          </w:p>
        </w:tc>
        <w:tc>
          <w:tcPr>
            <w:tcW w:w="1690"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单位规格</w:t>
            </w:r>
          </w:p>
        </w:tc>
        <w:tc>
          <w:tcPr>
            <w:tcW w:w="2401"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经费保障形式</w:t>
            </w:r>
          </w:p>
        </w:tc>
      </w:tr>
      <w:tr>
        <w:tblPrEx>
          <w:tblLayout w:type="fixed"/>
          <w:tblCellMar>
            <w:top w:w="0" w:type="dxa"/>
            <w:left w:w="0" w:type="dxa"/>
            <w:bottom w:w="0" w:type="dxa"/>
            <w:right w:w="0" w:type="dxa"/>
          </w:tblCellMar>
        </w:tblPrEx>
        <w:trPr>
          <w:trHeight w:val="642" w:hRule="atLeast"/>
        </w:trPr>
        <w:tc>
          <w:tcPr>
            <w:tcW w:w="2712"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沙河市人民法院</w:t>
            </w:r>
          </w:p>
        </w:tc>
        <w:tc>
          <w:tcPr>
            <w:tcW w:w="1527"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行政单位</w:t>
            </w:r>
          </w:p>
        </w:tc>
        <w:tc>
          <w:tcPr>
            <w:tcW w:w="169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正科级</w:t>
            </w:r>
          </w:p>
        </w:tc>
        <w:tc>
          <w:tcPr>
            <w:tcW w:w="240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仿宋_GB2312" w:eastAsia="仿宋_GB2312" w:cs="Times New Roman"/>
                <w:bCs/>
                <w:sz w:val="30"/>
                <w:szCs w:val="30"/>
                <w:lang w:val="en-US" w:eastAsia="zh-CN" w:bidi="ar"/>
              </w:rPr>
              <w:t>财政拨款</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b w:val="0"/>
          <w:bCs w:val="0"/>
          <w:color w:val="auto"/>
          <w:spacing w:val="0"/>
          <w:position w:val="0"/>
          <w:sz w:val="32"/>
          <w:shd w:val="clear" w:fill="auto"/>
        </w:rPr>
      </w:pPr>
      <w:r>
        <w:rPr>
          <w:rFonts w:hint="eastAsia" w:ascii="黑体" w:hAnsi="黑体" w:eastAsia="黑体" w:cs="黑体"/>
          <w:b w:val="0"/>
          <w:bCs w:val="0"/>
          <w:color w:val="auto"/>
          <w:spacing w:val="0"/>
          <w:position w:val="0"/>
          <w:sz w:val="32"/>
          <w:shd w:val="clear" w:fill="auto"/>
        </w:rPr>
        <w:t>二、部门预算安排的总体情况</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按照预算管理有关规定，目前我市部门预算的编制实行综合预算制度，即全部收入和支出都反映在预算中。</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收入说明</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反映本部门当年全部收入。2017年预算收入1612.41万元，其中：一般公共预算收入1612.41万元，基金预算拨款0元。</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支出说明</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收支预算总表支出栏、基本支出表、项目支出表按经济分类和支出功能分类科目编制，反映</w:t>
      </w:r>
      <w:r>
        <w:rPr>
          <w:rFonts w:hint="eastAsia" w:ascii="仿宋" w:hAnsi="仿宋" w:eastAsia="仿宋" w:cs="仿宋"/>
          <w:color w:val="auto"/>
          <w:spacing w:val="0"/>
          <w:position w:val="0"/>
          <w:sz w:val="32"/>
          <w:shd w:val="clear" w:fill="auto"/>
          <w:lang w:eastAsia="zh-CN"/>
        </w:rPr>
        <w:t>沙河市人民法院</w:t>
      </w:r>
      <w:r>
        <w:rPr>
          <w:rFonts w:hint="eastAsia" w:ascii="仿宋" w:hAnsi="仿宋" w:eastAsia="仿宋" w:cs="仿宋"/>
          <w:color w:val="auto"/>
          <w:spacing w:val="0"/>
          <w:position w:val="0"/>
          <w:sz w:val="32"/>
          <w:shd w:val="clear" w:fill="auto"/>
        </w:rPr>
        <w:t>2017年度部门预算中支出预算的总体情况。2017年支出预算1612.41万元，其中基本支出1171.04万元，包括人员经费和日常公用经费；项目支出441.37万元，全部为本级支出的</w:t>
      </w:r>
      <w:r>
        <w:rPr>
          <w:rFonts w:hint="eastAsia" w:ascii="仿宋" w:hAnsi="仿宋" w:eastAsia="仿宋" w:cs="仿宋"/>
          <w:color w:val="auto"/>
          <w:spacing w:val="0"/>
          <w:position w:val="0"/>
          <w:sz w:val="32"/>
          <w:shd w:val="clear" w:fill="auto"/>
          <w:lang w:eastAsia="zh-CN"/>
        </w:rPr>
        <w:t>编制保障经费</w:t>
      </w:r>
      <w:r>
        <w:rPr>
          <w:rFonts w:hint="eastAsia" w:ascii="仿宋" w:hAnsi="仿宋" w:eastAsia="仿宋" w:cs="仿宋"/>
          <w:color w:val="auto"/>
          <w:spacing w:val="0"/>
          <w:position w:val="0"/>
          <w:sz w:val="32"/>
          <w:shd w:val="clear" w:fill="auto"/>
        </w:rPr>
        <w:t>。</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比上年增减情况</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2017年预算收支安排1612.41万元，较2016年预算增加191.98万元，其中基本支出增加141.5万元，主要为人员经费支出增加；项目支出减少</w:t>
      </w:r>
      <w:r>
        <w:rPr>
          <w:rFonts w:hint="eastAsia" w:ascii="仿宋" w:hAnsi="仿宋" w:eastAsia="仿宋" w:cs="仿宋"/>
          <w:b/>
          <w:color w:val="auto"/>
          <w:spacing w:val="0"/>
          <w:position w:val="0"/>
          <w:sz w:val="32"/>
          <w:shd w:val="clear" w:fill="auto"/>
        </w:rPr>
        <w:t>50.48</w:t>
      </w:r>
      <w:r>
        <w:rPr>
          <w:rFonts w:hint="eastAsia" w:ascii="仿宋" w:hAnsi="仿宋" w:eastAsia="仿宋" w:cs="仿宋"/>
          <w:color w:val="auto"/>
          <w:spacing w:val="0"/>
          <w:position w:val="0"/>
          <w:sz w:val="32"/>
          <w:shd w:val="clear" w:fill="auto"/>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color w:val="auto"/>
          <w:spacing w:val="0"/>
          <w:position w:val="0"/>
          <w:sz w:val="32"/>
          <w:shd w:val="clear" w:fill="auto"/>
        </w:rPr>
      </w:pPr>
      <w:r>
        <w:rPr>
          <w:rFonts w:hint="eastAsia" w:ascii="黑体" w:hAnsi="黑体" w:eastAsia="黑体" w:cs="黑体"/>
          <w:color w:val="auto"/>
          <w:spacing w:val="0"/>
          <w:position w:val="0"/>
          <w:sz w:val="32"/>
          <w:shd w:val="clear" w:fill="auto"/>
          <w:lang w:eastAsia="zh-CN"/>
        </w:rPr>
        <w:t>三、</w:t>
      </w:r>
      <w:r>
        <w:rPr>
          <w:rFonts w:hint="eastAsia" w:ascii="黑体" w:hAnsi="黑体" w:eastAsia="黑体" w:cs="黑体"/>
          <w:color w:val="auto"/>
          <w:spacing w:val="0"/>
          <w:position w:val="0"/>
          <w:sz w:val="32"/>
          <w:shd w:val="clear" w:fill="auto"/>
        </w:rPr>
        <w:t>机关运行经费安排情况</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机关运行经费安排493.02万元，主要用于机关正常运转、公务用车运行、办公用房维修维护等日常运行支出。</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color w:val="auto"/>
          <w:spacing w:val="0"/>
          <w:position w:val="0"/>
          <w:sz w:val="32"/>
          <w:shd w:val="clear" w:fill="auto"/>
        </w:rPr>
      </w:pPr>
      <w:r>
        <w:rPr>
          <w:rFonts w:hint="eastAsia" w:ascii="黑体" w:hAnsi="黑体" w:eastAsia="黑体" w:cs="黑体"/>
          <w:color w:val="auto"/>
          <w:spacing w:val="0"/>
          <w:position w:val="0"/>
          <w:sz w:val="32"/>
          <w:shd w:val="clear" w:fill="auto"/>
          <w:lang w:eastAsia="zh-CN"/>
        </w:rPr>
        <w:t>四、</w:t>
      </w:r>
      <w:r>
        <w:rPr>
          <w:rFonts w:hint="eastAsia" w:ascii="黑体" w:hAnsi="黑体" w:eastAsia="黑体" w:cs="黑体"/>
          <w:color w:val="auto"/>
          <w:spacing w:val="0"/>
          <w:position w:val="0"/>
          <w:sz w:val="32"/>
          <w:shd w:val="clear" w:fill="auto"/>
        </w:rPr>
        <w:t>财政拨款“三公”经费预算安排情况及增减变化原因</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2017年，我部门“三公”经费预算安排42万元，其中因公出国（境）费0元；公务用车购置及运维费40万元（公务用车购置费0元，公务用车运维费40万元）；公务接待费2万元，与2016年相比持平。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color w:val="auto"/>
          <w:spacing w:val="0"/>
          <w:position w:val="0"/>
          <w:sz w:val="32"/>
          <w:shd w:val="clear" w:fill="auto"/>
        </w:rPr>
      </w:pPr>
      <w:r>
        <w:rPr>
          <w:rFonts w:hint="eastAsia" w:ascii="黑体" w:hAnsi="黑体" w:eastAsia="黑体" w:cs="黑体"/>
          <w:color w:val="auto"/>
          <w:spacing w:val="0"/>
          <w:position w:val="0"/>
          <w:sz w:val="32"/>
          <w:shd w:val="clear" w:fill="auto"/>
          <w:lang w:eastAsia="zh-CN"/>
        </w:rPr>
        <w:t>五、</w:t>
      </w:r>
      <w:r>
        <w:rPr>
          <w:rFonts w:hint="eastAsia" w:ascii="黑体" w:hAnsi="黑体" w:eastAsia="黑体" w:cs="黑体"/>
          <w:color w:val="auto"/>
          <w:spacing w:val="0"/>
          <w:position w:val="0"/>
          <w:sz w:val="32"/>
          <w:shd w:val="clear" w:fill="auto"/>
        </w:rPr>
        <w:t>绩效预算信息</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562"/>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（一）总体绩效目标：</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562"/>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2017年，沙河市人民法院要继续以邓小平理论、“三个代表”重要思想、科学发展观为指导，深入贯彻落实习近平总书记系列重要讲话和党的十八届三中全会精神，全面贯彻近年来中央、省委关于法院工作的系列指示精神，坚持“为人民服务”原则，着力发挥“三个主作用”、加强“四项建设”、推进“四个创新”，充分发挥职能作用，全面落实维稳任务。2、高度重视涉访涉诉，全面排查矛盾隐患。针对日益严峻的涉访涉诉形势，要求干警要迅速转变工作作风，强化为民理念，主动出击，加强与市直、政法、社会媒体的联系。3、继续加强队伍建设，全面提高干警素质。要进一步加强对全院干警的政治思想教育，坚定理想信念，坚守共产党人精神追求。4、以司法礼仪为抓手，全面提高审执效率。树立人民法院良好形象。通过开展岗位培训、岗位练兵、技能培训等活动，积极动员干警广泛参与，切实提高干警的业务素质和办案水平，提高人民群众对法院审判工作的信任度和满意度。继续加强法院队伍廉政建设，以廉洁促公正，确保领导班子、法官队伍不出问题。</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562"/>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 xml:space="preserve"> 职责分类绩效目标：</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562"/>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 xml:space="preserve"> 职责分类绩效目标：努力做到本年度当庭宣判率不低于80％；案件执结率不低90％；案件在审限内结案率达100％，发还改判率不超过3%。其中刑事一审结案率达100％，重审结案率不低于95％；民事一审结案率不低于90％，调解率不低于30％，重审结案率不低于95％；行政一审结案率达100％，重审结案率不低于95％。</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562"/>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实现年度发展规划目标的保障措施</w:t>
      </w:r>
      <w:r>
        <w:rPr>
          <w:rFonts w:hint="eastAsia" w:ascii="仿宋" w:hAnsi="仿宋" w:eastAsia="仿宋" w:cs="仿宋"/>
          <w:color w:val="auto"/>
          <w:spacing w:val="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562"/>
        <w:jc w:val="both"/>
        <w:textAlignment w:val="auto"/>
        <w:outlineLvl w:val="9"/>
        <w:rPr>
          <w:rFonts w:hint="eastAsia" w:ascii="仿宋" w:hAnsi="仿宋" w:eastAsia="仿宋" w:cs="仿宋"/>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562"/>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进一步加强量刑规范化建设，健全完善量刑均衡机制。加大行政案件协调力度，妥善处理好“官民”矛盾，促进“官民”和谐。规范强化执行工作，积极探索对反规避执行的有效措施，逐步改变执行难的问题。加强涉诉信访工作，下大力加强对涉诉信访案件和矛盾纠纷隐患的全面排查和清理，确保涉法涉诉信访案件得到妥善有效的处理。明确承办干警和包案领导的责任，严格实行案件倒查追责制。</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仿宋_GB2312" w:hAnsi="仿宋_GB2312" w:eastAsia="仿宋_GB2312" w:cs="仿宋_GB2312"/>
          <w:color w:val="auto"/>
          <w:spacing w:val="0"/>
          <w:position w:val="0"/>
          <w:sz w:val="32"/>
          <w:shd w:val="clear" w:fill="auto"/>
        </w:rPr>
      </w:pPr>
      <w:r>
        <w:rPr>
          <w:rFonts w:hint="eastAsia" w:ascii="仿宋_GB2312" w:hAnsi="仿宋_GB2312" w:eastAsia="仿宋_GB2312" w:cs="仿宋_GB2312"/>
          <w:color w:val="auto"/>
          <w:spacing w:val="0"/>
          <w:position w:val="0"/>
          <w:sz w:val="32"/>
          <w:shd w:val="clear" w:fill="auto"/>
        </w:rPr>
        <w:t>部门职责及工作绩效目标指标</w:t>
      </w:r>
    </w:p>
    <w:tbl>
      <w:tblPr>
        <w:tblStyle w:val="3"/>
        <w:tblW w:w="85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880"/>
        <w:gridCol w:w="848"/>
        <w:gridCol w:w="1069"/>
        <w:gridCol w:w="1020"/>
        <w:gridCol w:w="848"/>
        <w:gridCol w:w="848"/>
        <w:gridCol w:w="848"/>
        <w:gridCol w:w="848"/>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7" w:hRule="atLeast"/>
          <w:tblHeader/>
          <w:jc w:val="center"/>
        </w:trPr>
        <w:tc>
          <w:tcPr>
            <w:tcW w:w="4665" w:type="dxa"/>
            <w:gridSpan w:val="5"/>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小标宋_GBK" w:hAnsi="方正小标宋_GBK" w:eastAsia="方正小标宋_GBK" w:cs="方正小标宋_GBK"/>
                <w:sz w:val="24"/>
                <w:szCs w:val="24"/>
                <w:lang w:val="en-US"/>
              </w:rPr>
            </w:pPr>
            <w:r>
              <w:rPr>
                <w:rFonts w:hint="eastAsia" w:ascii="方正小标宋_GBK" w:hAnsi="方正小标宋_GBK" w:eastAsia="方正小标宋_GBK" w:cs="方正小标宋_GBK"/>
                <w:kern w:val="2"/>
                <w:sz w:val="24"/>
                <w:szCs w:val="24"/>
                <w:lang w:val="en-US" w:eastAsia="zh-CN" w:bidi="ar"/>
              </w:rPr>
              <w:t>104沙河市人民法院</w:t>
            </w:r>
          </w:p>
        </w:tc>
        <w:tc>
          <w:tcPr>
            <w:tcW w:w="3857" w:type="dxa"/>
            <w:gridSpan w:val="4"/>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sz w:val="24"/>
                <w:szCs w:val="24"/>
                <w:lang w:val="en-US"/>
              </w:rPr>
            </w:pPr>
            <w:r>
              <w:rPr>
                <w:rFonts w:hint="eastAsia" w:ascii="方正书宋_GBK" w:hAnsi="方正书宋_GBK" w:eastAsia="方正书宋_GBK" w:cs="方正书宋_GBK"/>
                <w:kern w:val="2"/>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88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职责活动</w:t>
            </w:r>
          </w:p>
        </w:tc>
        <w:tc>
          <w:tcPr>
            <w:tcW w:w="8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年度预算数</w:t>
            </w:r>
          </w:p>
        </w:tc>
        <w:tc>
          <w:tcPr>
            <w:tcW w:w="106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内容描述</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绩效目标</w:t>
            </w:r>
          </w:p>
        </w:tc>
        <w:tc>
          <w:tcPr>
            <w:tcW w:w="8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绩效指标</w:t>
            </w:r>
          </w:p>
        </w:tc>
        <w:tc>
          <w:tcPr>
            <w:tcW w:w="3857"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7" w:hRule="atLeast"/>
          <w:tblHeader/>
          <w:jc w:val="center"/>
        </w:trPr>
        <w:tc>
          <w:tcPr>
            <w:tcW w:w="8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优</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良</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中</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7" w:hRule="atLeast"/>
          <w:jc w:val="center"/>
        </w:trPr>
        <w:tc>
          <w:tcPr>
            <w:tcW w:w="88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案件审判管理和执行</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263.00</w:t>
            </w:r>
          </w:p>
        </w:tc>
        <w:tc>
          <w:tcPr>
            <w:tcW w:w="10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依法审判法律规定由县级人民法院管辖的刑事、民事、行政等一审案件，依法办理发生法律效力判决、其他法律文书的执行，做好审判管理工作。</w:t>
            </w:r>
          </w:p>
        </w:tc>
        <w:tc>
          <w:tcPr>
            <w:tcW w:w="10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妥善审理经济转型过程中引发的各类矛盾纠纷，依法维护国家安全和社会稳定，严惩各类严重刑事犯罪，积极推进平安XX建设，营造良好的法治环境。</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7" w:hRule="atLeast"/>
          <w:jc w:val="center"/>
        </w:trPr>
        <w:tc>
          <w:tcPr>
            <w:tcW w:w="88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　　案件审判</w:t>
            </w:r>
          </w:p>
        </w:tc>
        <w:tc>
          <w:tcPr>
            <w:tcW w:w="8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163.00</w:t>
            </w:r>
          </w:p>
        </w:tc>
        <w:tc>
          <w:tcPr>
            <w:tcW w:w="106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依法审判一审刑事、民事、行政案件。</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依法惩治刑事犯罪，监督行政机关依法行政，促进社会和谐，维护社会稳定，服务全县工作大局，发挥服务保障职能。</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审限结案率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≥96%</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≥94%</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≥92%</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7" w:hRule="atLeast"/>
          <w:jc w:val="center"/>
        </w:trPr>
        <w:tc>
          <w:tcPr>
            <w:tcW w:w="8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平均审理天数（天）</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≤50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≤55</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&gt;60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7" w:hRule="atLeast"/>
          <w:jc w:val="center"/>
        </w:trPr>
        <w:tc>
          <w:tcPr>
            <w:tcW w:w="8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案件结案率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≥85%</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≥75%</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7" w:hRule="atLeast"/>
          <w:jc w:val="center"/>
        </w:trPr>
        <w:tc>
          <w:tcPr>
            <w:tcW w:w="88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　　案件判决执行</w:t>
            </w:r>
          </w:p>
        </w:tc>
        <w:tc>
          <w:tcPr>
            <w:tcW w:w="8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p>
        </w:tc>
        <w:tc>
          <w:tcPr>
            <w:tcW w:w="106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执行本院已经发生法律效力的法律文书和法律规定由本院执行的其他生效法律文书及委托执行案件。</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积极推进执行工作，切实保障群众合法权益，维护社会公平正义。</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执行公开率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≥85%</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7" w:hRule="atLeast"/>
          <w:jc w:val="center"/>
        </w:trPr>
        <w:tc>
          <w:tcPr>
            <w:tcW w:w="8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提前执结率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≥5%</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正常</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超出规定时间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7" w:hRule="atLeast"/>
          <w:jc w:val="center"/>
        </w:trPr>
        <w:tc>
          <w:tcPr>
            <w:tcW w:w="8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执行案件结案率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8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　　审判管理</w:t>
            </w:r>
          </w:p>
        </w:tc>
        <w:tc>
          <w:tcPr>
            <w:tcW w:w="8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100.00</w:t>
            </w:r>
          </w:p>
        </w:tc>
        <w:tc>
          <w:tcPr>
            <w:tcW w:w="106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规范、保障、促进审判执行工作，包括：案件信息管理、案件质量评估、案件质量评查、审判流程管理、审判运势分析等。</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完善审判质效评估体系，促进审判质效、健全司法权力运行机制，提升司法公信力。</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案件信息合格率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≥95%</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≥85%</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7" w:hRule="atLeast"/>
          <w:jc w:val="center"/>
        </w:trPr>
        <w:tc>
          <w:tcPr>
            <w:tcW w:w="8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审判流程公开率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≥95%</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≥85%</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审判流程合规率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≥95%</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8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　　司法技术辅助</w:t>
            </w:r>
          </w:p>
        </w:tc>
        <w:tc>
          <w:tcPr>
            <w:tcW w:w="8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p>
        </w:tc>
        <w:tc>
          <w:tcPr>
            <w:tcW w:w="106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开展司法技术辅助工作。对审判工作技术咨询、技术审核服务，主要工作包括：对外委托鉴定、评估、审计、拍卖、组织专家审核等。</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为案件审判提供技术支撑，提高办案质量。</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司法鉴定工作办结率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7" w:hRule="atLeast"/>
          <w:jc w:val="center"/>
        </w:trPr>
        <w:tc>
          <w:tcPr>
            <w:tcW w:w="8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司法技术辅助工作完成率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≥95%</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≥85%</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8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司法救助和国家赔偿</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p>
        </w:tc>
        <w:tc>
          <w:tcPr>
            <w:tcW w:w="10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完成涉法涉诉类案件的息诉罢访工作，依法办理国家赔偿案件。</w:t>
            </w:r>
          </w:p>
        </w:tc>
        <w:tc>
          <w:tcPr>
            <w:tcW w:w="10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改革涉诉信访工作，推动涉诉信访问题在法治轨道内解决；落实司法为民措施，保护被侵权人合法利益，促进国家机关依法行使职权。</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8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　　涉法涉诉</w:t>
            </w:r>
          </w:p>
        </w:tc>
        <w:tc>
          <w:tcPr>
            <w:tcW w:w="8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p>
        </w:tc>
        <w:tc>
          <w:tcPr>
            <w:tcW w:w="106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完成涉法涉诉类上访案件的息诉罢访工作，做好</w:t>
            </w:r>
            <w:r>
              <w:rPr>
                <w:rFonts w:hint="default" w:ascii="方正书宋_GBK" w:hAnsi="Times New Roman" w:eastAsia="方正书宋_GBK" w:cs="Times New Roman"/>
                <w:kern w:val="2"/>
                <w:sz w:val="21"/>
                <w:szCs w:val="24"/>
                <w:lang w:val="en-US" w:eastAsia="zh-CN" w:bidi="ar"/>
              </w:rPr>
              <w:t>“</w:t>
            </w:r>
            <w:r>
              <w:rPr>
                <w:rFonts w:hint="eastAsia" w:ascii="方正书宋_GBK" w:hAnsi="方正书宋_GBK" w:eastAsia="方正书宋_GBK" w:cs="方正书宋_GBK"/>
                <w:kern w:val="2"/>
                <w:sz w:val="21"/>
                <w:szCs w:val="24"/>
                <w:lang w:val="en-US" w:eastAsia="zh-CN" w:bidi="ar"/>
              </w:rPr>
              <w:t>两会</w:t>
            </w:r>
            <w:r>
              <w:rPr>
                <w:rFonts w:hint="default" w:ascii="方正书宋_GBK" w:hAnsi="Times New Roman" w:eastAsia="方正书宋_GBK" w:cs="Times New Roman"/>
                <w:kern w:val="2"/>
                <w:sz w:val="21"/>
                <w:szCs w:val="24"/>
                <w:lang w:val="en-US" w:eastAsia="zh-CN" w:bidi="ar"/>
              </w:rPr>
              <w:t>”</w:t>
            </w:r>
            <w:r>
              <w:rPr>
                <w:rFonts w:hint="eastAsia" w:ascii="方正书宋_GBK" w:hAnsi="方正书宋_GBK" w:eastAsia="方正书宋_GBK" w:cs="方正书宋_GBK"/>
                <w:kern w:val="2"/>
                <w:sz w:val="21"/>
                <w:szCs w:val="24"/>
                <w:lang w:val="en-US" w:eastAsia="zh-CN" w:bidi="ar"/>
              </w:rPr>
              <w:t>、重大活动期间的维稳工作，接待分流越级上访人员、协助处理到上级法院的集体访和闹访人员的稳控遣返工作。</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保障信访工作正常进行，提高信访案件结案率、信访受理满意度，维护国家机关的正常工作秩序，做好稳控工作。</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信访处理满意度</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7" w:hRule="atLeast"/>
          <w:jc w:val="center"/>
        </w:trPr>
        <w:tc>
          <w:tcPr>
            <w:tcW w:w="8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信访案件结案率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7" w:hRule="atLeast"/>
          <w:jc w:val="center"/>
        </w:trPr>
        <w:tc>
          <w:tcPr>
            <w:tcW w:w="88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　　司法救助</w:t>
            </w:r>
          </w:p>
        </w:tc>
        <w:tc>
          <w:tcPr>
            <w:tcW w:w="8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p>
        </w:tc>
        <w:tc>
          <w:tcPr>
            <w:tcW w:w="106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对受到侵害但无法获得有效赔偿的当事人给予资助。</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不断完善司法救助，切实保护民生，让人民群众感受到司法以人为本，享受到司法人文关怀。</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结案率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化解矛盾率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≥70％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≥60％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7" w:hRule="atLeast"/>
          <w:jc w:val="center"/>
        </w:trPr>
        <w:tc>
          <w:tcPr>
            <w:tcW w:w="8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司法救助资金发放到位率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≥95%</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≥85%</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8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　　国家赔偿</w:t>
            </w:r>
          </w:p>
        </w:tc>
        <w:tc>
          <w:tcPr>
            <w:tcW w:w="8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p>
        </w:tc>
        <w:tc>
          <w:tcPr>
            <w:tcW w:w="106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依法办理国家赔偿案件，执行赔偿委员会决定事项，审查处理赔偿告诉申诉案件。主要工作包括调查、取证，审理。</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保护被侵害人的合法权益，促进行政机关、司法机关依法履行职责。</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国家赔偿案件结案率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≥85%</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结案时间提前率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≥5%</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正常</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超出规定时间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国家赔偿案件办理工作完成率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≥85%</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≥80%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8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法院事务管理</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440.62</w:t>
            </w:r>
          </w:p>
        </w:tc>
        <w:tc>
          <w:tcPr>
            <w:tcW w:w="10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系统综合业务管理和综合事务管理。</w:t>
            </w:r>
          </w:p>
        </w:tc>
        <w:tc>
          <w:tcPr>
            <w:tcW w:w="10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提高队伍素质和执法能力，高质高效完成各项工作。</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8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　　综合业务管理</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p>
        </w:tc>
        <w:tc>
          <w:tcPr>
            <w:tcW w:w="10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加强法院系统队伍建设，加强法院基础设施及信息化建设，加强培训及法院文化建设；总结人民法院审判业务工作经验，建立绩效考核制度，加强对外宣传以及舆论引导，树立法院良好形象。</w:t>
            </w:r>
          </w:p>
        </w:tc>
        <w:tc>
          <w:tcPr>
            <w:tcW w:w="10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不断提高队伍素质和执法能力，推进信息公开，提升审判质效，改进司法工作作风，树立法院良好形象。</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综合业务管理工作完成率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≥95%</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8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4"/>
                <w:lang w:val="en-US" w:eastAsia="zh-CN" w:bidi="ar"/>
              </w:rPr>
              <w:t>　　综合事务管理</w:t>
            </w:r>
          </w:p>
        </w:tc>
        <w:tc>
          <w:tcPr>
            <w:tcW w:w="8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440.62</w:t>
            </w:r>
          </w:p>
        </w:tc>
        <w:tc>
          <w:tcPr>
            <w:tcW w:w="106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领导全县人民法庭的监察工作；管理全县法庭司法行政工作；承办其它应由县级人民法院负责的工作。</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高质高效完成年度各项工作。</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综合事务管理工作完成率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≥95%</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27" w:hRule="atLeast"/>
          <w:jc w:val="center"/>
        </w:trPr>
        <w:tc>
          <w:tcPr>
            <w:tcW w:w="8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6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各项保障工作完成率</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100%</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≥95%</w:t>
            </w:r>
          </w:p>
        </w:tc>
        <w:tc>
          <w:tcPr>
            <w:tcW w:w="8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≥90%</w:t>
            </w:r>
          </w:p>
        </w:tc>
        <w:tc>
          <w:tcPr>
            <w:tcW w:w="13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4"/>
                <w:lang w:val="en-US" w:eastAsia="zh-CN" w:bidi="ar"/>
              </w:rPr>
              <w:t>&lt;90%</w:t>
            </w:r>
          </w:p>
        </w:tc>
      </w:tr>
    </w:tbl>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color w:val="auto"/>
          <w:spacing w:val="0"/>
          <w:position w:val="0"/>
          <w:sz w:val="32"/>
          <w:shd w:val="clear" w:fill="auto"/>
        </w:rPr>
      </w:pPr>
      <w:r>
        <w:rPr>
          <w:rFonts w:hint="eastAsia" w:ascii="黑体" w:hAnsi="黑体" w:eastAsia="黑体" w:cs="黑体"/>
          <w:color w:val="auto"/>
          <w:spacing w:val="0"/>
          <w:position w:val="0"/>
          <w:sz w:val="32"/>
          <w:shd w:val="clear" w:fill="auto"/>
          <w:lang w:eastAsia="zh-CN"/>
        </w:rPr>
        <w:t>六、</w:t>
      </w:r>
      <w:r>
        <w:rPr>
          <w:rFonts w:hint="eastAsia" w:ascii="黑体" w:hAnsi="黑体" w:eastAsia="黑体" w:cs="黑体"/>
          <w:color w:val="auto"/>
          <w:spacing w:val="0"/>
          <w:position w:val="0"/>
          <w:sz w:val="32"/>
          <w:shd w:val="clear" w:fill="auto"/>
        </w:rPr>
        <w:t>政府采购预算情况</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2017年，我部门未安排政府采购预算。</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color w:val="auto"/>
          <w:spacing w:val="0"/>
          <w:position w:val="0"/>
          <w:sz w:val="32"/>
          <w:shd w:val="clear" w:fill="auto"/>
        </w:rPr>
      </w:pPr>
      <w:r>
        <w:rPr>
          <w:rFonts w:hint="eastAsia" w:ascii="黑体" w:hAnsi="黑体" w:eastAsia="黑体" w:cs="黑体"/>
          <w:color w:val="auto"/>
          <w:spacing w:val="0"/>
          <w:position w:val="0"/>
          <w:sz w:val="32"/>
          <w:shd w:val="clear" w:fill="auto"/>
          <w:lang w:eastAsia="zh-CN"/>
        </w:rPr>
        <w:t>七、</w:t>
      </w:r>
      <w:r>
        <w:rPr>
          <w:rFonts w:hint="eastAsia" w:ascii="黑体" w:hAnsi="黑体" w:eastAsia="黑体" w:cs="黑体"/>
          <w:color w:val="auto"/>
          <w:spacing w:val="0"/>
          <w:position w:val="0"/>
          <w:sz w:val="32"/>
          <w:shd w:val="clear" w:fill="auto"/>
        </w:rPr>
        <w:t>国有资产信息</w:t>
      </w:r>
    </w:p>
    <w:p>
      <w:pPr>
        <w:keepNext w:val="0"/>
        <w:keepLines w:val="0"/>
        <w:widowControl w:val="0"/>
        <w:suppressLineNumbers w:val="0"/>
        <w:spacing w:before="0" w:beforeAutospacing="0" w:after="0" w:afterAutospacing="0" w:line="610" w:lineRule="exact"/>
        <w:ind w:left="0" w:right="0" w:firstLine="640"/>
        <w:jc w:val="both"/>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lang w:eastAsia="zh-CN"/>
        </w:rPr>
        <w:t>沙河市人民法院</w:t>
      </w:r>
      <w:r>
        <w:rPr>
          <w:rFonts w:hint="eastAsia" w:ascii="仿宋" w:hAnsi="仿宋" w:eastAsia="仿宋" w:cs="仿宋"/>
          <w:color w:val="auto"/>
          <w:spacing w:val="0"/>
          <w:position w:val="0"/>
          <w:sz w:val="32"/>
          <w:shd w:val="clear" w:fill="auto"/>
        </w:rPr>
        <w:t>上年末固定资产金额为4258.6万元，</w:t>
      </w:r>
      <w:r>
        <w:rPr>
          <w:rFonts w:hint="eastAsia" w:ascii="仿宋_GB2312" w:hAnsi="仿宋_GB2312" w:eastAsia="仿宋_GB2312" w:cs="仿宋_GB2312"/>
          <w:kern w:val="2"/>
          <w:sz w:val="32"/>
          <w:szCs w:val="32"/>
          <w:lang w:val="en-US" w:eastAsia="zh-CN" w:bidi="ar"/>
        </w:rPr>
        <w:t>其中房屋面积9628平方米，价值3084.584481万元；车辆14辆，价值147.2906万元；单价50万元以上的设备2套，价值104.47万元；其他固定资产价值922.259228万元。</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本年度未拟购置固定资产。</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color w:val="auto"/>
          <w:spacing w:val="0"/>
          <w:position w:val="0"/>
          <w:sz w:val="32"/>
          <w:shd w:val="clear" w:fill="auto"/>
        </w:rPr>
      </w:pPr>
      <w:r>
        <w:rPr>
          <w:rFonts w:hint="eastAsia" w:ascii="黑体" w:hAnsi="黑体" w:eastAsia="黑体" w:cs="黑体"/>
          <w:color w:val="auto"/>
          <w:spacing w:val="0"/>
          <w:position w:val="0"/>
          <w:sz w:val="32"/>
          <w:shd w:val="clear" w:fill="auto"/>
          <w:lang w:eastAsia="zh-CN"/>
        </w:rPr>
        <w:t>八、</w:t>
      </w:r>
      <w:r>
        <w:rPr>
          <w:rFonts w:hint="eastAsia" w:ascii="黑体" w:hAnsi="黑体" w:eastAsia="黑体" w:cs="黑体"/>
          <w:color w:val="auto"/>
          <w:spacing w:val="0"/>
          <w:position w:val="0"/>
          <w:sz w:val="32"/>
          <w:shd w:val="clear" w:fill="auto"/>
        </w:rPr>
        <w:t>名词解释</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 xml:space="preserve">    </w:t>
      </w:r>
      <w:r>
        <w:rPr>
          <w:rFonts w:hint="eastAsia" w:ascii="仿宋" w:hAnsi="仿宋" w:eastAsia="仿宋" w:cs="仿宋"/>
          <w:b/>
          <w:color w:val="auto"/>
          <w:spacing w:val="0"/>
          <w:position w:val="0"/>
          <w:sz w:val="32"/>
          <w:shd w:val="clear" w:fill="auto"/>
        </w:rPr>
        <w:t>财政拨款收入：</w:t>
      </w:r>
      <w:r>
        <w:rPr>
          <w:rFonts w:hint="eastAsia" w:ascii="仿宋" w:hAnsi="仿宋" w:eastAsia="仿宋" w:cs="仿宋"/>
          <w:color w:val="auto"/>
          <w:spacing w:val="0"/>
          <w:position w:val="0"/>
          <w:sz w:val="32"/>
          <w:shd w:val="clear" w:fill="auto"/>
        </w:rPr>
        <w:t xml:space="preserve">指从本级财政当年拨付给部门的资金。 </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　　</w:t>
      </w:r>
      <w:r>
        <w:rPr>
          <w:rFonts w:hint="eastAsia" w:ascii="仿宋" w:hAnsi="仿宋" w:eastAsia="仿宋" w:cs="仿宋"/>
          <w:b/>
          <w:color w:val="auto"/>
          <w:spacing w:val="0"/>
          <w:position w:val="0"/>
          <w:sz w:val="32"/>
          <w:shd w:val="clear" w:fill="auto"/>
        </w:rPr>
        <w:t>基本支出：</w:t>
      </w:r>
      <w:r>
        <w:rPr>
          <w:rFonts w:hint="eastAsia" w:ascii="仿宋" w:hAnsi="仿宋" w:eastAsia="仿宋" w:cs="仿宋"/>
          <w:color w:val="auto"/>
          <w:spacing w:val="0"/>
          <w:position w:val="0"/>
          <w:sz w:val="32"/>
          <w:shd w:val="clear" w:fill="auto"/>
        </w:rPr>
        <w:t xml:space="preserve">指为保障机构正常运转、完成日常工作任务而发生的人员支出和公用支出。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color w:val="auto"/>
          <w:spacing w:val="0"/>
          <w:position w:val="0"/>
          <w:sz w:val="32"/>
          <w:shd w:val="clear" w:fill="auto"/>
        </w:rPr>
        <w:t>　　</w:t>
      </w:r>
      <w:r>
        <w:rPr>
          <w:rFonts w:hint="eastAsia" w:ascii="仿宋" w:hAnsi="仿宋" w:eastAsia="仿宋" w:cs="仿宋"/>
          <w:b/>
          <w:color w:val="auto"/>
          <w:spacing w:val="0"/>
          <w:position w:val="0"/>
          <w:sz w:val="32"/>
          <w:shd w:val="clear" w:fill="auto"/>
        </w:rPr>
        <w:t>“三公”经费：</w:t>
      </w:r>
      <w:r>
        <w:rPr>
          <w:rFonts w:hint="eastAsia" w:ascii="仿宋" w:hAnsi="仿宋" w:eastAsia="仿宋" w:cs="仿宋"/>
          <w:color w:val="auto"/>
          <w:spacing w:val="0"/>
          <w:position w:val="0"/>
          <w:sz w:val="32"/>
          <w:shd w:val="clear" w:fill="auto"/>
        </w:rPr>
        <w:t xml:space="preserve">指政府部门用财政拨款安排的因公出国（境）费，公务用车购置及运行费和公务接待费。 </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b/>
          <w:color w:val="auto"/>
          <w:spacing w:val="0"/>
          <w:position w:val="0"/>
          <w:sz w:val="32"/>
          <w:shd w:val="clear" w:fill="auto"/>
        </w:rPr>
        <w:t>机关运行经费：</w:t>
      </w:r>
      <w:r>
        <w:rPr>
          <w:rFonts w:hint="eastAsia" w:ascii="仿宋" w:hAnsi="仿宋" w:eastAsia="仿宋" w:cs="仿宋"/>
          <w:color w:val="auto"/>
          <w:spacing w:val="0"/>
          <w:position w:val="0"/>
          <w:sz w:val="32"/>
          <w:shd w:val="clear" w:fill="auto"/>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b/>
          <w:color w:val="auto"/>
          <w:spacing w:val="0"/>
          <w:position w:val="0"/>
          <w:sz w:val="32"/>
          <w:shd w:val="clear" w:fill="auto"/>
        </w:rPr>
        <w:t>绩效预算：</w:t>
      </w:r>
      <w:r>
        <w:rPr>
          <w:rFonts w:hint="eastAsia" w:ascii="仿宋" w:hAnsi="仿宋" w:eastAsia="仿宋" w:cs="仿宋"/>
          <w:color w:val="auto"/>
          <w:spacing w:val="0"/>
          <w:position w:val="0"/>
          <w:sz w:val="32"/>
          <w:shd w:val="clear" w:fill="auto"/>
        </w:rPr>
        <w:t>就是政府首先制定有关的事业计划和工程计划，再依据政府职能和施政计划制定计划实施方案，并在成本效益分析的基础上确定实施方案所需费用来编制预算的一种方法。</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r>
        <w:rPr>
          <w:rFonts w:hint="eastAsia" w:ascii="仿宋" w:hAnsi="仿宋" w:eastAsia="仿宋" w:cs="仿宋"/>
          <w:b/>
          <w:color w:val="auto"/>
          <w:spacing w:val="0"/>
          <w:position w:val="0"/>
          <w:sz w:val="32"/>
          <w:shd w:val="clear" w:fill="auto"/>
        </w:rPr>
        <w:t>政府采购</w:t>
      </w:r>
      <w:r>
        <w:rPr>
          <w:rFonts w:hint="eastAsia" w:ascii="仿宋" w:hAnsi="仿宋" w:eastAsia="仿宋" w:cs="仿宋"/>
          <w:color w:val="auto"/>
          <w:spacing w:val="0"/>
          <w:position w:val="0"/>
          <w:sz w:val="32"/>
          <w:shd w:val="clear" w:fill="auto"/>
        </w:rPr>
        <w:t>：指各级政府为从事日常的政务活动或为了满足公共服务的目的，利用财政性资金和政府借款购买货物、工程和服务的行为。</w:t>
      </w:r>
    </w:p>
    <w:p>
      <w:pPr>
        <w:keepNext w:val="0"/>
        <w:keepLines w:val="0"/>
        <w:widowControl w:val="0"/>
        <w:numPr>
          <w:ilvl w:val="0"/>
          <w:numId w:val="0"/>
        </w:numPr>
        <w:suppressLineNumbers w:val="0"/>
        <w:spacing w:before="0" w:beforeAutospacing="0" w:after="0" w:afterAutospacing="0" w:line="610" w:lineRule="exact"/>
        <w:ind w:left="640" w:leftChars="0" w:right="0" w:rightChars="0"/>
        <w:jc w:val="both"/>
        <w:rPr>
          <w:rFonts w:hint="eastAsia" w:ascii="黑体" w:hAnsi="宋体" w:eastAsia="黑体" w:cs="黑体"/>
          <w:bCs/>
          <w:color w:val="000000"/>
          <w:sz w:val="30"/>
          <w:szCs w:val="30"/>
          <w:lang w:val="en-US"/>
        </w:rPr>
      </w:pPr>
      <w:r>
        <w:rPr>
          <w:rFonts w:hint="eastAsia" w:ascii="黑体" w:hAnsi="宋体" w:eastAsia="黑体" w:cs="黑体"/>
          <w:bCs/>
          <w:color w:val="000000"/>
          <w:kern w:val="2"/>
          <w:sz w:val="32"/>
          <w:szCs w:val="32"/>
          <w:lang w:val="en-US" w:eastAsia="zh-CN" w:bidi="ar"/>
        </w:rPr>
        <w:t>九、其他需说明事项</w:t>
      </w:r>
    </w:p>
    <w:p>
      <w:pPr>
        <w:keepNext w:val="0"/>
        <w:keepLines w:val="0"/>
        <w:widowControl w:val="0"/>
        <w:suppressLineNumbers w:val="0"/>
        <w:spacing w:before="0" w:beforeAutospacing="0" w:after="0" w:afterAutospacing="0" w:line="610" w:lineRule="exact"/>
        <w:ind w:left="64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无其他需说明事项</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cs="仿宋"/>
          <w:color w:val="auto"/>
          <w:spacing w:val="0"/>
          <w:position w:val="0"/>
          <w:sz w:val="32"/>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CF3C50" w:usb2="00000016" w:usb3="00000000" w:csb0="0004001F" w:csb1="00000000"/>
  </w:font>
  <w:font w:name="方正粗黑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方正小标宋_GBK">
    <w:altName w:val="宋体"/>
    <w:panose1 w:val="00000000000000000000"/>
    <w:charset w:val="86"/>
    <w:family w:val="auto"/>
    <w:pitch w:val="default"/>
    <w:sig w:usb0="00000000" w:usb1="00000000" w:usb2="00000000" w:usb3="00000000" w:csb0="00000000" w:csb1="00000000"/>
  </w:font>
  <w:font w:name="方正书宋_GBK">
    <w:altName w:val="宋体"/>
    <w:panose1 w:val="00000000000000000000"/>
    <w:charset w:val="86"/>
    <w:family w:val="auto"/>
    <w:pitch w:val="default"/>
    <w:sig w:usb0="00000000" w:usb1="00000000" w:usb2="00000000" w:usb3="00000000" w:csb0="00000000" w:csb1="00000000"/>
  </w:font>
  <w:font w:name="@方正书宋_GBK">
    <w:altName w:val="宋体"/>
    <w:panose1 w:val="00000000000000000000"/>
    <w:charset w:val="86"/>
    <w:family w:val="auto"/>
    <w:pitch w:val="default"/>
    <w:sig w:usb0="00000000" w:usb1="00000000" w:usb2="00000000" w:usb3="00000000" w:csb0="00000000" w:csb1="00000000"/>
  </w:font>
  <w:font w:name="苹方 常规">
    <w:panose1 w:val="020B0300000000000000"/>
    <w:charset w:val="86"/>
    <w:family w:val="auto"/>
    <w:pitch w:val="default"/>
    <w:sig w:usb0="A00002FF" w:usb1="7ACFFCFB" w:usb2="00000016" w:usb3="00000000" w:csb0="00040001" w:csb1="00000000"/>
  </w:font>
  <w:font w:name="苹方 特粗">
    <w:panose1 w:val="020B0800000000000000"/>
    <w:charset w:val="86"/>
    <w:family w:val="auto"/>
    <w:pitch w:val="default"/>
    <w:sig w:usb0="A00002FF" w:usb1="7ACFFCFB" w:usb2="00000016" w:usb3="00000000" w:csb0="00040001" w:csb1="00000000"/>
  </w:font>
  <w:font w:name="苹方 特细">
    <w:panose1 w:val="020B0100000000000000"/>
    <w:charset w:val="86"/>
    <w:family w:val="auto"/>
    <w:pitch w:val="default"/>
    <w:sig w:usb0="A00002FF" w:usb1="7ACFFCFB" w:usb2="00000016" w:usb3="00000000" w:csb0="00040001" w:csb1="00000000"/>
  </w:font>
  <w:font w:name="苹方 粗体">
    <w:panose1 w:val="020B0600000000000000"/>
    <w:charset w:val="86"/>
    <w:family w:val="auto"/>
    <w:pitch w:val="default"/>
    <w:sig w:usb0="A00002FF" w:usb1="7ACFFCFB" w:usb2="00000016" w:usb3="00000000" w:csb0="00040001" w:csb1="00000000"/>
  </w:font>
  <w:font w:name="苹方 细体">
    <w:panose1 w:val="020B0200000000000000"/>
    <w:charset w:val="86"/>
    <w:family w:val="auto"/>
    <w:pitch w:val="default"/>
    <w:sig w:usb0="A00002FF" w:usb1="7ACFFCFB" w:usb2="00000016" w:usb3="00000000" w:csb0="00040001"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苹方 中等">
    <w:panose1 w:val="020B0400000000000000"/>
    <w:charset w:val="86"/>
    <w:family w:val="auto"/>
    <w:pitch w:val="default"/>
    <w:sig w:usb0="A00002FF" w:usb1="7ACFFCFB"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苏新诗柳楷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悠黑简体">
    <w:panose1 w:val="00000500000000000000"/>
    <w:charset w:val="86"/>
    <w:family w:val="auto"/>
    <w:pitch w:val="default"/>
    <w:sig w:usb0="A00002BF" w:usb1="3ACF7CFA" w:usb2="00000016" w:usb3="00000000" w:csb0="00060007" w:csb1="00000000"/>
  </w:font>
  <w:font w:name="思源黑体 CN Normal">
    <w:panose1 w:val="020B0400000000000000"/>
    <w:charset w:val="86"/>
    <w:family w:val="auto"/>
    <w:pitch w:val="default"/>
    <w:sig w:usb0="20000003" w:usb1="2ADF3C10" w:usb2="00000016" w:usb3="00000000" w:csb0="60060107" w:csb1="00000000"/>
  </w:font>
  <w:font w:name="华康俪金黑W8(P)">
    <w:panose1 w:val="020B0800000000000000"/>
    <w:charset w:val="86"/>
    <w:family w:val="auto"/>
    <w:pitch w:val="default"/>
    <w:sig w:usb0="00000001" w:usb1="08010000" w:usb2="00000012" w:usb3="00000000" w:csb0="00040000" w:csb1="00000000"/>
  </w:font>
  <w:font w:name="华康俪金黑W8">
    <w:panose1 w:val="020B0809000000000000"/>
    <w:charset w:val="86"/>
    <w:family w:val="auto"/>
    <w:pitch w:val="default"/>
    <w:sig w:usb0="00000001" w:usb1="08010000" w:usb2="00000012" w:usb3="00000000" w:csb0="00040000"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45564"/>
    <w:multiLevelType w:val="singleLevel"/>
    <w:tmpl w:val="58E45564"/>
    <w:lvl w:ilvl="0" w:tentative="0">
      <w:start w:val="1"/>
      <w:numFmt w:val="bullet"/>
      <w:lvlText w:val="•"/>
      <w:lvlJc w:val="left"/>
    </w:lvl>
  </w:abstractNum>
  <w:abstractNum w:abstractNumId="1">
    <w:nsid w:val="58E4556F"/>
    <w:multiLevelType w:val="singleLevel"/>
    <w:tmpl w:val="58E4556F"/>
    <w:lvl w:ilvl="0" w:tentative="0">
      <w:start w:val="1"/>
      <w:numFmt w:val="bullet"/>
      <w:lvlText w:val="•"/>
      <w:lvlJc w:val="left"/>
    </w:lvl>
  </w:abstractNum>
  <w:abstractNum w:abstractNumId="2">
    <w:nsid w:val="58E4557A"/>
    <w:multiLevelType w:val="singleLevel"/>
    <w:tmpl w:val="58E4557A"/>
    <w:lvl w:ilvl="0" w:tentative="0">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documentProtection w:enforcement="0"/>
  <w:displayHorizontalDrawingGridEvery w:val="0"/>
  <w:displayVerticalDrawingGridEvery w:val="2"/>
  <w:compat>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000000"/>
    <w:rsid w:val="06351D39"/>
    <w:rsid w:val="1748460A"/>
    <w:rsid w:val="1AAF432D"/>
    <w:rsid w:val="36C13030"/>
    <w:rsid w:val="590A716B"/>
    <w:rsid w:val="602C319C"/>
    <w:rsid w:val="60604F75"/>
    <w:rsid w:val="7DF04D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2017-04-05T02:22:00Z</dcterms:created>
  <dc:creator>Stela</dc:creator>
  <cp:lastModifiedBy>Stela</cp:lastModifiedBy>
  <dcterms:modified xsi:type="dcterms:W3CDTF">2017-06-15T10:19:34Z</dcterms:modified>
  <dc:title>沙河市人民法院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