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9</w:t>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1</w:t>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2</w:t>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3</w:t>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7</w:t>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8</w:t>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rPr>
          <w:rFonts w:hint="eastAsia"/>
          <w:lang w:val="en-US" w:eastAsia="zh-CN"/>
        </w:rPr>
        <w:t>2</w:t>
      </w:r>
      <w:r>
        <w:fldChar w:fldCharType="end"/>
      </w:r>
      <w:r>
        <w:fldChar w:fldCharType="end"/>
      </w:r>
      <w:r>
        <w:rPr>
          <w:rFonts w:hint="eastAsia"/>
          <w:lang w:val="en-US" w:eastAsia="zh-CN"/>
        </w:rPr>
        <w:t>9</w:t>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4</w:t>
      </w:r>
    </w:p>
    <w:p>
      <w:pPr>
        <w:pStyle w:val="4"/>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4</w:t>
      </w:r>
    </w:p>
    <w:p>
      <w:pPr>
        <w:pStyle w:val="4"/>
        <w:tabs>
          <w:tab w:val="right" w:leader="dot" w:pos="14562"/>
        </w:tabs>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5</w:t>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6</w:t>
      </w:r>
    </w:p>
    <w:p>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r>
        <w:rPr>
          <w:rFonts w:ascii="方正小标宋_GBK" w:hAnsi="方正小标宋_GBK" w:eastAsia="方正小标宋_GBK" w:cs="方正小标宋_GBK"/>
          <w:color w:val="000000"/>
          <w:sz w:val="36"/>
        </w:rP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沙河市信访局2022年部门预算</w:t>
      </w:r>
      <w:r>
        <w:rPr>
          <w:rFonts w:hint="eastAsia" w:ascii="方正小标宋_GBK" w:hAnsi="方正小标宋_GBK" w:eastAsia="方正小标宋_GBK" w:cs="方正小标宋_GBK"/>
          <w:color w:val="000000"/>
          <w:sz w:val="44"/>
          <w:lang w:eastAsia="zh-CN"/>
        </w:rPr>
        <w:t>公开表</w:t>
      </w: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112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2"/>
        <w:gridCol w:w="2252"/>
        <w:gridCol w:w="2252"/>
        <w:gridCol w:w="2252"/>
        <w:gridCol w:w="2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4504" w:type="dxa"/>
            <w:gridSpan w:val="2"/>
            <w:tcBorders>
              <w:top w:val="single" w:color="FFFFFF" w:sz="6" w:space="0"/>
              <w:left w:val="single" w:color="FFFFFF" w:sz="6" w:space="0"/>
              <w:right w:val="single" w:color="FFFFFF" w:sz="6" w:space="0"/>
            </w:tcBorders>
            <w:vAlign w:val="center"/>
          </w:tcPr>
          <w:p>
            <w:pPr>
              <w:pStyle w:val="11"/>
            </w:pPr>
            <w:r>
              <w:t>199沙河市信访局</w:t>
            </w:r>
          </w:p>
        </w:tc>
        <w:tc>
          <w:tcPr>
            <w:tcW w:w="2252" w:type="dxa"/>
            <w:tcBorders>
              <w:top w:val="single" w:color="FFFFFF" w:sz="6" w:space="0"/>
              <w:left w:val="single" w:color="FFFFFF" w:sz="6" w:space="0"/>
              <w:right w:val="single" w:color="FFFFFF" w:sz="6" w:space="0"/>
            </w:tcBorders>
            <w:vAlign w:val="center"/>
          </w:tcPr>
          <w:p>
            <w:pPr>
              <w:pStyle w:val="10"/>
            </w:pPr>
            <w:r>
              <w:t>预算年度：2022</w:t>
            </w:r>
          </w:p>
        </w:tc>
        <w:tc>
          <w:tcPr>
            <w:tcW w:w="450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tblHeader/>
          <w:jc w:val="center"/>
        </w:trPr>
        <w:tc>
          <w:tcPr>
            <w:tcW w:w="2252" w:type="dxa"/>
            <w:vMerge w:val="restart"/>
            <w:vAlign w:val="center"/>
          </w:tcPr>
          <w:p>
            <w:pPr>
              <w:pStyle w:val="12"/>
            </w:pPr>
            <w:r>
              <w:t>序号</w:t>
            </w:r>
          </w:p>
        </w:tc>
        <w:tc>
          <w:tcPr>
            <w:tcW w:w="4504" w:type="dxa"/>
            <w:gridSpan w:val="2"/>
            <w:vAlign w:val="center"/>
          </w:tcPr>
          <w:p>
            <w:pPr>
              <w:pStyle w:val="12"/>
            </w:pPr>
            <w:r>
              <w:t>收入</w:t>
            </w:r>
          </w:p>
        </w:tc>
        <w:tc>
          <w:tcPr>
            <w:tcW w:w="450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tblHeader/>
          <w:jc w:val="center"/>
        </w:trPr>
        <w:tc>
          <w:tcPr>
            <w:tcW w:w="2252" w:type="dxa"/>
            <w:vMerge w:val="continue"/>
          </w:tcPr>
          <w:p/>
        </w:tc>
        <w:tc>
          <w:tcPr>
            <w:tcW w:w="2252" w:type="dxa"/>
            <w:vAlign w:val="center"/>
          </w:tcPr>
          <w:p>
            <w:pPr>
              <w:pStyle w:val="12"/>
            </w:pPr>
            <w:r>
              <w:t>项  目</w:t>
            </w:r>
          </w:p>
        </w:tc>
        <w:tc>
          <w:tcPr>
            <w:tcW w:w="2252" w:type="dxa"/>
            <w:vAlign w:val="center"/>
          </w:tcPr>
          <w:p>
            <w:pPr>
              <w:pStyle w:val="12"/>
            </w:pPr>
            <w:r>
              <w:t>预算数</w:t>
            </w:r>
          </w:p>
        </w:tc>
        <w:tc>
          <w:tcPr>
            <w:tcW w:w="2252" w:type="dxa"/>
            <w:vAlign w:val="center"/>
          </w:tcPr>
          <w:p>
            <w:pPr>
              <w:pStyle w:val="12"/>
            </w:pPr>
            <w:r>
              <w:t>项  目</w:t>
            </w:r>
          </w:p>
        </w:tc>
        <w:tc>
          <w:tcPr>
            <w:tcW w:w="2252"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tblHeader/>
          <w:jc w:val="center"/>
        </w:trPr>
        <w:tc>
          <w:tcPr>
            <w:tcW w:w="2252" w:type="dxa"/>
            <w:vAlign w:val="center"/>
          </w:tcPr>
          <w:p>
            <w:pPr>
              <w:pStyle w:val="12"/>
            </w:pPr>
            <w:r>
              <w:t>栏次</w:t>
            </w:r>
          </w:p>
        </w:tc>
        <w:tc>
          <w:tcPr>
            <w:tcW w:w="2252" w:type="dxa"/>
            <w:vAlign w:val="center"/>
          </w:tcPr>
          <w:p>
            <w:pPr>
              <w:pStyle w:val="12"/>
            </w:pPr>
            <w:r>
              <w:t>1</w:t>
            </w:r>
          </w:p>
        </w:tc>
        <w:tc>
          <w:tcPr>
            <w:tcW w:w="2252" w:type="dxa"/>
            <w:vAlign w:val="center"/>
          </w:tcPr>
          <w:p>
            <w:pPr>
              <w:pStyle w:val="12"/>
            </w:pPr>
            <w:r>
              <w:t>2</w:t>
            </w:r>
          </w:p>
        </w:tc>
        <w:tc>
          <w:tcPr>
            <w:tcW w:w="2252" w:type="dxa"/>
            <w:vAlign w:val="center"/>
          </w:tcPr>
          <w:p>
            <w:pPr>
              <w:pStyle w:val="12"/>
            </w:pPr>
            <w:r>
              <w:t>3</w:t>
            </w:r>
          </w:p>
        </w:tc>
        <w:tc>
          <w:tcPr>
            <w:tcW w:w="2252"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1</w:t>
            </w:r>
          </w:p>
        </w:tc>
        <w:tc>
          <w:tcPr>
            <w:tcW w:w="2252" w:type="dxa"/>
            <w:vAlign w:val="center"/>
          </w:tcPr>
          <w:p>
            <w:pPr>
              <w:pStyle w:val="14"/>
            </w:pPr>
            <w:r>
              <w:t>一、一般公共预算拨款收入</w:t>
            </w:r>
          </w:p>
        </w:tc>
        <w:tc>
          <w:tcPr>
            <w:tcW w:w="2252" w:type="dxa"/>
            <w:vAlign w:val="center"/>
          </w:tcPr>
          <w:p>
            <w:pPr>
              <w:pStyle w:val="13"/>
            </w:pPr>
            <w:r>
              <w:t>407.65</w:t>
            </w:r>
          </w:p>
        </w:tc>
        <w:tc>
          <w:tcPr>
            <w:tcW w:w="2252" w:type="dxa"/>
            <w:vAlign w:val="center"/>
          </w:tcPr>
          <w:p>
            <w:pPr>
              <w:pStyle w:val="14"/>
            </w:pPr>
            <w:r>
              <w:t>一、一般公共服务支出</w:t>
            </w:r>
          </w:p>
        </w:tc>
        <w:tc>
          <w:tcPr>
            <w:tcW w:w="2252" w:type="dxa"/>
            <w:vAlign w:val="center"/>
          </w:tcPr>
          <w:p>
            <w:pPr>
              <w:pStyle w:val="13"/>
            </w:pPr>
            <w:r>
              <w:t>367.73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2</w:t>
            </w:r>
          </w:p>
        </w:tc>
        <w:tc>
          <w:tcPr>
            <w:tcW w:w="2252" w:type="dxa"/>
            <w:vAlign w:val="center"/>
          </w:tcPr>
          <w:p>
            <w:pPr>
              <w:pStyle w:val="14"/>
            </w:pPr>
            <w:r>
              <w:t>二、政府性基金预算拨款收入</w:t>
            </w:r>
          </w:p>
        </w:tc>
        <w:tc>
          <w:tcPr>
            <w:tcW w:w="2252" w:type="dxa"/>
            <w:vAlign w:val="center"/>
          </w:tcPr>
          <w:p>
            <w:pPr>
              <w:pStyle w:val="13"/>
            </w:pPr>
          </w:p>
        </w:tc>
        <w:tc>
          <w:tcPr>
            <w:tcW w:w="2252" w:type="dxa"/>
            <w:vAlign w:val="center"/>
          </w:tcPr>
          <w:p>
            <w:pPr>
              <w:pStyle w:val="14"/>
            </w:pPr>
            <w:r>
              <w:t>二、外交支出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3</w:t>
            </w:r>
          </w:p>
        </w:tc>
        <w:tc>
          <w:tcPr>
            <w:tcW w:w="2252" w:type="dxa"/>
            <w:vAlign w:val="center"/>
          </w:tcPr>
          <w:p>
            <w:pPr>
              <w:pStyle w:val="14"/>
            </w:pPr>
            <w:r>
              <w:t>三、国有资本经营预算拨款收入</w:t>
            </w:r>
          </w:p>
        </w:tc>
        <w:tc>
          <w:tcPr>
            <w:tcW w:w="2252" w:type="dxa"/>
            <w:vAlign w:val="center"/>
          </w:tcPr>
          <w:p>
            <w:pPr>
              <w:pStyle w:val="13"/>
            </w:pPr>
          </w:p>
        </w:tc>
        <w:tc>
          <w:tcPr>
            <w:tcW w:w="2252" w:type="dxa"/>
            <w:vAlign w:val="center"/>
          </w:tcPr>
          <w:p>
            <w:pPr>
              <w:pStyle w:val="14"/>
            </w:pPr>
            <w:r>
              <w:t>三、国防支出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4</w:t>
            </w:r>
          </w:p>
        </w:tc>
        <w:tc>
          <w:tcPr>
            <w:tcW w:w="2252" w:type="dxa"/>
            <w:vAlign w:val="center"/>
          </w:tcPr>
          <w:p>
            <w:pPr>
              <w:pStyle w:val="14"/>
            </w:pPr>
            <w:r>
              <w:t>四、财政专户管理资金收入</w:t>
            </w:r>
          </w:p>
        </w:tc>
        <w:tc>
          <w:tcPr>
            <w:tcW w:w="2252" w:type="dxa"/>
            <w:vAlign w:val="center"/>
          </w:tcPr>
          <w:p>
            <w:pPr>
              <w:pStyle w:val="13"/>
            </w:pPr>
          </w:p>
        </w:tc>
        <w:tc>
          <w:tcPr>
            <w:tcW w:w="2252" w:type="dxa"/>
            <w:vAlign w:val="center"/>
          </w:tcPr>
          <w:p>
            <w:pPr>
              <w:pStyle w:val="14"/>
            </w:pPr>
            <w:r>
              <w:t>四、公共安全支出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2252" w:type="dxa"/>
            <w:vAlign w:val="center"/>
          </w:tcPr>
          <w:p>
            <w:pPr>
              <w:pStyle w:val="15"/>
            </w:pPr>
            <w:r>
              <w:t>5</w:t>
            </w:r>
          </w:p>
        </w:tc>
        <w:tc>
          <w:tcPr>
            <w:tcW w:w="2252" w:type="dxa"/>
            <w:vAlign w:val="center"/>
          </w:tcPr>
          <w:p>
            <w:pPr>
              <w:pStyle w:val="14"/>
            </w:pPr>
            <w:r>
              <w:t>五、事业收入</w:t>
            </w:r>
          </w:p>
        </w:tc>
        <w:tc>
          <w:tcPr>
            <w:tcW w:w="2252" w:type="dxa"/>
            <w:vAlign w:val="center"/>
          </w:tcPr>
          <w:p>
            <w:pPr>
              <w:pStyle w:val="13"/>
            </w:pPr>
          </w:p>
        </w:tc>
        <w:tc>
          <w:tcPr>
            <w:tcW w:w="2252" w:type="dxa"/>
            <w:vAlign w:val="center"/>
          </w:tcPr>
          <w:p>
            <w:pPr>
              <w:pStyle w:val="14"/>
            </w:pPr>
            <w:r>
              <w:t>五、教育支出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6</w:t>
            </w:r>
          </w:p>
        </w:tc>
        <w:tc>
          <w:tcPr>
            <w:tcW w:w="2252" w:type="dxa"/>
            <w:vAlign w:val="center"/>
          </w:tcPr>
          <w:p>
            <w:pPr>
              <w:pStyle w:val="14"/>
            </w:pPr>
            <w:r>
              <w:t>六、事业单位经营收入</w:t>
            </w:r>
          </w:p>
        </w:tc>
        <w:tc>
          <w:tcPr>
            <w:tcW w:w="2252" w:type="dxa"/>
            <w:vAlign w:val="center"/>
          </w:tcPr>
          <w:p>
            <w:pPr>
              <w:pStyle w:val="13"/>
            </w:pPr>
          </w:p>
        </w:tc>
        <w:tc>
          <w:tcPr>
            <w:tcW w:w="2252" w:type="dxa"/>
            <w:vAlign w:val="center"/>
          </w:tcPr>
          <w:p>
            <w:pPr>
              <w:pStyle w:val="14"/>
            </w:pPr>
            <w:r>
              <w:t>六、科学技术支出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7</w:t>
            </w:r>
          </w:p>
        </w:tc>
        <w:tc>
          <w:tcPr>
            <w:tcW w:w="2252" w:type="dxa"/>
            <w:vAlign w:val="center"/>
          </w:tcPr>
          <w:p>
            <w:pPr>
              <w:pStyle w:val="14"/>
            </w:pPr>
            <w:r>
              <w:t>七、上级补助收入</w:t>
            </w:r>
          </w:p>
        </w:tc>
        <w:tc>
          <w:tcPr>
            <w:tcW w:w="2252" w:type="dxa"/>
            <w:vAlign w:val="center"/>
          </w:tcPr>
          <w:p>
            <w:pPr>
              <w:pStyle w:val="13"/>
            </w:pPr>
          </w:p>
        </w:tc>
        <w:tc>
          <w:tcPr>
            <w:tcW w:w="2252" w:type="dxa"/>
            <w:vAlign w:val="center"/>
          </w:tcPr>
          <w:p>
            <w:pPr>
              <w:pStyle w:val="14"/>
            </w:pPr>
            <w:r>
              <w:t>七、文化旅游体育与传媒支出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2252" w:type="dxa"/>
            <w:vAlign w:val="center"/>
          </w:tcPr>
          <w:p>
            <w:pPr>
              <w:pStyle w:val="15"/>
            </w:pPr>
            <w:r>
              <w:t>8</w:t>
            </w:r>
          </w:p>
        </w:tc>
        <w:tc>
          <w:tcPr>
            <w:tcW w:w="2252" w:type="dxa"/>
            <w:vAlign w:val="center"/>
          </w:tcPr>
          <w:p>
            <w:pPr>
              <w:pStyle w:val="14"/>
            </w:pPr>
            <w:r>
              <w:t>八、附属单位上缴收入</w:t>
            </w:r>
          </w:p>
        </w:tc>
        <w:tc>
          <w:tcPr>
            <w:tcW w:w="2252" w:type="dxa"/>
            <w:vAlign w:val="center"/>
          </w:tcPr>
          <w:p>
            <w:pPr>
              <w:pStyle w:val="13"/>
            </w:pPr>
          </w:p>
        </w:tc>
        <w:tc>
          <w:tcPr>
            <w:tcW w:w="2252" w:type="dxa"/>
            <w:vAlign w:val="center"/>
          </w:tcPr>
          <w:p>
            <w:pPr>
              <w:pStyle w:val="14"/>
            </w:pPr>
            <w:r>
              <w:t>八、社会保障和就业支出</w:t>
            </w:r>
          </w:p>
        </w:tc>
        <w:tc>
          <w:tcPr>
            <w:tcW w:w="2252" w:type="dxa"/>
            <w:vAlign w:val="center"/>
          </w:tcPr>
          <w:p>
            <w:pPr>
              <w:pStyle w:val="13"/>
            </w:pPr>
            <w:r>
              <w:t>22.37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9</w:t>
            </w:r>
          </w:p>
        </w:tc>
        <w:tc>
          <w:tcPr>
            <w:tcW w:w="2252" w:type="dxa"/>
            <w:vAlign w:val="center"/>
          </w:tcPr>
          <w:p>
            <w:pPr>
              <w:pStyle w:val="14"/>
            </w:pPr>
            <w:r>
              <w:t>九、其他收入</w:t>
            </w:r>
          </w:p>
        </w:tc>
        <w:tc>
          <w:tcPr>
            <w:tcW w:w="2252" w:type="dxa"/>
            <w:vAlign w:val="center"/>
          </w:tcPr>
          <w:p>
            <w:pPr>
              <w:pStyle w:val="13"/>
            </w:pPr>
          </w:p>
        </w:tc>
        <w:tc>
          <w:tcPr>
            <w:tcW w:w="2252" w:type="dxa"/>
            <w:vAlign w:val="center"/>
          </w:tcPr>
          <w:p>
            <w:pPr>
              <w:pStyle w:val="14"/>
            </w:pPr>
            <w:r>
              <w:t>九、社会保险基金支出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2252" w:type="dxa"/>
            <w:vAlign w:val="center"/>
          </w:tcPr>
          <w:p>
            <w:pPr>
              <w:pStyle w:val="15"/>
            </w:pPr>
            <w:r>
              <w:t>10</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十、卫生健康支出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11</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十一、节能环保支出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12</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十二、城乡社区支出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2252" w:type="dxa"/>
            <w:vAlign w:val="center"/>
          </w:tcPr>
          <w:p>
            <w:pPr>
              <w:pStyle w:val="15"/>
            </w:pPr>
            <w:r>
              <w:t>13</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十三、农林水支出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14</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十四、交通运输支出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15</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十五、资源勘探工业信息等支出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16</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十六、商业服务业等支出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2252" w:type="dxa"/>
            <w:vAlign w:val="center"/>
          </w:tcPr>
          <w:p>
            <w:pPr>
              <w:pStyle w:val="15"/>
            </w:pPr>
            <w:r>
              <w:t>17</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十七、金融支出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18</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十八、援助其他地区支出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2252" w:type="dxa"/>
            <w:vAlign w:val="center"/>
          </w:tcPr>
          <w:p>
            <w:pPr>
              <w:pStyle w:val="15"/>
            </w:pPr>
            <w:r>
              <w:t>19</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十九、自然资源海洋气象等支出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20</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二十、住房保障支出</w:t>
            </w:r>
          </w:p>
        </w:tc>
        <w:tc>
          <w:tcPr>
            <w:tcW w:w="2252" w:type="dxa"/>
            <w:vAlign w:val="center"/>
          </w:tcPr>
          <w:p>
            <w:pPr>
              <w:pStyle w:val="13"/>
            </w:pPr>
            <w:r>
              <w:t>17.55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21</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二十一、粮油物资储备支出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22</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二十二、国有资本经营预算支出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23</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二十三、灾害防治及应急管理支出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2252" w:type="dxa"/>
            <w:vAlign w:val="center"/>
          </w:tcPr>
          <w:p>
            <w:pPr>
              <w:pStyle w:val="15"/>
            </w:pPr>
            <w:r>
              <w:t>24</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二十四、预备费</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2252" w:type="dxa"/>
            <w:vAlign w:val="center"/>
          </w:tcPr>
          <w:p>
            <w:pPr>
              <w:pStyle w:val="15"/>
            </w:pPr>
            <w:r>
              <w:t>25</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二十五、其他支出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26</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二十六、转移性支出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27</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二十七、债务还本支出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28</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二十八、债务付息支出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29</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二十九、债务发行费用支出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52" w:type="dxa"/>
            <w:vAlign w:val="center"/>
          </w:tcPr>
          <w:p>
            <w:pPr>
              <w:pStyle w:val="15"/>
            </w:pPr>
            <w:r>
              <w:t>30</w:t>
            </w:r>
          </w:p>
        </w:tc>
        <w:tc>
          <w:tcPr>
            <w:tcW w:w="2252" w:type="dxa"/>
            <w:vAlign w:val="center"/>
          </w:tcPr>
          <w:p>
            <w:pPr>
              <w:pStyle w:val="14"/>
            </w:pPr>
          </w:p>
        </w:tc>
        <w:tc>
          <w:tcPr>
            <w:tcW w:w="2252" w:type="dxa"/>
            <w:vAlign w:val="center"/>
          </w:tcPr>
          <w:p>
            <w:pPr>
              <w:pStyle w:val="13"/>
            </w:pPr>
          </w:p>
        </w:tc>
        <w:tc>
          <w:tcPr>
            <w:tcW w:w="2252" w:type="dxa"/>
            <w:vAlign w:val="center"/>
          </w:tcPr>
          <w:p>
            <w:pPr>
              <w:pStyle w:val="14"/>
            </w:pPr>
            <w:r>
              <w:t>三十、抗疫特别国债安排的支出</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2252" w:type="dxa"/>
            <w:vAlign w:val="center"/>
          </w:tcPr>
          <w:p>
            <w:pPr>
              <w:pStyle w:val="15"/>
            </w:pPr>
            <w:r>
              <w:t>31</w:t>
            </w:r>
          </w:p>
        </w:tc>
        <w:tc>
          <w:tcPr>
            <w:tcW w:w="2252" w:type="dxa"/>
            <w:vAlign w:val="center"/>
          </w:tcPr>
          <w:p>
            <w:pPr>
              <w:pStyle w:val="16"/>
            </w:pPr>
            <w:r>
              <w:t>本年收入合计</w:t>
            </w:r>
          </w:p>
        </w:tc>
        <w:tc>
          <w:tcPr>
            <w:tcW w:w="2252" w:type="dxa"/>
            <w:vAlign w:val="center"/>
          </w:tcPr>
          <w:p>
            <w:pPr>
              <w:pStyle w:val="17"/>
            </w:pPr>
            <w:r>
              <w:t>407.65</w:t>
            </w:r>
          </w:p>
        </w:tc>
        <w:tc>
          <w:tcPr>
            <w:tcW w:w="2252" w:type="dxa"/>
            <w:vAlign w:val="center"/>
          </w:tcPr>
          <w:p>
            <w:pPr>
              <w:pStyle w:val="16"/>
            </w:pPr>
            <w:r>
              <w:t>本年支出合计</w:t>
            </w:r>
          </w:p>
        </w:tc>
        <w:tc>
          <w:tcPr>
            <w:tcW w:w="2252" w:type="dxa"/>
            <w:vAlign w:val="center"/>
          </w:tcPr>
          <w:p>
            <w:pPr>
              <w:pStyle w:val="17"/>
            </w:pPr>
            <w:r>
              <w:t>407.65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2252" w:type="dxa"/>
            <w:vAlign w:val="center"/>
          </w:tcPr>
          <w:p>
            <w:pPr>
              <w:pStyle w:val="15"/>
            </w:pPr>
            <w:r>
              <w:t>32</w:t>
            </w:r>
          </w:p>
        </w:tc>
        <w:tc>
          <w:tcPr>
            <w:tcW w:w="2252" w:type="dxa"/>
            <w:vAlign w:val="center"/>
          </w:tcPr>
          <w:p>
            <w:pPr>
              <w:pStyle w:val="14"/>
            </w:pPr>
            <w:r>
              <w:t>上年结转结余</w:t>
            </w:r>
          </w:p>
        </w:tc>
        <w:tc>
          <w:tcPr>
            <w:tcW w:w="2252" w:type="dxa"/>
            <w:vAlign w:val="center"/>
          </w:tcPr>
          <w:p>
            <w:pPr>
              <w:pStyle w:val="13"/>
            </w:pPr>
          </w:p>
        </w:tc>
        <w:tc>
          <w:tcPr>
            <w:tcW w:w="2252" w:type="dxa"/>
            <w:vAlign w:val="center"/>
          </w:tcPr>
          <w:p>
            <w:pPr>
              <w:pStyle w:val="14"/>
            </w:pPr>
            <w:r>
              <w:t>年终结转结余</w:t>
            </w:r>
          </w:p>
        </w:tc>
        <w:tc>
          <w:tcPr>
            <w:tcW w:w="22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2252" w:type="dxa"/>
            <w:vAlign w:val="center"/>
          </w:tcPr>
          <w:p>
            <w:pPr>
              <w:pStyle w:val="15"/>
            </w:pPr>
            <w:r>
              <w:t>33</w:t>
            </w:r>
          </w:p>
        </w:tc>
        <w:tc>
          <w:tcPr>
            <w:tcW w:w="2252" w:type="dxa"/>
            <w:vAlign w:val="center"/>
          </w:tcPr>
          <w:p>
            <w:pPr>
              <w:pStyle w:val="16"/>
            </w:pPr>
            <w:r>
              <w:t>收入总计</w:t>
            </w:r>
          </w:p>
        </w:tc>
        <w:tc>
          <w:tcPr>
            <w:tcW w:w="2252" w:type="dxa"/>
            <w:vAlign w:val="center"/>
          </w:tcPr>
          <w:p>
            <w:pPr>
              <w:pStyle w:val="17"/>
            </w:pPr>
            <w:r>
              <w:t>407.65</w:t>
            </w:r>
          </w:p>
        </w:tc>
        <w:tc>
          <w:tcPr>
            <w:tcW w:w="2252" w:type="dxa"/>
            <w:vAlign w:val="center"/>
          </w:tcPr>
          <w:p>
            <w:pPr>
              <w:pStyle w:val="16"/>
            </w:pPr>
            <w:r>
              <w:t>支出总计</w:t>
            </w:r>
          </w:p>
        </w:tc>
        <w:tc>
          <w:tcPr>
            <w:tcW w:w="2252" w:type="dxa"/>
            <w:vAlign w:val="center"/>
          </w:tcPr>
          <w:p>
            <w:pPr>
              <w:pStyle w:val="17"/>
            </w:pPr>
            <w:r>
              <w:t>407.65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199沙河市信访局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407.65</w:t>
            </w:r>
          </w:p>
        </w:tc>
        <w:tc>
          <w:tcPr>
            <w:tcW w:w="758" w:type="dxa"/>
            <w:vAlign w:val="center"/>
          </w:tcPr>
          <w:p>
            <w:pPr>
              <w:pStyle w:val="17"/>
            </w:pPr>
            <w:r>
              <w:t>407.65</w:t>
            </w:r>
          </w:p>
        </w:tc>
        <w:tc>
          <w:tcPr>
            <w:tcW w:w="758" w:type="dxa"/>
            <w:vAlign w:val="center"/>
          </w:tcPr>
          <w:p>
            <w:pPr>
              <w:pStyle w:val="17"/>
            </w:pPr>
            <w:r>
              <w:t>407.65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367.73</w:t>
            </w:r>
          </w:p>
        </w:tc>
        <w:tc>
          <w:tcPr>
            <w:tcW w:w="758" w:type="dxa"/>
            <w:vAlign w:val="center"/>
          </w:tcPr>
          <w:p>
            <w:pPr>
              <w:pStyle w:val="13"/>
            </w:pPr>
            <w:r>
              <w:t>367.73</w:t>
            </w:r>
          </w:p>
        </w:tc>
        <w:tc>
          <w:tcPr>
            <w:tcW w:w="758" w:type="dxa"/>
            <w:vAlign w:val="center"/>
          </w:tcPr>
          <w:p>
            <w:pPr>
              <w:pStyle w:val="13"/>
            </w:pPr>
            <w:r>
              <w:t>367.73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200.50</w:t>
            </w:r>
          </w:p>
        </w:tc>
        <w:tc>
          <w:tcPr>
            <w:tcW w:w="758" w:type="dxa"/>
            <w:vAlign w:val="center"/>
          </w:tcPr>
          <w:p>
            <w:pPr>
              <w:pStyle w:val="13"/>
            </w:pPr>
            <w:r>
              <w:t>200.50</w:t>
            </w:r>
          </w:p>
        </w:tc>
        <w:tc>
          <w:tcPr>
            <w:tcW w:w="758" w:type="dxa"/>
            <w:vAlign w:val="center"/>
          </w:tcPr>
          <w:p>
            <w:pPr>
              <w:pStyle w:val="13"/>
            </w:pPr>
            <w:r>
              <w:t>200.50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2010308</w:t>
            </w:r>
          </w:p>
        </w:tc>
        <w:tc>
          <w:tcPr>
            <w:tcW w:w="758" w:type="dxa"/>
            <w:vAlign w:val="center"/>
          </w:tcPr>
          <w:p>
            <w:pPr>
              <w:pStyle w:val="14"/>
            </w:pPr>
            <w:r>
              <w:t>信访事务</w:t>
            </w:r>
          </w:p>
        </w:tc>
        <w:tc>
          <w:tcPr>
            <w:tcW w:w="758" w:type="dxa"/>
            <w:vAlign w:val="center"/>
          </w:tcPr>
          <w:p>
            <w:pPr>
              <w:pStyle w:val="13"/>
            </w:pPr>
            <w:r>
              <w:t>129.60</w:t>
            </w:r>
          </w:p>
        </w:tc>
        <w:tc>
          <w:tcPr>
            <w:tcW w:w="758" w:type="dxa"/>
            <w:vAlign w:val="center"/>
          </w:tcPr>
          <w:p>
            <w:pPr>
              <w:pStyle w:val="13"/>
            </w:pPr>
            <w:r>
              <w:t>129.60</w:t>
            </w:r>
          </w:p>
        </w:tc>
        <w:tc>
          <w:tcPr>
            <w:tcW w:w="758" w:type="dxa"/>
            <w:vAlign w:val="center"/>
          </w:tcPr>
          <w:p>
            <w:pPr>
              <w:pStyle w:val="13"/>
            </w:pPr>
            <w:r>
              <w:t>129.60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2010399</w:t>
            </w:r>
          </w:p>
        </w:tc>
        <w:tc>
          <w:tcPr>
            <w:tcW w:w="758" w:type="dxa"/>
            <w:vAlign w:val="center"/>
          </w:tcPr>
          <w:p>
            <w:pPr>
              <w:pStyle w:val="14"/>
            </w:pPr>
            <w:r>
              <w:t>其他政府办公厅（室）及相关机构事务支出</w:t>
            </w:r>
          </w:p>
        </w:tc>
        <w:tc>
          <w:tcPr>
            <w:tcW w:w="758" w:type="dxa"/>
            <w:vAlign w:val="center"/>
          </w:tcPr>
          <w:p>
            <w:pPr>
              <w:pStyle w:val="13"/>
            </w:pPr>
            <w:r>
              <w:t>70.90</w:t>
            </w:r>
          </w:p>
        </w:tc>
        <w:tc>
          <w:tcPr>
            <w:tcW w:w="758" w:type="dxa"/>
            <w:vAlign w:val="center"/>
          </w:tcPr>
          <w:p>
            <w:pPr>
              <w:pStyle w:val="13"/>
            </w:pPr>
            <w:r>
              <w:t>70.90</w:t>
            </w:r>
          </w:p>
        </w:tc>
        <w:tc>
          <w:tcPr>
            <w:tcW w:w="758" w:type="dxa"/>
            <w:vAlign w:val="center"/>
          </w:tcPr>
          <w:p>
            <w:pPr>
              <w:pStyle w:val="13"/>
            </w:pPr>
            <w:r>
              <w:t>70.90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20136</w:t>
            </w:r>
          </w:p>
        </w:tc>
        <w:tc>
          <w:tcPr>
            <w:tcW w:w="758" w:type="dxa"/>
            <w:vAlign w:val="center"/>
          </w:tcPr>
          <w:p>
            <w:pPr>
              <w:pStyle w:val="14"/>
            </w:pPr>
            <w:r>
              <w:t>其他共产党事务支出</w:t>
            </w:r>
          </w:p>
        </w:tc>
        <w:tc>
          <w:tcPr>
            <w:tcW w:w="758" w:type="dxa"/>
            <w:vAlign w:val="center"/>
          </w:tcPr>
          <w:p>
            <w:pPr>
              <w:pStyle w:val="13"/>
            </w:pPr>
            <w:r>
              <w:t>167.23</w:t>
            </w:r>
          </w:p>
        </w:tc>
        <w:tc>
          <w:tcPr>
            <w:tcW w:w="758" w:type="dxa"/>
            <w:vAlign w:val="center"/>
          </w:tcPr>
          <w:p>
            <w:pPr>
              <w:pStyle w:val="13"/>
            </w:pPr>
            <w:r>
              <w:t>167.23</w:t>
            </w:r>
          </w:p>
        </w:tc>
        <w:tc>
          <w:tcPr>
            <w:tcW w:w="758" w:type="dxa"/>
            <w:vAlign w:val="center"/>
          </w:tcPr>
          <w:p>
            <w:pPr>
              <w:pStyle w:val="13"/>
            </w:pPr>
            <w:r>
              <w:t>167.23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2013601</w:t>
            </w:r>
          </w:p>
        </w:tc>
        <w:tc>
          <w:tcPr>
            <w:tcW w:w="758" w:type="dxa"/>
            <w:vAlign w:val="center"/>
          </w:tcPr>
          <w:p>
            <w:pPr>
              <w:pStyle w:val="14"/>
            </w:pPr>
            <w:r>
              <w:t>行政运行</w:t>
            </w:r>
          </w:p>
        </w:tc>
        <w:tc>
          <w:tcPr>
            <w:tcW w:w="758" w:type="dxa"/>
            <w:vAlign w:val="center"/>
          </w:tcPr>
          <w:p>
            <w:pPr>
              <w:pStyle w:val="13"/>
            </w:pPr>
            <w:r>
              <w:t>167.23</w:t>
            </w:r>
          </w:p>
        </w:tc>
        <w:tc>
          <w:tcPr>
            <w:tcW w:w="758" w:type="dxa"/>
            <w:vAlign w:val="center"/>
          </w:tcPr>
          <w:p>
            <w:pPr>
              <w:pStyle w:val="13"/>
            </w:pPr>
            <w:r>
              <w:t>167.23</w:t>
            </w:r>
          </w:p>
        </w:tc>
        <w:tc>
          <w:tcPr>
            <w:tcW w:w="758" w:type="dxa"/>
            <w:vAlign w:val="center"/>
          </w:tcPr>
          <w:p>
            <w:pPr>
              <w:pStyle w:val="13"/>
            </w:pPr>
            <w:r>
              <w:t>167.23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22.37</w:t>
            </w:r>
          </w:p>
        </w:tc>
        <w:tc>
          <w:tcPr>
            <w:tcW w:w="758" w:type="dxa"/>
            <w:vAlign w:val="center"/>
          </w:tcPr>
          <w:p>
            <w:pPr>
              <w:pStyle w:val="13"/>
            </w:pPr>
            <w:r>
              <w:t>22.37</w:t>
            </w:r>
          </w:p>
        </w:tc>
        <w:tc>
          <w:tcPr>
            <w:tcW w:w="758" w:type="dxa"/>
            <w:vAlign w:val="center"/>
          </w:tcPr>
          <w:p>
            <w:pPr>
              <w:pStyle w:val="13"/>
            </w:pPr>
            <w:r>
              <w:t>22.37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22.37</w:t>
            </w:r>
          </w:p>
        </w:tc>
        <w:tc>
          <w:tcPr>
            <w:tcW w:w="758" w:type="dxa"/>
            <w:vAlign w:val="center"/>
          </w:tcPr>
          <w:p>
            <w:pPr>
              <w:pStyle w:val="13"/>
            </w:pPr>
            <w:r>
              <w:t>22.37</w:t>
            </w:r>
          </w:p>
        </w:tc>
        <w:tc>
          <w:tcPr>
            <w:tcW w:w="758" w:type="dxa"/>
            <w:vAlign w:val="center"/>
          </w:tcPr>
          <w:p>
            <w:pPr>
              <w:pStyle w:val="13"/>
            </w:pPr>
            <w:r>
              <w:t>22.37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22.37</w:t>
            </w:r>
          </w:p>
        </w:tc>
        <w:tc>
          <w:tcPr>
            <w:tcW w:w="758" w:type="dxa"/>
            <w:vAlign w:val="center"/>
          </w:tcPr>
          <w:p>
            <w:pPr>
              <w:pStyle w:val="13"/>
            </w:pPr>
            <w:r>
              <w:t>22.37</w:t>
            </w:r>
          </w:p>
        </w:tc>
        <w:tc>
          <w:tcPr>
            <w:tcW w:w="758" w:type="dxa"/>
            <w:vAlign w:val="center"/>
          </w:tcPr>
          <w:p>
            <w:pPr>
              <w:pStyle w:val="13"/>
            </w:pPr>
            <w:r>
              <w:t>22.37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17.55</w:t>
            </w:r>
          </w:p>
        </w:tc>
        <w:tc>
          <w:tcPr>
            <w:tcW w:w="758" w:type="dxa"/>
            <w:vAlign w:val="center"/>
          </w:tcPr>
          <w:p>
            <w:pPr>
              <w:pStyle w:val="13"/>
            </w:pPr>
            <w:r>
              <w:t>17.55</w:t>
            </w:r>
          </w:p>
        </w:tc>
        <w:tc>
          <w:tcPr>
            <w:tcW w:w="758" w:type="dxa"/>
            <w:vAlign w:val="center"/>
          </w:tcPr>
          <w:p>
            <w:pPr>
              <w:pStyle w:val="13"/>
            </w:pPr>
            <w:r>
              <w:t>17.55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17.55</w:t>
            </w:r>
          </w:p>
        </w:tc>
        <w:tc>
          <w:tcPr>
            <w:tcW w:w="758" w:type="dxa"/>
            <w:vAlign w:val="center"/>
          </w:tcPr>
          <w:p>
            <w:pPr>
              <w:pStyle w:val="13"/>
            </w:pPr>
            <w:r>
              <w:t>17.55</w:t>
            </w:r>
          </w:p>
        </w:tc>
        <w:tc>
          <w:tcPr>
            <w:tcW w:w="758" w:type="dxa"/>
            <w:vAlign w:val="center"/>
          </w:tcPr>
          <w:p>
            <w:pPr>
              <w:pStyle w:val="13"/>
            </w:pPr>
            <w:r>
              <w:t>17.55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17.55</w:t>
            </w:r>
          </w:p>
        </w:tc>
        <w:tc>
          <w:tcPr>
            <w:tcW w:w="758" w:type="dxa"/>
            <w:vAlign w:val="center"/>
          </w:tcPr>
          <w:p>
            <w:pPr>
              <w:pStyle w:val="13"/>
            </w:pPr>
            <w:r>
              <w:t>17.55</w:t>
            </w:r>
          </w:p>
        </w:tc>
        <w:tc>
          <w:tcPr>
            <w:tcW w:w="758" w:type="dxa"/>
            <w:vAlign w:val="center"/>
          </w:tcPr>
          <w:p>
            <w:pPr>
              <w:pStyle w:val="13"/>
            </w:pPr>
            <w:r>
              <w:t>17.55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199沙河市信访局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407.65</w:t>
            </w:r>
          </w:p>
        </w:tc>
        <w:tc>
          <w:tcPr>
            <w:tcW w:w="1095" w:type="dxa"/>
            <w:vAlign w:val="center"/>
          </w:tcPr>
          <w:p>
            <w:pPr>
              <w:pStyle w:val="17"/>
            </w:pPr>
            <w:r>
              <w:t>207.15</w:t>
            </w:r>
          </w:p>
        </w:tc>
        <w:tc>
          <w:tcPr>
            <w:tcW w:w="1095" w:type="dxa"/>
            <w:vAlign w:val="center"/>
          </w:tcPr>
          <w:p>
            <w:pPr>
              <w:pStyle w:val="17"/>
            </w:pPr>
            <w:r>
              <w:t>200.50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367.73</w:t>
            </w:r>
          </w:p>
        </w:tc>
        <w:tc>
          <w:tcPr>
            <w:tcW w:w="1095" w:type="dxa"/>
            <w:vAlign w:val="center"/>
          </w:tcPr>
          <w:p>
            <w:pPr>
              <w:pStyle w:val="13"/>
            </w:pPr>
            <w:r>
              <w:t>167.23</w:t>
            </w:r>
          </w:p>
        </w:tc>
        <w:tc>
          <w:tcPr>
            <w:tcW w:w="1095" w:type="dxa"/>
            <w:vAlign w:val="center"/>
          </w:tcPr>
          <w:p>
            <w:pPr>
              <w:pStyle w:val="13"/>
            </w:pPr>
            <w:r>
              <w:t>200.50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200.50</w:t>
            </w:r>
          </w:p>
        </w:tc>
        <w:tc>
          <w:tcPr>
            <w:tcW w:w="1095" w:type="dxa"/>
            <w:vAlign w:val="center"/>
          </w:tcPr>
          <w:p>
            <w:pPr>
              <w:pStyle w:val="13"/>
            </w:pPr>
          </w:p>
        </w:tc>
        <w:tc>
          <w:tcPr>
            <w:tcW w:w="1095" w:type="dxa"/>
            <w:vAlign w:val="center"/>
          </w:tcPr>
          <w:p>
            <w:pPr>
              <w:pStyle w:val="13"/>
            </w:pPr>
            <w:r>
              <w:t>200.50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2010308</w:t>
            </w:r>
          </w:p>
        </w:tc>
        <w:tc>
          <w:tcPr>
            <w:tcW w:w="1095" w:type="dxa"/>
            <w:vAlign w:val="center"/>
          </w:tcPr>
          <w:p>
            <w:pPr>
              <w:pStyle w:val="14"/>
            </w:pPr>
            <w:r>
              <w:t>信访事务</w:t>
            </w:r>
          </w:p>
        </w:tc>
        <w:tc>
          <w:tcPr>
            <w:tcW w:w="1095" w:type="dxa"/>
            <w:vAlign w:val="center"/>
          </w:tcPr>
          <w:p>
            <w:pPr>
              <w:pStyle w:val="13"/>
            </w:pPr>
            <w:r>
              <w:t>129.60</w:t>
            </w:r>
          </w:p>
        </w:tc>
        <w:tc>
          <w:tcPr>
            <w:tcW w:w="1095" w:type="dxa"/>
            <w:vAlign w:val="center"/>
          </w:tcPr>
          <w:p>
            <w:pPr>
              <w:pStyle w:val="13"/>
            </w:pPr>
          </w:p>
        </w:tc>
        <w:tc>
          <w:tcPr>
            <w:tcW w:w="1095" w:type="dxa"/>
            <w:vAlign w:val="center"/>
          </w:tcPr>
          <w:p>
            <w:pPr>
              <w:pStyle w:val="13"/>
            </w:pPr>
            <w:r>
              <w:t>129.60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2010399</w:t>
            </w:r>
          </w:p>
        </w:tc>
        <w:tc>
          <w:tcPr>
            <w:tcW w:w="1095" w:type="dxa"/>
            <w:vAlign w:val="center"/>
          </w:tcPr>
          <w:p>
            <w:pPr>
              <w:pStyle w:val="14"/>
            </w:pPr>
            <w:r>
              <w:t>其他政府办公厅（室）及相关机构事务支出</w:t>
            </w:r>
          </w:p>
        </w:tc>
        <w:tc>
          <w:tcPr>
            <w:tcW w:w="1095" w:type="dxa"/>
            <w:vAlign w:val="center"/>
          </w:tcPr>
          <w:p>
            <w:pPr>
              <w:pStyle w:val="13"/>
            </w:pPr>
            <w:r>
              <w:t>70.90</w:t>
            </w:r>
          </w:p>
        </w:tc>
        <w:tc>
          <w:tcPr>
            <w:tcW w:w="1095" w:type="dxa"/>
            <w:vAlign w:val="center"/>
          </w:tcPr>
          <w:p>
            <w:pPr>
              <w:pStyle w:val="13"/>
            </w:pPr>
          </w:p>
        </w:tc>
        <w:tc>
          <w:tcPr>
            <w:tcW w:w="1095" w:type="dxa"/>
            <w:vAlign w:val="center"/>
          </w:tcPr>
          <w:p>
            <w:pPr>
              <w:pStyle w:val="13"/>
            </w:pPr>
            <w:r>
              <w:t>70.90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20136</w:t>
            </w:r>
          </w:p>
        </w:tc>
        <w:tc>
          <w:tcPr>
            <w:tcW w:w="1095" w:type="dxa"/>
            <w:vAlign w:val="center"/>
          </w:tcPr>
          <w:p>
            <w:pPr>
              <w:pStyle w:val="14"/>
            </w:pPr>
            <w:r>
              <w:t>其他共产党事务支出</w:t>
            </w:r>
          </w:p>
        </w:tc>
        <w:tc>
          <w:tcPr>
            <w:tcW w:w="1095" w:type="dxa"/>
            <w:vAlign w:val="center"/>
          </w:tcPr>
          <w:p>
            <w:pPr>
              <w:pStyle w:val="13"/>
            </w:pPr>
            <w:r>
              <w:t>167.23</w:t>
            </w:r>
          </w:p>
        </w:tc>
        <w:tc>
          <w:tcPr>
            <w:tcW w:w="1095" w:type="dxa"/>
            <w:vAlign w:val="center"/>
          </w:tcPr>
          <w:p>
            <w:pPr>
              <w:pStyle w:val="13"/>
            </w:pPr>
            <w:r>
              <w:t>167.23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2013601</w:t>
            </w:r>
          </w:p>
        </w:tc>
        <w:tc>
          <w:tcPr>
            <w:tcW w:w="1095" w:type="dxa"/>
            <w:vAlign w:val="center"/>
          </w:tcPr>
          <w:p>
            <w:pPr>
              <w:pStyle w:val="14"/>
            </w:pPr>
            <w:r>
              <w:t>行政运行</w:t>
            </w:r>
          </w:p>
        </w:tc>
        <w:tc>
          <w:tcPr>
            <w:tcW w:w="1095" w:type="dxa"/>
            <w:vAlign w:val="center"/>
          </w:tcPr>
          <w:p>
            <w:pPr>
              <w:pStyle w:val="13"/>
            </w:pPr>
            <w:r>
              <w:t>167.23</w:t>
            </w:r>
          </w:p>
        </w:tc>
        <w:tc>
          <w:tcPr>
            <w:tcW w:w="1095" w:type="dxa"/>
            <w:vAlign w:val="center"/>
          </w:tcPr>
          <w:p>
            <w:pPr>
              <w:pStyle w:val="13"/>
            </w:pPr>
            <w:r>
              <w:t>167.23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22.37</w:t>
            </w:r>
          </w:p>
        </w:tc>
        <w:tc>
          <w:tcPr>
            <w:tcW w:w="1095" w:type="dxa"/>
            <w:vAlign w:val="center"/>
          </w:tcPr>
          <w:p>
            <w:pPr>
              <w:pStyle w:val="13"/>
            </w:pPr>
            <w:r>
              <w:t>22.37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22.37</w:t>
            </w:r>
          </w:p>
        </w:tc>
        <w:tc>
          <w:tcPr>
            <w:tcW w:w="1095" w:type="dxa"/>
            <w:vAlign w:val="center"/>
          </w:tcPr>
          <w:p>
            <w:pPr>
              <w:pStyle w:val="13"/>
            </w:pPr>
            <w:r>
              <w:t>22.37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22.37</w:t>
            </w:r>
          </w:p>
        </w:tc>
        <w:tc>
          <w:tcPr>
            <w:tcW w:w="1095" w:type="dxa"/>
            <w:vAlign w:val="center"/>
          </w:tcPr>
          <w:p>
            <w:pPr>
              <w:pStyle w:val="13"/>
            </w:pPr>
            <w:r>
              <w:t>22.37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17.55</w:t>
            </w:r>
          </w:p>
        </w:tc>
        <w:tc>
          <w:tcPr>
            <w:tcW w:w="1095" w:type="dxa"/>
            <w:vAlign w:val="center"/>
          </w:tcPr>
          <w:p>
            <w:pPr>
              <w:pStyle w:val="13"/>
            </w:pPr>
            <w:r>
              <w:t>17.55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17.55</w:t>
            </w:r>
          </w:p>
        </w:tc>
        <w:tc>
          <w:tcPr>
            <w:tcW w:w="1095" w:type="dxa"/>
            <w:vAlign w:val="center"/>
          </w:tcPr>
          <w:p>
            <w:pPr>
              <w:pStyle w:val="13"/>
            </w:pPr>
            <w:r>
              <w:t>17.55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17.55</w:t>
            </w:r>
          </w:p>
        </w:tc>
        <w:tc>
          <w:tcPr>
            <w:tcW w:w="1095" w:type="dxa"/>
            <w:vAlign w:val="center"/>
          </w:tcPr>
          <w:p>
            <w:pPr>
              <w:pStyle w:val="13"/>
            </w:pPr>
            <w:r>
              <w:t>17.55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199沙河市信访局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407.65</w:t>
            </w:r>
          </w:p>
        </w:tc>
        <w:tc>
          <w:tcPr>
            <w:tcW w:w="1232" w:type="dxa"/>
            <w:vAlign w:val="center"/>
          </w:tcPr>
          <w:p>
            <w:pPr>
              <w:pStyle w:val="14"/>
            </w:pPr>
            <w:r>
              <w:t>一、一般公共服务支出</w:t>
            </w:r>
          </w:p>
        </w:tc>
        <w:tc>
          <w:tcPr>
            <w:tcW w:w="1232" w:type="dxa"/>
            <w:vAlign w:val="center"/>
          </w:tcPr>
          <w:p>
            <w:pPr>
              <w:pStyle w:val="13"/>
            </w:pPr>
            <w:r>
              <w:t>367.73</w:t>
            </w:r>
          </w:p>
        </w:tc>
        <w:tc>
          <w:tcPr>
            <w:tcW w:w="1232" w:type="dxa"/>
            <w:vAlign w:val="center"/>
          </w:tcPr>
          <w:p>
            <w:pPr>
              <w:pStyle w:val="13"/>
            </w:pPr>
            <w:r>
              <w:t>367.73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22.37</w:t>
            </w:r>
          </w:p>
        </w:tc>
        <w:tc>
          <w:tcPr>
            <w:tcW w:w="1232" w:type="dxa"/>
            <w:vAlign w:val="center"/>
          </w:tcPr>
          <w:p>
            <w:pPr>
              <w:pStyle w:val="13"/>
            </w:pPr>
            <w:r>
              <w:t>22.37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17.55</w:t>
            </w:r>
          </w:p>
        </w:tc>
        <w:tc>
          <w:tcPr>
            <w:tcW w:w="1232" w:type="dxa"/>
            <w:vAlign w:val="center"/>
          </w:tcPr>
          <w:p>
            <w:pPr>
              <w:pStyle w:val="13"/>
            </w:pPr>
            <w:r>
              <w:t>17.55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407.65</w:t>
            </w:r>
          </w:p>
        </w:tc>
        <w:tc>
          <w:tcPr>
            <w:tcW w:w="1232" w:type="dxa"/>
            <w:vAlign w:val="center"/>
          </w:tcPr>
          <w:p>
            <w:pPr>
              <w:pStyle w:val="16"/>
            </w:pPr>
            <w:r>
              <w:t>本年支出合计</w:t>
            </w:r>
          </w:p>
        </w:tc>
        <w:tc>
          <w:tcPr>
            <w:tcW w:w="1232" w:type="dxa"/>
            <w:vAlign w:val="center"/>
          </w:tcPr>
          <w:p>
            <w:pPr>
              <w:pStyle w:val="17"/>
            </w:pPr>
            <w:r>
              <w:t>407.65</w:t>
            </w:r>
          </w:p>
        </w:tc>
        <w:tc>
          <w:tcPr>
            <w:tcW w:w="1232" w:type="dxa"/>
            <w:vAlign w:val="center"/>
          </w:tcPr>
          <w:p>
            <w:pPr>
              <w:pStyle w:val="17"/>
            </w:pPr>
            <w:r>
              <w:t>407.65</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407.65</w:t>
            </w:r>
          </w:p>
        </w:tc>
        <w:tc>
          <w:tcPr>
            <w:tcW w:w="1232" w:type="dxa"/>
            <w:vAlign w:val="center"/>
          </w:tcPr>
          <w:p>
            <w:pPr>
              <w:pStyle w:val="16"/>
            </w:pPr>
            <w:r>
              <w:t>支出总计</w:t>
            </w:r>
          </w:p>
        </w:tc>
        <w:tc>
          <w:tcPr>
            <w:tcW w:w="1232" w:type="dxa"/>
            <w:vAlign w:val="center"/>
          </w:tcPr>
          <w:p>
            <w:pPr>
              <w:pStyle w:val="17"/>
            </w:pPr>
            <w:r>
              <w:t>407.65</w:t>
            </w:r>
          </w:p>
        </w:tc>
        <w:tc>
          <w:tcPr>
            <w:tcW w:w="1232" w:type="dxa"/>
            <w:vAlign w:val="center"/>
          </w:tcPr>
          <w:p>
            <w:pPr>
              <w:pStyle w:val="17"/>
            </w:pPr>
            <w:r>
              <w:t>407.65</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199沙河市信访局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407.65</w:t>
            </w:r>
          </w:p>
        </w:tc>
        <w:tc>
          <w:tcPr>
            <w:tcW w:w="1643" w:type="dxa"/>
            <w:vAlign w:val="center"/>
          </w:tcPr>
          <w:p>
            <w:pPr>
              <w:pStyle w:val="17"/>
            </w:pPr>
            <w:r>
              <w:t>207.15</w:t>
            </w:r>
          </w:p>
        </w:tc>
        <w:tc>
          <w:tcPr>
            <w:tcW w:w="1643" w:type="dxa"/>
            <w:vAlign w:val="center"/>
          </w:tcPr>
          <w:p>
            <w:pPr>
              <w:pStyle w:val="17"/>
            </w:pPr>
            <w:r>
              <w:t>200.50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367.73</w:t>
            </w:r>
          </w:p>
        </w:tc>
        <w:tc>
          <w:tcPr>
            <w:tcW w:w="1643" w:type="dxa"/>
            <w:vAlign w:val="center"/>
          </w:tcPr>
          <w:p>
            <w:pPr>
              <w:pStyle w:val="13"/>
            </w:pPr>
            <w:r>
              <w:t>167.23</w:t>
            </w:r>
          </w:p>
        </w:tc>
        <w:tc>
          <w:tcPr>
            <w:tcW w:w="1643" w:type="dxa"/>
            <w:vAlign w:val="center"/>
          </w:tcPr>
          <w:p>
            <w:pPr>
              <w:pStyle w:val="13"/>
            </w:pPr>
            <w:r>
              <w:t>200.50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200.50</w:t>
            </w:r>
          </w:p>
        </w:tc>
        <w:tc>
          <w:tcPr>
            <w:tcW w:w="1643" w:type="dxa"/>
            <w:vAlign w:val="center"/>
          </w:tcPr>
          <w:p>
            <w:pPr>
              <w:pStyle w:val="13"/>
            </w:pPr>
          </w:p>
        </w:tc>
        <w:tc>
          <w:tcPr>
            <w:tcW w:w="1643" w:type="dxa"/>
            <w:vAlign w:val="center"/>
          </w:tcPr>
          <w:p>
            <w:pPr>
              <w:pStyle w:val="13"/>
            </w:pPr>
            <w:r>
              <w:t>200.50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2010308</w:t>
            </w:r>
          </w:p>
        </w:tc>
        <w:tc>
          <w:tcPr>
            <w:tcW w:w="1643" w:type="dxa"/>
            <w:vAlign w:val="center"/>
          </w:tcPr>
          <w:p>
            <w:pPr>
              <w:pStyle w:val="14"/>
            </w:pPr>
            <w:r>
              <w:t>信访事务</w:t>
            </w:r>
          </w:p>
        </w:tc>
        <w:tc>
          <w:tcPr>
            <w:tcW w:w="1643" w:type="dxa"/>
            <w:vAlign w:val="center"/>
          </w:tcPr>
          <w:p>
            <w:pPr>
              <w:pStyle w:val="13"/>
            </w:pPr>
            <w:r>
              <w:t>129.60</w:t>
            </w:r>
          </w:p>
        </w:tc>
        <w:tc>
          <w:tcPr>
            <w:tcW w:w="1643" w:type="dxa"/>
            <w:vAlign w:val="center"/>
          </w:tcPr>
          <w:p>
            <w:pPr>
              <w:pStyle w:val="13"/>
            </w:pPr>
          </w:p>
        </w:tc>
        <w:tc>
          <w:tcPr>
            <w:tcW w:w="1643" w:type="dxa"/>
            <w:vAlign w:val="center"/>
          </w:tcPr>
          <w:p>
            <w:pPr>
              <w:pStyle w:val="13"/>
            </w:pPr>
            <w:r>
              <w:t>129.60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2010399</w:t>
            </w:r>
          </w:p>
        </w:tc>
        <w:tc>
          <w:tcPr>
            <w:tcW w:w="1643" w:type="dxa"/>
            <w:vAlign w:val="center"/>
          </w:tcPr>
          <w:p>
            <w:pPr>
              <w:pStyle w:val="14"/>
            </w:pPr>
            <w:r>
              <w:t>其他政府办公厅（室）及相关机构事务支出</w:t>
            </w:r>
          </w:p>
        </w:tc>
        <w:tc>
          <w:tcPr>
            <w:tcW w:w="1643" w:type="dxa"/>
            <w:vAlign w:val="center"/>
          </w:tcPr>
          <w:p>
            <w:pPr>
              <w:pStyle w:val="13"/>
            </w:pPr>
            <w:r>
              <w:t>70.90</w:t>
            </w:r>
          </w:p>
        </w:tc>
        <w:tc>
          <w:tcPr>
            <w:tcW w:w="1643" w:type="dxa"/>
            <w:vAlign w:val="center"/>
          </w:tcPr>
          <w:p>
            <w:pPr>
              <w:pStyle w:val="13"/>
            </w:pPr>
          </w:p>
        </w:tc>
        <w:tc>
          <w:tcPr>
            <w:tcW w:w="1643" w:type="dxa"/>
            <w:vAlign w:val="center"/>
          </w:tcPr>
          <w:p>
            <w:pPr>
              <w:pStyle w:val="13"/>
            </w:pPr>
            <w:r>
              <w:t>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20136</w:t>
            </w:r>
          </w:p>
        </w:tc>
        <w:tc>
          <w:tcPr>
            <w:tcW w:w="1643" w:type="dxa"/>
            <w:vAlign w:val="center"/>
          </w:tcPr>
          <w:p>
            <w:pPr>
              <w:pStyle w:val="14"/>
            </w:pPr>
            <w:r>
              <w:t>其他共产党事务支出</w:t>
            </w:r>
          </w:p>
        </w:tc>
        <w:tc>
          <w:tcPr>
            <w:tcW w:w="1643" w:type="dxa"/>
            <w:vAlign w:val="center"/>
          </w:tcPr>
          <w:p>
            <w:pPr>
              <w:pStyle w:val="13"/>
            </w:pPr>
            <w:r>
              <w:t>167.23</w:t>
            </w:r>
          </w:p>
        </w:tc>
        <w:tc>
          <w:tcPr>
            <w:tcW w:w="1643" w:type="dxa"/>
            <w:vAlign w:val="center"/>
          </w:tcPr>
          <w:p>
            <w:pPr>
              <w:pStyle w:val="13"/>
            </w:pPr>
            <w:r>
              <w:t>167.23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2013601</w:t>
            </w:r>
          </w:p>
        </w:tc>
        <w:tc>
          <w:tcPr>
            <w:tcW w:w="1643" w:type="dxa"/>
            <w:vAlign w:val="center"/>
          </w:tcPr>
          <w:p>
            <w:pPr>
              <w:pStyle w:val="14"/>
            </w:pPr>
            <w:r>
              <w:t>行政运行</w:t>
            </w:r>
          </w:p>
        </w:tc>
        <w:tc>
          <w:tcPr>
            <w:tcW w:w="1643" w:type="dxa"/>
            <w:vAlign w:val="center"/>
          </w:tcPr>
          <w:p>
            <w:pPr>
              <w:pStyle w:val="13"/>
            </w:pPr>
            <w:r>
              <w:t>167.23</w:t>
            </w:r>
          </w:p>
        </w:tc>
        <w:tc>
          <w:tcPr>
            <w:tcW w:w="1643" w:type="dxa"/>
            <w:vAlign w:val="center"/>
          </w:tcPr>
          <w:p>
            <w:pPr>
              <w:pStyle w:val="13"/>
            </w:pPr>
            <w:r>
              <w:t>167.23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22.37</w:t>
            </w:r>
          </w:p>
        </w:tc>
        <w:tc>
          <w:tcPr>
            <w:tcW w:w="1643" w:type="dxa"/>
            <w:vAlign w:val="center"/>
          </w:tcPr>
          <w:p>
            <w:pPr>
              <w:pStyle w:val="13"/>
            </w:pPr>
            <w:r>
              <w:t>22.37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22.37</w:t>
            </w:r>
          </w:p>
        </w:tc>
        <w:tc>
          <w:tcPr>
            <w:tcW w:w="1643" w:type="dxa"/>
            <w:vAlign w:val="center"/>
          </w:tcPr>
          <w:p>
            <w:pPr>
              <w:pStyle w:val="13"/>
            </w:pPr>
            <w:r>
              <w:t>22.37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22.37</w:t>
            </w:r>
          </w:p>
        </w:tc>
        <w:tc>
          <w:tcPr>
            <w:tcW w:w="1643" w:type="dxa"/>
            <w:vAlign w:val="center"/>
          </w:tcPr>
          <w:p>
            <w:pPr>
              <w:pStyle w:val="13"/>
            </w:pPr>
            <w:r>
              <w:t>22.37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17.55</w:t>
            </w:r>
          </w:p>
        </w:tc>
        <w:tc>
          <w:tcPr>
            <w:tcW w:w="1643" w:type="dxa"/>
            <w:vAlign w:val="center"/>
          </w:tcPr>
          <w:p>
            <w:pPr>
              <w:pStyle w:val="13"/>
            </w:pPr>
            <w:r>
              <w:t>17.55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17.55</w:t>
            </w:r>
          </w:p>
        </w:tc>
        <w:tc>
          <w:tcPr>
            <w:tcW w:w="1643" w:type="dxa"/>
            <w:vAlign w:val="center"/>
          </w:tcPr>
          <w:p>
            <w:pPr>
              <w:pStyle w:val="13"/>
            </w:pPr>
            <w:r>
              <w:t>17.55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17.55</w:t>
            </w:r>
          </w:p>
        </w:tc>
        <w:tc>
          <w:tcPr>
            <w:tcW w:w="1643" w:type="dxa"/>
            <w:vAlign w:val="center"/>
          </w:tcPr>
          <w:p>
            <w:pPr>
              <w:pStyle w:val="13"/>
            </w:pPr>
            <w:r>
              <w:t>17.55</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199沙河市信访局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207.15</w:t>
            </w:r>
          </w:p>
        </w:tc>
        <w:tc>
          <w:tcPr>
            <w:tcW w:w="1643" w:type="dxa"/>
            <w:vAlign w:val="center"/>
          </w:tcPr>
          <w:p>
            <w:pPr>
              <w:pStyle w:val="17"/>
            </w:pPr>
            <w:r>
              <w:t>191.34</w:t>
            </w:r>
          </w:p>
        </w:tc>
        <w:tc>
          <w:tcPr>
            <w:tcW w:w="1643" w:type="dxa"/>
            <w:vAlign w:val="center"/>
          </w:tcPr>
          <w:p>
            <w:pPr>
              <w:pStyle w:val="17"/>
            </w:pPr>
            <w:r>
              <w:t>15.81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162.68</w:t>
            </w:r>
          </w:p>
        </w:tc>
        <w:tc>
          <w:tcPr>
            <w:tcW w:w="1643" w:type="dxa"/>
            <w:vAlign w:val="center"/>
          </w:tcPr>
          <w:p>
            <w:pPr>
              <w:pStyle w:val="13"/>
            </w:pPr>
            <w:r>
              <w:t>162.68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52.74</w:t>
            </w:r>
          </w:p>
        </w:tc>
        <w:tc>
          <w:tcPr>
            <w:tcW w:w="1643" w:type="dxa"/>
            <w:vAlign w:val="center"/>
          </w:tcPr>
          <w:p>
            <w:pPr>
              <w:pStyle w:val="13"/>
            </w:pPr>
            <w:r>
              <w:t>52.74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30.10</w:t>
            </w:r>
          </w:p>
        </w:tc>
        <w:tc>
          <w:tcPr>
            <w:tcW w:w="1643" w:type="dxa"/>
            <w:vAlign w:val="center"/>
          </w:tcPr>
          <w:p>
            <w:pPr>
              <w:pStyle w:val="13"/>
            </w:pPr>
            <w:r>
              <w:t>30.10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27.61</w:t>
            </w:r>
          </w:p>
        </w:tc>
        <w:tc>
          <w:tcPr>
            <w:tcW w:w="1643" w:type="dxa"/>
            <w:vAlign w:val="center"/>
          </w:tcPr>
          <w:p>
            <w:pPr>
              <w:pStyle w:val="13"/>
            </w:pPr>
            <w:r>
              <w:t>27.61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12.17</w:t>
            </w:r>
          </w:p>
        </w:tc>
        <w:tc>
          <w:tcPr>
            <w:tcW w:w="1643" w:type="dxa"/>
            <w:vAlign w:val="center"/>
          </w:tcPr>
          <w:p>
            <w:pPr>
              <w:pStyle w:val="13"/>
            </w:pPr>
            <w:r>
              <w:t>12.17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22.37</w:t>
            </w:r>
          </w:p>
        </w:tc>
        <w:tc>
          <w:tcPr>
            <w:tcW w:w="1643" w:type="dxa"/>
            <w:vAlign w:val="center"/>
          </w:tcPr>
          <w:p>
            <w:pPr>
              <w:pStyle w:val="13"/>
            </w:pPr>
            <w:r>
              <w:t>22.37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17.55</w:t>
            </w:r>
          </w:p>
        </w:tc>
        <w:tc>
          <w:tcPr>
            <w:tcW w:w="1643" w:type="dxa"/>
            <w:vAlign w:val="center"/>
          </w:tcPr>
          <w:p>
            <w:pPr>
              <w:pStyle w:val="13"/>
            </w:pPr>
            <w:r>
              <w:t>17.55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0.14</w:t>
            </w:r>
          </w:p>
        </w:tc>
        <w:tc>
          <w:tcPr>
            <w:tcW w:w="1643" w:type="dxa"/>
            <w:vAlign w:val="center"/>
          </w:tcPr>
          <w:p>
            <w:pPr>
              <w:pStyle w:val="13"/>
            </w:pPr>
            <w:r>
              <w:t>0.14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15.81</w:t>
            </w:r>
          </w:p>
        </w:tc>
        <w:tc>
          <w:tcPr>
            <w:tcW w:w="1643" w:type="dxa"/>
            <w:vAlign w:val="center"/>
          </w:tcPr>
          <w:p>
            <w:pPr>
              <w:pStyle w:val="13"/>
            </w:pPr>
          </w:p>
        </w:tc>
        <w:tc>
          <w:tcPr>
            <w:tcW w:w="1643" w:type="dxa"/>
            <w:vAlign w:val="center"/>
          </w:tcPr>
          <w:p>
            <w:pPr>
              <w:pStyle w:val="13"/>
            </w:pPr>
            <w:r>
              <w:t>15.81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1.28</w:t>
            </w:r>
          </w:p>
        </w:tc>
        <w:tc>
          <w:tcPr>
            <w:tcW w:w="1643" w:type="dxa"/>
            <w:vAlign w:val="center"/>
          </w:tcPr>
          <w:p>
            <w:pPr>
              <w:pStyle w:val="13"/>
            </w:pPr>
          </w:p>
        </w:tc>
        <w:tc>
          <w:tcPr>
            <w:tcW w:w="1643" w:type="dxa"/>
            <w:vAlign w:val="center"/>
          </w:tcPr>
          <w:p>
            <w:pPr>
              <w:pStyle w:val="13"/>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2.22</w:t>
            </w:r>
          </w:p>
        </w:tc>
        <w:tc>
          <w:tcPr>
            <w:tcW w:w="1643" w:type="dxa"/>
            <w:vAlign w:val="center"/>
          </w:tcPr>
          <w:p>
            <w:pPr>
              <w:pStyle w:val="13"/>
            </w:pPr>
          </w:p>
        </w:tc>
        <w:tc>
          <w:tcPr>
            <w:tcW w:w="1643" w:type="dxa"/>
            <w:vAlign w:val="center"/>
          </w:tcPr>
          <w:p>
            <w:pPr>
              <w:pStyle w:val="13"/>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0.64</w:t>
            </w:r>
          </w:p>
        </w:tc>
        <w:tc>
          <w:tcPr>
            <w:tcW w:w="1643" w:type="dxa"/>
            <w:vAlign w:val="center"/>
          </w:tcPr>
          <w:p>
            <w:pPr>
              <w:pStyle w:val="13"/>
            </w:pPr>
          </w:p>
        </w:tc>
        <w:tc>
          <w:tcPr>
            <w:tcW w:w="1643"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1.05</w:t>
            </w:r>
          </w:p>
        </w:tc>
        <w:tc>
          <w:tcPr>
            <w:tcW w:w="1643" w:type="dxa"/>
            <w:vAlign w:val="center"/>
          </w:tcPr>
          <w:p>
            <w:pPr>
              <w:pStyle w:val="13"/>
            </w:pPr>
          </w:p>
        </w:tc>
        <w:tc>
          <w:tcPr>
            <w:tcW w:w="1643" w:type="dxa"/>
            <w:vAlign w:val="center"/>
          </w:tcPr>
          <w:p>
            <w:pPr>
              <w:pStyle w:val="13"/>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1.32</w:t>
            </w:r>
          </w:p>
        </w:tc>
        <w:tc>
          <w:tcPr>
            <w:tcW w:w="1643" w:type="dxa"/>
            <w:vAlign w:val="center"/>
          </w:tcPr>
          <w:p>
            <w:pPr>
              <w:pStyle w:val="13"/>
            </w:pPr>
          </w:p>
        </w:tc>
        <w:tc>
          <w:tcPr>
            <w:tcW w:w="1643" w:type="dxa"/>
            <w:vAlign w:val="center"/>
          </w:tcPr>
          <w:p>
            <w:pPr>
              <w:pStyle w:val="13"/>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9.30</w:t>
            </w:r>
          </w:p>
        </w:tc>
        <w:tc>
          <w:tcPr>
            <w:tcW w:w="1643" w:type="dxa"/>
            <w:vAlign w:val="center"/>
          </w:tcPr>
          <w:p>
            <w:pPr>
              <w:pStyle w:val="13"/>
            </w:pPr>
          </w:p>
        </w:tc>
        <w:tc>
          <w:tcPr>
            <w:tcW w:w="1643" w:type="dxa"/>
            <w:vAlign w:val="center"/>
          </w:tcPr>
          <w:p>
            <w:pPr>
              <w:pStyle w:val="13"/>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28.66</w:t>
            </w:r>
          </w:p>
        </w:tc>
        <w:tc>
          <w:tcPr>
            <w:tcW w:w="1643" w:type="dxa"/>
            <w:vAlign w:val="center"/>
          </w:tcPr>
          <w:p>
            <w:pPr>
              <w:pStyle w:val="13"/>
            </w:pPr>
            <w:r>
              <w:t>28.66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0.11</w:t>
            </w:r>
          </w:p>
        </w:tc>
        <w:tc>
          <w:tcPr>
            <w:tcW w:w="1643" w:type="dxa"/>
            <w:vAlign w:val="center"/>
          </w:tcPr>
          <w:p>
            <w:pPr>
              <w:pStyle w:val="13"/>
            </w:pPr>
            <w:r>
              <w:t>0.11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0.55</w:t>
            </w:r>
          </w:p>
        </w:tc>
        <w:tc>
          <w:tcPr>
            <w:tcW w:w="1643" w:type="dxa"/>
            <w:vAlign w:val="center"/>
          </w:tcPr>
          <w:p>
            <w:pPr>
              <w:pStyle w:val="13"/>
            </w:pPr>
            <w:r>
              <w:t>0.55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28.00</w:t>
            </w:r>
          </w:p>
        </w:tc>
        <w:tc>
          <w:tcPr>
            <w:tcW w:w="1643" w:type="dxa"/>
            <w:vAlign w:val="center"/>
          </w:tcPr>
          <w:p>
            <w:pPr>
              <w:pStyle w:val="13"/>
            </w:pPr>
            <w:r>
              <w:t>28.00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199沙河市信访局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199沙河市信访局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199沙河市信访局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wordWrap w:val="0"/>
              <w:rPr>
                <w:rFonts w:hint="eastAsia" w:eastAsia="方正书宋_GBK"/>
                <w:lang w:eastAsia="zh-CN"/>
              </w:rPr>
            </w:pPr>
            <w:r>
              <w:rPr>
                <w:rFonts w:hint="eastAsia"/>
                <w:lang w:val="en-US" w:eastAsia="zh-CN"/>
              </w:rPr>
              <w:t xml:space="preserve">4.00  </w:t>
            </w:r>
          </w:p>
        </w:tc>
        <w:tc>
          <w:tcPr>
            <w:tcW w:w="1643" w:type="dxa"/>
            <w:vAlign w:val="center"/>
          </w:tcPr>
          <w:p>
            <w:pPr>
              <w:pStyle w:val="17"/>
              <w:wordWrap w:val="0"/>
              <w:rPr>
                <w:rFonts w:hint="eastAsia" w:eastAsia="方正书宋_GBK"/>
                <w:lang w:eastAsia="zh-CN"/>
              </w:rPr>
            </w:pPr>
            <w:r>
              <w:rPr>
                <w:rFonts w:hint="eastAsia"/>
                <w:lang w:val="en-US" w:eastAsia="zh-CN"/>
              </w:rPr>
              <w:t xml:space="preserve">4.00  </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wordWrap w:val="0"/>
              <w:rPr>
                <w:rFonts w:hint="eastAsia" w:eastAsia="方正书宋_GBK"/>
                <w:lang w:eastAsia="zh-CN"/>
              </w:rPr>
            </w:pPr>
            <w:r>
              <w:rPr>
                <w:rFonts w:hint="eastAsia"/>
                <w:lang w:val="en-US" w:eastAsia="zh-CN"/>
              </w:rPr>
              <w:t xml:space="preserve">4.00 </w:t>
            </w:r>
          </w:p>
        </w:tc>
        <w:tc>
          <w:tcPr>
            <w:tcW w:w="1643" w:type="dxa"/>
            <w:vAlign w:val="center"/>
          </w:tcPr>
          <w:p>
            <w:pPr>
              <w:pStyle w:val="13"/>
              <w:wordWrap w:val="0"/>
              <w:rPr>
                <w:rFonts w:hint="eastAsia" w:eastAsia="方正书宋_GBK"/>
                <w:lang w:eastAsia="zh-CN"/>
              </w:rPr>
            </w:pPr>
            <w:r>
              <w:rPr>
                <w:rFonts w:hint="eastAsia"/>
                <w:lang w:val="en-US" w:eastAsia="zh-CN"/>
              </w:rPr>
              <w:t xml:space="preserve">4.00  </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wordWrap w:val="0"/>
              <w:rPr>
                <w:rFonts w:hint="eastAsia" w:eastAsia="方正书宋_GBK"/>
                <w:lang w:eastAsia="zh-CN"/>
              </w:rPr>
            </w:pPr>
            <w:r>
              <w:rPr>
                <w:rFonts w:hint="eastAsia"/>
                <w:lang w:val="en-US" w:eastAsia="zh-CN"/>
              </w:rPr>
              <w:t xml:space="preserve">2.00 </w:t>
            </w:r>
          </w:p>
        </w:tc>
        <w:tc>
          <w:tcPr>
            <w:tcW w:w="1643" w:type="dxa"/>
            <w:vAlign w:val="center"/>
          </w:tcPr>
          <w:p>
            <w:pPr>
              <w:pStyle w:val="13"/>
              <w:wordWrap w:val="0"/>
              <w:rPr>
                <w:rFonts w:hint="default" w:eastAsia="方正书宋_GBK"/>
                <w:lang w:val="en-US" w:eastAsia="zh-CN"/>
              </w:rPr>
            </w:pPr>
            <w:r>
              <w:rPr>
                <w:rFonts w:hint="eastAsia"/>
                <w:lang w:val="en-US" w:eastAsia="zh-CN"/>
              </w:rPr>
              <w:t>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wordWrap w:val="0"/>
              <w:rPr>
                <w:rFonts w:hint="eastAsia" w:eastAsia="方正书宋_GBK"/>
                <w:lang w:eastAsia="zh-CN"/>
              </w:rPr>
            </w:pPr>
            <w:r>
              <w:rPr>
                <w:rFonts w:hint="eastAsia"/>
                <w:lang w:val="en-US" w:eastAsia="zh-CN"/>
              </w:rPr>
              <w:t xml:space="preserve">2.00 </w:t>
            </w:r>
          </w:p>
        </w:tc>
        <w:tc>
          <w:tcPr>
            <w:tcW w:w="1643" w:type="dxa"/>
            <w:vAlign w:val="center"/>
          </w:tcPr>
          <w:p>
            <w:pPr>
              <w:pStyle w:val="13"/>
              <w:wordWrap w:val="0"/>
              <w:rPr>
                <w:rFonts w:hint="eastAsia" w:eastAsia="方正书宋_GBK"/>
                <w:lang w:eastAsia="zh-CN"/>
              </w:rPr>
            </w:pPr>
            <w:r>
              <w:rPr>
                <w:rFonts w:hint="eastAsia"/>
                <w:lang w:val="en-US" w:eastAsia="zh-CN"/>
              </w:rPr>
              <w:t xml:space="preserve">2.00 </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wordWrap w:val="0"/>
              <w:rPr>
                <w:rFonts w:hint="eastAsia" w:eastAsia="方正书宋_GBK"/>
                <w:lang w:eastAsia="zh-CN"/>
              </w:rPr>
            </w:pPr>
            <w:r>
              <w:rPr>
                <w:rFonts w:hint="eastAsia"/>
                <w:lang w:val="en-US" w:eastAsia="zh-CN"/>
              </w:rPr>
              <w:t xml:space="preserve">2.00 </w:t>
            </w:r>
          </w:p>
        </w:tc>
        <w:tc>
          <w:tcPr>
            <w:tcW w:w="1643" w:type="dxa"/>
            <w:vAlign w:val="center"/>
          </w:tcPr>
          <w:p>
            <w:pPr>
              <w:pStyle w:val="13"/>
              <w:wordWrap w:val="0"/>
              <w:rPr>
                <w:rFonts w:hint="eastAsia" w:eastAsia="方正书宋_GBK"/>
                <w:lang w:eastAsia="zh-CN"/>
              </w:rPr>
            </w:pPr>
            <w:r>
              <w:rPr>
                <w:rFonts w:hint="eastAsia"/>
                <w:lang w:val="en-US" w:eastAsia="zh-CN"/>
              </w:rPr>
              <w:t xml:space="preserve">2.00 </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沙河市信访局2022年部门预算信息公开情况说明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沙河市信访局2022年部门预算信息公开情况说明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8" w:name="_GoBack"/>
      <w:bookmarkEnd w:id="18"/>
      <w:r>
        <w:rPr>
          <w:rFonts w:ascii="Times New Roman" w:hAnsi="Times New Roman" w:eastAsia="方正仿宋_GBK" w:cs="Times New Roman"/>
          <w:color w:val="000000"/>
          <w:sz w:val="28"/>
        </w:rPr>
        <w:t>预算法》、《地方预决算公开操作规程》和《关于进一步推进预算公开工作的实施意见》规定，现将沙河市信访局2022年部门预算公开如下：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（一）研究提出全市信访工作的思路，拟定信访工作有关措施、办法。</w:t>
      </w:r>
    </w:p>
    <w:p>
      <w:pPr>
        <w:pStyle w:val="19"/>
      </w:pPr>
      <w:r>
        <w:t>（二）办理人民群众来信，接待群众来访，查办信访案件；负责市委、市政府人民群众建议征集办公室工作。</w:t>
      </w:r>
    </w:p>
    <w:p>
      <w:pPr>
        <w:pStyle w:val="19"/>
      </w:pPr>
      <w:r>
        <w:t>（三）调查研究和综合分析全市信访形势及信访工作状况，及时向市委、市政府及市委办公室、市政府办公室提出对策和建议。</w:t>
      </w:r>
    </w:p>
    <w:p>
      <w:pPr>
        <w:pStyle w:val="19"/>
      </w:pPr>
      <w:r>
        <w:t>（四）参与组织、协调、指导全市维护社会政治稳定工作，保障国家和省、邢、市重大政治活动的顺利进行，参与处理影响社会政治稳定的突发性、群体性事件。</w:t>
      </w:r>
    </w:p>
    <w:p>
      <w:pPr>
        <w:pStyle w:val="19"/>
      </w:pPr>
      <w:r>
        <w:t>（五）负责对乡（镇、办）党委、政府和市直部门信访工作年度责任目标进行考核，对全市社会治安综合治理和维护社会政治稳定年度责任目标中有关信访工作进行考核。</w:t>
      </w:r>
    </w:p>
    <w:p>
      <w:pPr>
        <w:pStyle w:val="19"/>
      </w:pPr>
      <w:r>
        <w:t>（六）协调国家信访局、省信访局、邢台市信访局处理沙河市群众进京、赴省、到邢上访；协调公安机关维护市委、市政府机关正常工作秩序。</w:t>
      </w:r>
    </w:p>
    <w:p>
      <w:pPr>
        <w:pStyle w:val="19"/>
      </w:pPr>
      <w:r>
        <w:t>（七）督促检查和指导全市各级党委、政府的信访工作，指导全市信访工作的业务建设。</w:t>
      </w:r>
    </w:p>
    <w:p>
      <w:pPr>
        <w:pStyle w:val="19"/>
      </w:pPr>
      <w:r>
        <w:t>（八）负责市级领导信访接待日的组织工作。</w:t>
      </w:r>
    </w:p>
    <w:p>
      <w:pPr>
        <w:pStyle w:val="19"/>
      </w:pPr>
      <w:r>
        <w:t>（九）承办市委、市政府以及上级信访部门交办的有关信访工作事宜。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沙河市信访局</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部门预算的编制实行综合预算管理，即全部收入和支出都反映在预算中。沙河市信访局机关及所属事业单位的收支包含在部门预算中。</w:t>
      </w:r>
    </w:p>
    <w:p>
      <w:pPr>
        <w:pStyle w:val="20"/>
      </w:pPr>
      <w:r>
        <w:t>1、收入说明</w:t>
      </w:r>
    </w:p>
    <w:p>
      <w:pPr>
        <w:pStyle w:val="20"/>
      </w:pPr>
      <w:r>
        <w:t>2022年预算收入407.65万元，其中：一般公共预算收入407.65万元，基金预算拨款0元。</w:t>
      </w:r>
    </w:p>
    <w:p>
      <w:pPr>
        <w:pStyle w:val="20"/>
      </w:pPr>
      <w:r>
        <w:t>2、支出说明</w:t>
      </w:r>
    </w:p>
    <w:p>
      <w:pPr>
        <w:pStyle w:val="20"/>
      </w:pPr>
      <w:r>
        <w:t>2022年支出预算407.65万元，其中基本支出207.15万元，包括人员经费和日常公用经费；项目支出200.5万元，全部为本级支出的信访局运转经费，包括群众工作中心运转经费、信访工作经费和处理信访事件补助经费。</w:t>
      </w:r>
    </w:p>
    <w:p>
      <w:pPr>
        <w:pStyle w:val="20"/>
      </w:pPr>
      <w:r>
        <w:t>3、比上年增减情况</w:t>
      </w:r>
    </w:p>
    <w:p>
      <w:pPr>
        <w:pStyle w:val="20"/>
      </w:pPr>
      <w:r>
        <w:t>2022年预算收支安排407.65万元，较2021年预算增加25.78万元，其中基本支出增加50.28万元，主要为人员经费支出增加；项目支出减少24.5万元，主要为办公楼运转经费减少24.5万元。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机关运行经费共计安排70.9万元，主要用于机关正常运转的办公费、公务交通补贴、福利费、工会经费支出。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rFonts w:hint="eastAsia" w:eastAsia="方正仿宋_GBK"/>
          <w:lang w:val="en-US" w:eastAsia="zh-CN"/>
        </w:rPr>
      </w:pPr>
      <w:r>
        <w:t>2022年，我部门“三公”经费预算安排</w:t>
      </w:r>
      <w:r>
        <w:rPr>
          <w:rFonts w:hint="eastAsia"/>
          <w:lang w:val="en-US" w:eastAsia="zh-CN"/>
        </w:rPr>
        <w:t>4</w:t>
      </w:r>
      <w:r>
        <w:t>万元，其中因公出国（境）费0元；公务用车购置及运维费</w:t>
      </w:r>
      <w:r>
        <w:rPr>
          <w:rFonts w:hint="eastAsia"/>
          <w:lang w:val="en-US" w:eastAsia="zh-CN"/>
        </w:rPr>
        <w:t>2</w:t>
      </w:r>
      <w:r>
        <w:t>万元（公务用车购置费0元，公务用车运维费</w:t>
      </w:r>
      <w:r>
        <w:rPr>
          <w:rFonts w:hint="eastAsia"/>
          <w:lang w:val="en-US" w:eastAsia="zh-CN"/>
        </w:rPr>
        <w:t>2</w:t>
      </w:r>
      <w:r>
        <w:t>万元）；公务接待费</w:t>
      </w:r>
      <w:r>
        <w:rPr>
          <w:rFonts w:hint="eastAsia"/>
          <w:lang w:val="en-US" w:eastAsia="zh-CN"/>
        </w:rPr>
        <w:t>2</w:t>
      </w:r>
      <w:r>
        <w:t>万元。</w:t>
      </w:r>
      <w:r>
        <w:rPr>
          <w:rFonts w:hint="eastAsia"/>
          <w:lang w:eastAsia="zh-CN"/>
        </w:rPr>
        <w:t>与去年持平。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沙河市信访局坚持以习近平新时代中国特色社会主义思想为指引，深入贯彻落实中央、省和市委要求，坚持以群众工作为统揽，全面贯彻《信访工作条例》，以依法及时就地解决问题为核心，全面提升信访工作整体水平，确保北京、省和市信访秩序稳定有序，到京、省集体访接劝率达到100%。做好正常信访、非访、突发性及群体性事件的办理；提供相关服务保障；协助上级信访局处理越级上访；信访事项督查、复查复核、听证工作，进一步提高信访干部业务能力；吸收可行建议，改进信访工作；提高信访信息化应用水平，实现办公自动化、网络化智能化。创新工作体制机制，推动信访部门职能转变。保障信访群众服务中心正常运转，更好维护群众合法权益和社会和谐稳定；确保会议正常召开。</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 xml:space="preserve">（一）保持、加强重要地点接待工作，确保信访秩序稳定。 </w:t>
      </w:r>
    </w:p>
    <w:p>
      <w:pPr>
        <w:pStyle w:val="24"/>
      </w:pPr>
      <w:r>
        <w:t xml:space="preserve">绩效目标：协助有关部门维护好京、省、市等重要地点信访秩序，及时接待群众，引导群众合法合规、平稳有序反映问题。 </w:t>
      </w:r>
    </w:p>
    <w:p>
      <w:pPr>
        <w:pStyle w:val="24"/>
      </w:pPr>
      <w:r>
        <w:t xml:space="preserve">绩效指标：到京、省集体访接劝率达到100%，不发生干扰国家党政机关正常工作生活秩序的信访事项，不发生群体性事件和个人极端恶性事件，不发生被媒体炒作的不良事件。 </w:t>
      </w:r>
    </w:p>
    <w:p>
      <w:pPr>
        <w:pStyle w:val="24"/>
      </w:pPr>
      <w:r>
        <w:t xml:space="preserve">（二）聚焦群众工作，推动各级信访部门职能转变。 </w:t>
      </w:r>
    </w:p>
    <w:p>
      <w:pPr>
        <w:pStyle w:val="24"/>
      </w:pPr>
      <w:r>
        <w:t xml:space="preserve">绩效目标：深化信访工作制度改革，以群众工作统揽信访工作，以各级群众工作委员会和群众工作中心为载体，推动信访部门职能转变，整合相关部门群众工作职能，保障必要办公条件,提高工作效率，确保信访工作正常运转。 </w:t>
      </w:r>
    </w:p>
    <w:p>
      <w:pPr>
        <w:pStyle w:val="24"/>
      </w:pPr>
      <w:r>
        <w:t xml:space="preserve">绩效指标：通过整合重点单位信访部门、约见单位负责人、约见群众等措施，确保信访事项及时受理率达90%、按时办结率达90%以上。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 xml:space="preserve">1.完善制度建设，建立高效工作机制。通过建立和完善周通报、月督查，信访工作责任书的签订，县领导干部接待日计划等，逐渐建立起适应我市经济与社会发展、适应人民群众生活需求的信访工作体系，促进全市经济与社会又好又快地发展。 </w:t>
      </w:r>
    </w:p>
    <w:p>
      <w:pPr>
        <w:pStyle w:val="25"/>
      </w:pPr>
      <w:r>
        <w:t>2.加强支出管理，注重实效。落实中央、省、市实施全面支出管理相关规定，将事前支出评估、支出目标设定、支出跟踪、支出评价及结果运用纳入预算编制、执行、监督全过程。围绕部门职责和事业发展规划，以预算资金为主线，从产出数量、运行成本、管理效率、履职效能、社会效应、可持续发展能力和服务对象满意度等方面，衡量部门整体及核心业务实施效果，推动提高部门推动提高部门整体绩效水平。按要求开展上年度部门预算绩效自评和重点评价工作，对评价中发现的问题及时整改，调整优化支出结构，提高财政资金使用效益。</w:t>
      </w:r>
    </w:p>
    <w:p>
      <w:pPr>
        <w:pStyle w:val="25"/>
      </w:pPr>
      <w:r>
        <w:t>3.加强绩效运行监控。按要求开展绩效运行监控，发现问题及时采取措施，确保绩效目标如期保质实现。</w:t>
      </w:r>
    </w:p>
    <w:p>
      <w:pPr>
        <w:pStyle w:val="25"/>
      </w:pPr>
      <w:r>
        <w:t xml:space="preserve">4.做好绩效自评。按要求开展上年度部门预算绩效自评和重点评价工作，对评价中发现的问题及时整改，调整优化支出结构，提高财政资金使用效益。 </w:t>
      </w:r>
    </w:p>
    <w:p>
      <w:pPr>
        <w:pStyle w:val="25"/>
      </w:pPr>
      <w:r>
        <w:t>5.规范财务资产管理。完善财务管理制度，严格审批流程，加强固定资产登记、使用和报废处置管理，做到支出合理，物尽其用。</w:t>
      </w:r>
    </w:p>
    <w:p>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提高基层服务能力。随着党和政府对信访工作和群众工作的重视程度不断加强，人民群众期的盼也越来越高，信访干部在履职尽责过程中不同程度地存在“能力不足”、“本领恐慌”问题。因此，通过对基层信访工作人员开展信访业务专项培训，不断提高基层信访队伍能力素质，适应做好新时代信访工作新要求。</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line="240" w:lineRule="auto"/>
        <w:ind w:firstLine="640"/>
        <w:jc w:val="left"/>
        <w:outlineLvl w:val="9"/>
      </w:pPr>
      <w:r>
        <w:rPr>
          <w:rFonts w:ascii="方正仿宋_GBK" w:hAnsi="方正仿宋_GBK" w:eastAsia="方正仿宋_GBK" w:cs="方正仿宋_GBK"/>
          <w:b/>
          <w:color w:val="000000"/>
          <w:sz w:val="28"/>
        </w:rPr>
        <w:t>1、处理信访事件补助经费绩效目标表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keepNext w:val="0"/>
              <w:keepLines w:val="0"/>
              <w:pageBreakBefore w:val="0"/>
              <w:kinsoku/>
              <w:wordWrap/>
              <w:overflowPunct/>
              <w:topLinePunct w:val="0"/>
              <w:bidi w:val="0"/>
              <w:snapToGrid/>
              <w:spacing w:line="560" w:lineRule="exact"/>
              <w:jc w:val="left"/>
              <w:rPr>
                <w:rFonts w:hint="eastAsia" w:eastAsia="方正书宋_GBK"/>
                <w:lang w:eastAsia="zh-CN"/>
              </w:rPr>
            </w:pPr>
            <w:r>
              <w:rPr>
                <w:rFonts w:hint="eastAsia" w:ascii="方正书宋_GBK" w:hAnsi="方正书宋_GBK" w:eastAsia="方正书宋_GBK" w:cs="方正书宋_GBK"/>
                <w:b/>
                <w:sz w:val="21"/>
                <w:szCs w:val="24"/>
                <w:lang w:val="en-US" w:eastAsia="uk-UA" w:bidi="ar-SA"/>
              </w:rPr>
              <w:t>处置好影响社会政治稳定的各类越级访、越级集体访、非访</w:t>
            </w:r>
            <w:r>
              <w:rPr>
                <w:rFonts w:hint="eastAsia" w:ascii="方正书宋_GBK" w:hAnsi="方正书宋_GBK" w:eastAsia="方正书宋_GBK" w:cs="方正书宋_GBK"/>
                <w:b/>
                <w:sz w:val="21"/>
                <w:szCs w:val="24"/>
                <w:lang w:val="en-US" w:eastAsia="zh-CN" w:bidi="ar-SA"/>
              </w:rPr>
              <w:t>及</w:t>
            </w:r>
            <w:r>
              <w:rPr>
                <w:rFonts w:hint="eastAsia" w:ascii="方正书宋_GBK" w:hAnsi="方正书宋_GBK" w:eastAsia="方正书宋_GBK" w:cs="方正书宋_GBK"/>
                <w:b/>
                <w:sz w:val="21"/>
                <w:szCs w:val="24"/>
                <w:lang w:val="en-US" w:eastAsia="uk-UA" w:bidi="ar-SA"/>
              </w:rPr>
              <w:t>各类突发性、群体性事件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信访案件复查率</w:t>
            </w:r>
          </w:p>
        </w:tc>
        <w:tc>
          <w:tcPr>
            <w:tcW w:w="2466" w:type="dxa"/>
            <w:vAlign w:val="center"/>
          </w:tcPr>
          <w:p>
            <w:pPr>
              <w:pStyle w:val="14"/>
            </w:pPr>
            <w:r>
              <w:t>信访案件复查率</w:t>
            </w:r>
          </w:p>
        </w:tc>
        <w:tc>
          <w:tcPr>
            <w:tcW w:w="2466" w:type="dxa"/>
            <w:vAlign w:val="center"/>
          </w:tcPr>
          <w:p>
            <w:pPr>
              <w:pStyle w:val="14"/>
            </w:pPr>
            <w:r>
              <w:t>≥90%</w:t>
            </w:r>
          </w:p>
        </w:tc>
        <w:tc>
          <w:tcPr>
            <w:tcW w:w="2466" w:type="dxa"/>
            <w:vAlign w:val="center"/>
          </w:tcPr>
          <w:p>
            <w:pPr>
              <w:pStyle w:val="14"/>
            </w:pPr>
            <w:r>
              <w:t>复查率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信访事项按期结案率</w:t>
            </w:r>
          </w:p>
        </w:tc>
        <w:tc>
          <w:tcPr>
            <w:tcW w:w="2466" w:type="dxa"/>
            <w:vAlign w:val="center"/>
          </w:tcPr>
          <w:p>
            <w:pPr>
              <w:pStyle w:val="14"/>
            </w:pPr>
            <w:r>
              <w:t>信访事项按期结案率</w:t>
            </w:r>
          </w:p>
        </w:tc>
        <w:tc>
          <w:tcPr>
            <w:tcW w:w="2466" w:type="dxa"/>
            <w:vAlign w:val="center"/>
          </w:tcPr>
          <w:p>
            <w:pPr>
              <w:pStyle w:val="14"/>
            </w:pPr>
            <w:r>
              <w:t>≥90%</w:t>
            </w:r>
          </w:p>
        </w:tc>
        <w:tc>
          <w:tcPr>
            <w:tcW w:w="2466"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信访事项受理及时率</w:t>
            </w:r>
          </w:p>
        </w:tc>
        <w:tc>
          <w:tcPr>
            <w:tcW w:w="2466" w:type="dxa"/>
            <w:vAlign w:val="center"/>
          </w:tcPr>
          <w:p>
            <w:pPr>
              <w:pStyle w:val="14"/>
            </w:pPr>
            <w:r>
              <w:t>信访事项受理及时率</w:t>
            </w:r>
          </w:p>
        </w:tc>
        <w:tc>
          <w:tcPr>
            <w:tcW w:w="2466" w:type="dxa"/>
            <w:vAlign w:val="center"/>
          </w:tcPr>
          <w:p>
            <w:pPr>
              <w:pStyle w:val="14"/>
            </w:pPr>
            <w:r>
              <w:t>≥95%</w:t>
            </w:r>
          </w:p>
        </w:tc>
        <w:tc>
          <w:tcPr>
            <w:tcW w:w="2466" w:type="dxa"/>
            <w:vAlign w:val="center"/>
          </w:tcPr>
          <w:p>
            <w:pPr>
              <w:pStyle w:val="14"/>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成本控制率(%)</w:t>
            </w:r>
          </w:p>
        </w:tc>
        <w:tc>
          <w:tcPr>
            <w:tcW w:w="2466" w:type="dxa"/>
            <w:vAlign w:val="center"/>
          </w:tcPr>
          <w:p>
            <w:pPr>
              <w:pStyle w:val="14"/>
            </w:pPr>
            <w:r>
              <w:t>≤85%</w:t>
            </w:r>
          </w:p>
        </w:tc>
        <w:tc>
          <w:tcPr>
            <w:tcW w:w="2466" w:type="dxa"/>
            <w:vAlign w:val="center"/>
          </w:tcPr>
          <w:p>
            <w:pPr>
              <w:pStyle w:val="14"/>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环保信访投诉办结率</w:t>
            </w:r>
          </w:p>
        </w:tc>
        <w:tc>
          <w:tcPr>
            <w:tcW w:w="2466" w:type="dxa"/>
            <w:vAlign w:val="center"/>
          </w:tcPr>
          <w:p>
            <w:pPr>
              <w:pStyle w:val="14"/>
            </w:pPr>
            <w:r>
              <w:t>环保信访投诉办结率</w:t>
            </w:r>
          </w:p>
        </w:tc>
        <w:tc>
          <w:tcPr>
            <w:tcW w:w="2466" w:type="dxa"/>
            <w:vAlign w:val="center"/>
          </w:tcPr>
          <w:p>
            <w:pPr>
              <w:pStyle w:val="14"/>
            </w:pPr>
            <w:r>
              <w:t>≥90%</w:t>
            </w:r>
          </w:p>
        </w:tc>
        <w:tc>
          <w:tcPr>
            <w:tcW w:w="2466" w:type="dxa"/>
            <w:vAlign w:val="center"/>
          </w:tcPr>
          <w:p>
            <w:pPr>
              <w:pStyle w:val="14"/>
            </w:pPr>
            <w:r>
              <w:t>办结率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社会效益提升%</w:t>
            </w:r>
          </w:p>
        </w:tc>
        <w:tc>
          <w:tcPr>
            <w:tcW w:w="2466" w:type="dxa"/>
            <w:vAlign w:val="center"/>
          </w:tcPr>
          <w:p>
            <w:pPr>
              <w:pStyle w:val="14"/>
            </w:pPr>
            <w:r>
              <w:t>社会效益提升%</w:t>
            </w:r>
          </w:p>
        </w:tc>
        <w:tc>
          <w:tcPr>
            <w:tcW w:w="2466" w:type="dxa"/>
            <w:vAlign w:val="center"/>
          </w:tcPr>
          <w:p>
            <w:pPr>
              <w:pStyle w:val="14"/>
            </w:pPr>
            <w:r>
              <w:t>≥90%</w:t>
            </w:r>
          </w:p>
        </w:tc>
        <w:tc>
          <w:tcPr>
            <w:tcW w:w="2466" w:type="dxa"/>
            <w:vAlign w:val="center"/>
          </w:tcPr>
          <w:p>
            <w:pPr>
              <w:pStyle w:val="14"/>
            </w:pPr>
            <w:r>
              <w:t>提升率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信访群众满意度</w:t>
            </w:r>
          </w:p>
        </w:tc>
        <w:tc>
          <w:tcPr>
            <w:tcW w:w="2466" w:type="dxa"/>
            <w:vAlign w:val="center"/>
          </w:tcPr>
          <w:p>
            <w:pPr>
              <w:pStyle w:val="14"/>
            </w:pPr>
            <w:r>
              <w:t>信访群众满意度</w:t>
            </w:r>
          </w:p>
        </w:tc>
        <w:tc>
          <w:tcPr>
            <w:tcW w:w="2466" w:type="dxa"/>
            <w:vAlign w:val="center"/>
          </w:tcPr>
          <w:p>
            <w:pPr>
              <w:pStyle w:val="14"/>
            </w:pPr>
            <w:r>
              <w:t>≥90%</w:t>
            </w:r>
          </w:p>
        </w:tc>
        <w:tc>
          <w:tcPr>
            <w:tcW w:w="2466"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ascii="方正仿宋_GBK" w:hAnsi="方正仿宋_GBK" w:eastAsia="方正仿宋_GBK" w:cs="方正仿宋_GBK"/>
          <w:b/>
          <w:color w:val="000000"/>
          <w:sz w:val="28"/>
        </w:rPr>
        <w:t>2、信访办公楼运转费用绩效目标表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keepNext w:val="0"/>
              <w:keepLines w:val="0"/>
              <w:pageBreakBefore w:val="0"/>
              <w:kinsoku/>
              <w:wordWrap/>
              <w:overflowPunct/>
              <w:topLinePunct w:val="0"/>
              <w:bidi w:val="0"/>
              <w:snapToGrid/>
              <w:spacing w:line="560" w:lineRule="exact"/>
              <w:jc w:val="left"/>
              <w:rPr>
                <w:rFonts w:hint="eastAsia" w:eastAsia="方正书宋_GBK"/>
                <w:lang w:eastAsia="zh-CN"/>
              </w:rPr>
            </w:pPr>
            <w:r>
              <w:rPr>
                <w:rFonts w:hint="eastAsia" w:ascii="方正书宋_GBK" w:hAnsi="方正书宋_GBK" w:eastAsia="方正书宋_GBK" w:cs="方正书宋_GBK"/>
                <w:b/>
                <w:sz w:val="21"/>
                <w:szCs w:val="24"/>
                <w:lang w:val="en-US" w:eastAsia="uk-UA" w:bidi="ar-SA"/>
              </w:rPr>
              <w:t>保障机关正常运转</w:t>
            </w:r>
            <w:r>
              <w:rPr>
                <w:rFonts w:hint="eastAsia" w:ascii="方正书宋_GBK" w:hAnsi="方正书宋_GBK" w:eastAsia="方正书宋_GBK" w:cs="方正书宋_GBK"/>
                <w:b/>
                <w:sz w:val="21"/>
                <w:szCs w:val="24"/>
                <w:lang w:val="en-US" w:eastAsia="zh-CN" w:bidi="ar-SA"/>
              </w:rPr>
              <w:t>；</w:t>
            </w:r>
            <w:r>
              <w:rPr>
                <w:rFonts w:hint="eastAsia" w:ascii="方正书宋_GBK" w:hAnsi="方正书宋_GBK" w:eastAsia="方正书宋_GBK" w:cs="方正书宋_GBK"/>
                <w:b/>
                <w:sz w:val="21"/>
                <w:szCs w:val="24"/>
                <w:lang w:val="en-US" w:eastAsia="uk-UA" w:bidi="ar-SA"/>
              </w:rPr>
              <w:t>提高信访事项办理质量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信访案件复查率</w:t>
            </w:r>
          </w:p>
        </w:tc>
        <w:tc>
          <w:tcPr>
            <w:tcW w:w="2466" w:type="dxa"/>
            <w:vAlign w:val="center"/>
          </w:tcPr>
          <w:p>
            <w:pPr>
              <w:pStyle w:val="14"/>
            </w:pPr>
            <w:r>
              <w:t>信访案件复查率</w:t>
            </w:r>
          </w:p>
        </w:tc>
        <w:tc>
          <w:tcPr>
            <w:tcW w:w="2466" w:type="dxa"/>
            <w:vAlign w:val="center"/>
          </w:tcPr>
          <w:p>
            <w:pPr>
              <w:pStyle w:val="14"/>
            </w:pPr>
            <w:r>
              <w:t>≥90%</w:t>
            </w:r>
          </w:p>
        </w:tc>
        <w:tc>
          <w:tcPr>
            <w:tcW w:w="2466" w:type="dxa"/>
            <w:vAlign w:val="center"/>
          </w:tcPr>
          <w:p>
            <w:pPr>
              <w:pStyle w:val="14"/>
            </w:pPr>
            <w:r>
              <w:t>复查率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信访事项按期结案率</w:t>
            </w:r>
          </w:p>
        </w:tc>
        <w:tc>
          <w:tcPr>
            <w:tcW w:w="2466" w:type="dxa"/>
            <w:vAlign w:val="center"/>
          </w:tcPr>
          <w:p>
            <w:pPr>
              <w:pStyle w:val="14"/>
            </w:pPr>
            <w:r>
              <w:t>信访事项按期结案率</w:t>
            </w:r>
          </w:p>
        </w:tc>
        <w:tc>
          <w:tcPr>
            <w:tcW w:w="2466" w:type="dxa"/>
            <w:vAlign w:val="center"/>
          </w:tcPr>
          <w:p>
            <w:pPr>
              <w:pStyle w:val="14"/>
            </w:pPr>
            <w:r>
              <w:t>≥90%</w:t>
            </w:r>
          </w:p>
        </w:tc>
        <w:tc>
          <w:tcPr>
            <w:tcW w:w="2466"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信访事项受理及时率</w:t>
            </w:r>
          </w:p>
        </w:tc>
        <w:tc>
          <w:tcPr>
            <w:tcW w:w="2466" w:type="dxa"/>
            <w:vAlign w:val="center"/>
          </w:tcPr>
          <w:p>
            <w:pPr>
              <w:pStyle w:val="14"/>
            </w:pPr>
            <w:r>
              <w:t>信访事项受理及时率</w:t>
            </w:r>
          </w:p>
        </w:tc>
        <w:tc>
          <w:tcPr>
            <w:tcW w:w="2466" w:type="dxa"/>
            <w:vAlign w:val="center"/>
          </w:tcPr>
          <w:p>
            <w:pPr>
              <w:pStyle w:val="14"/>
            </w:pPr>
            <w:r>
              <w:t>≥95%</w:t>
            </w:r>
          </w:p>
        </w:tc>
        <w:tc>
          <w:tcPr>
            <w:tcW w:w="2466" w:type="dxa"/>
            <w:vAlign w:val="center"/>
          </w:tcPr>
          <w:p>
            <w:pPr>
              <w:pStyle w:val="14"/>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成本控制率(%)</w:t>
            </w:r>
          </w:p>
        </w:tc>
        <w:tc>
          <w:tcPr>
            <w:tcW w:w="2466" w:type="dxa"/>
            <w:vAlign w:val="center"/>
          </w:tcPr>
          <w:p>
            <w:pPr>
              <w:pStyle w:val="14"/>
            </w:pPr>
            <w:r>
              <w:t>≤85%</w:t>
            </w:r>
          </w:p>
        </w:tc>
        <w:tc>
          <w:tcPr>
            <w:tcW w:w="2466" w:type="dxa"/>
            <w:vAlign w:val="center"/>
          </w:tcPr>
          <w:p>
            <w:pPr>
              <w:pStyle w:val="14"/>
            </w:pPr>
            <w:r>
              <w:t>成本支出比率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环保信访投诉办结率</w:t>
            </w:r>
          </w:p>
        </w:tc>
        <w:tc>
          <w:tcPr>
            <w:tcW w:w="2466" w:type="dxa"/>
            <w:vAlign w:val="center"/>
          </w:tcPr>
          <w:p>
            <w:pPr>
              <w:pStyle w:val="14"/>
            </w:pPr>
            <w:r>
              <w:t>环保信访投诉办结率</w:t>
            </w:r>
          </w:p>
        </w:tc>
        <w:tc>
          <w:tcPr>
            <w:tcW w:w="2466" w:type="dxa"/>
            <w:vAlign w:val="center"/>
          </w:tcPr>
          <w:p>
            <w:pPr>
              <w:pStyle w:val="14"/>
            </w:pPr>
            <w:r>
              <w:t>≥90%</w:t>
            </w:r>
          </w:p>
        </w:tc>
        <w:tc>
          <w:tcPr>
            <w:tcW w:w="2466" w:type="dxa"/>
            <w:vAlign w:val="center"/>
          </w:tcPr>
          <w:p>
            <w:pPr>
              <w:pStyle w:val="14"/>
            </w:pPr>
            <w:r>
              <w:t>办结率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社会效益提升值%</w:t>
            </w:r>
          </w:p>
        </w:tc>
        <w:tc>
          <w:tcPr>
            <w:tcW w:w="2466" w:type="dxa"/>
            <w:vAlign w:val="center"/>
          </w:tcPr>
          <w:p>
            <w:pPr>
              <w:pStyle w:val="14"/>
            </w:pPr>
            <w:r>
              <w:t>社会效益提升值%</w:t>
            </w:r>
          </w:p>
        </w:tc>
        <w:tc>
          <w:tcPr>
            <w:tcW w:w="2466" w:type="dxa"/>
            <w:vAlign w:val="center"/>
          </w:tcPr>
          <w:p>
            <w:pPr>
              <w:pStyle w:val="14"/>
            </w:pPr>
            <w:r>
              <w:t>≥90%</w:t>
            </w:r>
          </w:p>
        </w:tc>
        <w:tc>
          <w:tcPr>
            <w:tcW w:w="2466" w:type="dxa"/>
            <w:vAlign w:val="center"/>
          </w:tcPr>
          <w:p>
            <w:pPr>
              <w:pStyle w:val="14"/>
            </w:pPr>
            <w: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生态效益指标</w:t>
            </w:r>
          </w:p>
        </w:tc>
        <w:tc>
          <w:tcPr>
            <w:tcW w:w="2466" w:type="dxa"/>
            <w:vAlign w:val="center"/>
          </w:tcPr>
          <w:p>
            <w:pPr>
              <w:pStyle w:val="14"/>
            </w:pPr>
            <w:r>
              <w:t>≥90%</w:t>
            </w:r>
          </w:p>
        </w:tc>
        <w:tc>
          <w:tcPr>
            <w:tcW w:w="2466" w:type="dxa"/>
            <w:vAlign w:val="center"/>
          </w:tcPr>
          <w:p>
            <w:pPr>
              <w:pStyle w:val="14"/>
            </w:pPr>
            <w: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≥90%</w:t>
            </w:r>
          </w:p>
        </w:tc>
        <w:tc>
          <w:tcPr>
            <w:tcW w:w="2466" w:type="dxa"/>
            <w:vAlign w:val="center"/>
          </w:tcPr>
          <w:p>
            <w:pPr>
              <w:pStyle w:val="14"/>
            </w:pPr>
            <w: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信访群众满意度</w:t>
            </w:r>
          </w:p>
        </w:tc>
        <w:tc>
          <w:tcPr>
            <w:tcW w:w="2466" w:type="dxa"/>
            <w:vAlign w:val="center"/>
          </w:tcPr>
          <w:p>
            <w:pPr>
              <w:pStyle w:val="14"/>
            </w:pPr>
            <w:r>
              <w:t>信访群众满意度</w:t>
            </w:r>
          </w:p>
        </w:tc>
        <w:tc>
          <w:tcPr>
            <w:tcW w:w="2466" w:type="dxa"/>
            <w:vAlign w:val="center"/>
          </w:tcPr>
          <w:p>
            <w:pPr>
              <w:pStyle w:val="14"/>
            </w:pPr>
            <w:r>
              <w:t>≥95%</w:t>
            </w:r>
          </w:p>
        </w:tc>
        <w:tc>
          <w:tcPr>
            <w:tcW w:w="2466" w:type="dxa"/>
            <w:vAlign w:val="center"/>
          </w:tcPr>
          <w:p>
            <w:pPr>
              <w:pStyle w:val="14"/>
            </w:pPr>
            <w:r>
              <w:t>满意比率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2022年，沙河市信访局安排政府采购预算0.00万元。具体内容见下表。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199沙河市信访局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沙河市信访局（含所属单位）上年末固定资产金额为79.92万元（详见下表）。本年度拟购置固定资产总额为0.00万元，已按要求列入政府采购预算，详见政府采购预算表。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199沙河市信访局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79.92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65.42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E5NWJjNTdjMjJiOWE2NmU4Mzk3ZTU2OTEwZDZjZjQifQ=="/>
  </w:docVars>
  <w:rsids>
    <w:rsidRoot w:val="00000000"/>
    <w:rsid w:val="017E012D"/>
    <w:rsid w:val="0C2661F0"/>
    <w:rsid w:val="0FB54E49"/>
    <w:rsid w:val="18DB7FF0"/>
    <w:rsid w:val="19913657"/>
    <w:rsid w:val="20F2721A"/>
    <w:rsid w:val="2190748C"/>
    <w:rsid w:val="231F124F"/>
    <w:rsid w:val="29435781"/>
    <w:rsid w:val="31191585"/>
    <w:rsid w:val="39F71729"/>
    <w:rsid w:val="3A9160A5"/>
    <w:rsid w:val="40CA2FF3"/>
    <w:rsid w:val="41A05EB7"/>
    <w:rsid w:val="48BE4D56"/>
    <w:rsid w:val="4B676243"/>
    <w:rsid w:val="4C827C94"/>
    <w:rsid w:val="56A838BD"/>
    <w:rsid w:val="58681F62"/>
    <w:rsid w:val="5E2211CE"/>
    <w:rsid w:val="61FE4473"/>
    <w:rsid w:val="621870FC"/>
    <w:rsid w:val="6DA61FEE"/>
    <w:rsid w:val="76BB1E0D"/>
    <w:rsid w:val="79D04BA9"/>
    <w:rsid w:val="7A1E34AC"/>
    <w:rsid w:val="7F935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40"/>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2022-07-27T16:46:31Z</dcterms:created>
  <dcterms:modified xsi:type="dcterms:W3CDTF">2022-07-27T08:46:31Z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2022-07-27T16:46:31Z</dcterms:created>
  <dcterms:modified xsi:type="dcterms:W3CDTF">2022-07-27T08:46:30Z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2022-07-27T16:46:28Z</dcterms:created>
  <dcterms:modified xsi:type="dcterms:W3CDTF">2022-07-27T08:46:28Z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2022-07-27T16:46:29Z</dcterms:created>
  <dcterms:modified xsi:type="dcterms:W3CDTF">2022-07-27T08:46:29Z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2022-07-27T16:46:29Z</dcterms:created>
  <dcterms:modified xsi:type="dcterms:W3CDTF">2022-07-27T08:46:29Z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2022-07-27T16:46:29Z</dcterms:created>
  <dcterms:modified xsi:type="dcterms:W3CDTF">2022-07-27T08:46:29Z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2022-07-27T16:46:28Z</dcterms:created>
  <dcterms:modified xsi:type="dcterms:W3CDTF">2022-07-27T08:46:28Z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2022-07-27T16:46:31Z</dcterms:created>
  <dcterms:modified xsi:type="dcterms:W3CDTF">2022-07-27T08:46:31Z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2022-07-27T16:46:31Z</dcterms:created>
  <dcterms:modified xsi:type="dcterms:W3CDTF">2022-07-27T08:46:31Z</dcterms:modified>
</cp:coreProperties>
</file>

<file path=customXml/itemProps1.xml><?xml version="1.0" encoding="utf-8"?>
<ds:datastoreItem xmlns:ds="http://schemas.openxmlformats.org/officeDocument/2006/customXml" ds:itemID="{09912fa5-3493-4ae9-806d-70062b95d36e}">
  <ds:schemaRefs/>
</ds:datastoreItem>
</file>

<file path=customXml/itemProps10.xml><?xml version="1.0" encoding="utf-8"?>
<ds:datastoreItem xmlns:ds="http://schemas.openxmlformats.org/officeDocument/2006/customXml" ds:itemID="{64be3c23-6179-47dd-9793-a195539893dc}">
  <ds:schemaRefs/>
</ds:datastoreItem>
</file>

<file path=customXml/itemProps11.xml><?xml version="1.0" encoding="utf-8"?>
<ds:datastoreItem xmlns:ds="http://schemas.openxmlformats.org/officeDocument/2006/customXml" ds:itemID="{f68c3d9e-23c2-41c2-ad2a-fdee77ac5561}">
  <ds:schemaRefs/>
</ds:datastoreItem>
</file>

<file path=customXml/itemProps12.xml><?xml version="1.0" encoding="utf-8"?>
<ds:datastoreItem xmlns:ds="http://schemas.openxmlformats.org/officeDocument/2006/customXml" ds:itemID="{c303c8b7-f398-43ab-a5d8-6af1c5a73fd5}">
  <ds:schemaRefs/>
</ds:datastoreItem>
</file>

<file path=customXml/itemProps13.xml><?xml version="1.0" encoding="utf-8"?>
<ds:datastoreItem xmlns:ds="http://schemas.openxmlformats.org/officeDocument/2006/customXml" ds:itemID="{c3d73dc1-d05f-474b-8122-7111ddedb1d4}">
  <ds:schemaRefs/>
</ds:datastoreItem>
</file>

<file path=customXml/itemProps14.xml><?xml version="1.0" encoding="utf-8"?>
<ds:datastoreItem xmlns:ds="http://schemas.openxmlformats.org/officeDocument/2006/customXml" ds:itemID="{f6893921-35d4-46f7-b932-45cd2a759d6f}">
  <ds:schemaRefs/>
</ds:datastoreItem>
</file>

<file path=customXml/itemProps15.xml><?xml version="1.0" encoding="utf-8"?>
<ds:datastoreItem xmlns:ds="http://schemas.openxmlformats.org/officeDocument/2006/customXml" ds:itemID="{86113fc1-c1c5-4d4f-bcdc-187dfa39f66b}">
  <ds:schemaRefs/>
</ds:datastoreItem>
</file>

<file path=customXml/itemProps16.xml><?xml version="1.0" encoding="utf-8"?>
<ds:datastoreItem xmlns:ds="http://schemas.openxmlformats.org/officeDocument/2006/customXml" ds:itemID="{03645477-2690-4b1f-97e5-32627b96d5e4}">
  <ds:schemaRefs/>
</ds:datastoreItem>
</file>

<file path=customXml/itemProps17.xml><?xml version="1.0" encoding="utf-8"?>
<ds:datastoreItem xmlns:ds="http://schemas.openxmlformats.org/officeDocument/2006/customXml" ds:itemID="{ef386e5b-5c36-47f6-9c28-a98bbb505b6e}">
  <ds:schemaRefs/>
</ds:datastoreItem>
</file>

<file path=customXml/itemProps18.xml><?xml version="1.0" encoding="utf-8"?>
<ds:datastoreItem xmlns:ds="http://schemas.openxmlformats.org/officeDocument/2006/customXml" ds:itemID="{77effd54-93b4-47c6-9470-b31b824aacea}">
  <ds:schemaRefs/>
</ds:datastoreItem>
</file>

<file path=customXml/itemProps2.xml><?xml version="1.0" encoding="utf-8"?>
<ds:datastoreItem xmlns:ds="http://schemas.openxmlformats.org/officeDocument/2006/customXml" ds:itemID="{f97bf005-dd8e-467e-b500-751931909851}">
  <ds:schemaRefs/>
</ds:datastoreItem>
</file>

<file path=customXml/itemProps3.xml><?xml version="1.0" encoding="utf-8"?>
<ds:datastoreItem xmlns:ds="http://schemas.openxmlformats.org/officeDocument/2006/customXml" ds:itemID="{2c5db312-d7fe-4a9e-99a3-066792361c2b}">
  <ds:schemaRefs/>
</ds:datastoreItem>
</file>

<file path=customXml/itemProps4.xml><?xml version="1.0" encoding="utf-8"?>
<ds:datastoreItem xmlns:ds="http://schemas.openxmlformats.org/officeDocument/2006/customXml" ds:itemID="{c91c43b5-39ba-4444-9701-f33e370a22b8}">
  <ds:schemaRefs/>
</ds:datastoreItem>
</file>

<file path=customXml/itemProps5.xml><?xml version="1.0" encoding="utf-8"?>
<ds:datastoreItem xmlns:ds="http://schemas.openxmlformats.org/officeDocument/2006/customXml" ds:itemID="{e1b41afd-b4c2-4f7a-bc6e-6d5a038d16e2}">
  <ds:schemaRefs/>
</ds:datastoreItem>
</file>

<file path=customXml/itemProps6.xml><?xml version="1.0" encoding="utf-8"?>
<ds:datastoreItem xmlns:ds="http://schemas.openxmlformats.org/officeDocument/2006/customXml" ds:itemID="{b935b73c-526b-4784-a7c7-f9b878f1a495}">
  <ds:schemaRefs/>
</ds:datastoreItem>
</file>

<file path=customXml/itemProps7.xml><?xml version="1.0" encoding="utf-8"?>
<ds:datastoreItem xmlns:ds="http://schemas.openxmlformats.org/officeDocument/2006/customXml" ds:itemID="{a38946d2-b334-4fcc-82e2-61cd52fc2872}">
  <ds:schemaRefs/>
</ds:datastoreItem>
</file>

<file path=customXml/itemProps8.xml><?xml version="1.0" encoding="utf-8"?>
<ds:datastoreItem xmlns:ds="http://schemas.openxmlformats.org/officeDocument/2006/customXml" ds:itemID="{8f8e2c53-a142-43ed-ad4c-fb41cb447a0b}">
  <ds:schemaRefs/>
</ds:datastoreItem>
</file>

<file path=customXml/itemProps9.xml><?xml version="1.0" encoding="utf-8"?>
<ds:datastoreItem xmlns:ds="http://schemas.openxmlformats.org/officeDocument/2006/customXml" ds:itemID="{b235802e-b474-4fed-9e5e-59b2eb410ff9}">
  <ds:schemaRefs/>
</ds:datastoreItem>
</file>

<file path=docProps/app.xml><?xml version="1.0" encoding="utf-8"?>
<Properties xmlns="http://schemas.openxmlformats.org/officeDocument/2006/extended-properties" xmlns:vt="http://schemas.openxmlformats.org/officeDocument/2006/docPropsVTypes">
  <Pages>69</Pages>
  <Words>12299</Words>
  <Characters>14760</Characters>
  <Lines>0</Lines>
  <Paragraphs>0</Paragraphs>
  <TotalTime>0</TotalTime>
  <ScaleCrop>false</ScaleCrop>
  <LinksUpToDate>false</LinksUpToDate>
  <CharactersWithSpaces>15121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2022-07-27T16:46:00Z</dcterms:created>
  <dc:creator>Administrator</dc:creator>
  <cp:lastModifiedBy>Administrator</cp:lastModifiedBy>
  <dcterms:modified xsi:type="dcterms:W3CDTF">2024-02-02T03:03:34Z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09F90C4C8E4D4ABD9392E80ADACA903F</vt:lpwstr>
  </property>
</Properties>
</file>