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FF0000"/>
          <w:sz w:val="44"/>
          <w:szCs w:val="44"/>
        </w:rPr>
      </w:pPr>
      <w:r>
        <w:rPr>
          <w:rFonts w:hint="eastAsia" w:ascii="方正小标宋简体" w:hAnsi="方正小标宋简体" w:eastAsia="方正小标宋简体" w:cs="方正小标宋简体"/>
          <w:sz w:val="44"/>
          <w:szCs w:val="44"/>
        </w:rPr>
        <w:t>中共沙河市委信访局</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8</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仿宋" w:hAnsi="仿宋" w:eastAsia="仿宋" w:cs="Times New Roman"/>
          <w:sz w:val="32"/>
          <w:szCs w:val="32"/>
        </w:rPr>
      </w:pPr>
      <w:r>
        <w:rPr>
          <w:rFonts w:ascii="仿宋" w:hAnsi="仿宋" w:eastAsia="仿宋" w:cs="Times New Roman"/>
          <w:sz w:val="32"/>
          <w:szCs w:val="32"/>
        </w:rPr>
        <w:t>按照</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中华人民共和国</w:t>
      </w:r>
      <w:r>
        <w:rPr>
          <w:rFonts w:hint="eastAsia" w:ascii="仿宋" w:hAnsi="仿宋" w:eastAsia="仿宋" w:cs="Times New Roman"/>
          <w:sz w:val="32"/>
          <w:szCs w:val="32"/>
        </w:rPr>
        <w:t>预算法》、</w:t>
      </w:r>
      <w:r>
        <w:rPr>
          <w:rFonts w:ascii="仿宋" w:hAnsi="仿宋" w:eastAsia="仿宋" w:cs="Times New Roman"/>
          <w:sz w:val="32"/>
          <w:szCs w:val="32"/>
        </w:rPr>
        <w:t>《地方预决算公开操作规程》</w:t>
      </w:r>
      <w:r>
        <w:rPr>
          <w:rFonts w:hint="eastAsia" w:ascii="仿宋" w:hAnsi="仿宋" w:eastAsia="仿宋" w:cs="Times New Roman"/>
          <w:sz w:val="32"/>
          <w:szCs w:val="32"/>
        </w:rPr>
        <w:t>规定</w:t>
      </w:r>
      <w:r>
        <w:rPr>
          <w:rFonts w:ascii="仿宋" w:hAnsi="仿宋" w:eastAsia="仿宋" w:cs="Times New Roman"/>
          <w:sz w:val="32"/>
          <w:szCs w:val="32"/>
        </w:rPr>
        <w:t>，现将201</w:t>
      </w:r>
      <w:r>
        <w:rPr>
          <w:rFonts w:hint="eastAsia" w:ascii="仿宋" w:hAnsi="仿宋" w:eastAsia="仿宋" w:cs="Times New Roman"/>
          <w:sz w:val="32"/>
          <w:szCs w:val="32"/>
        </w:rPr>
        <w:t>8</w:t>
      </w:r>
      <w:r>
        <w:rPr>
          <w:rFonts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p>
    <w:p>
      <w:pPr>
        <w:spacing w:line="610" w:lineRule="exact"/>
        <w:ind w:firstLine="640"/>
        <w:rPr>
          <w:rFonts w:ascii="仿宋_GB2312" w:eastAsia="仿宋_GB2312"/>
          <w:sz w:val="32"/>
          <w:szCs w:val="32"/>
        </w:rPr>
      </w:pPr>
      <w:r>
        <w:rPr>
          <w:rFonts w:hint="eastAsia" w:ascii="仿宋_GB2312" w:eastAsia="仿宋_GB2312"/>
          <w:sz w:val="32"/>
          <w:szCs w:val="32"/>
        </w:rPr>
        <w:t>（一）</w:t>
      </w:r>
      <w:r>
        <w:rPr>
          <w:rFonts w:hint="eastAsia" w:ascii="仿宋_GB2312" w:hAnsi="仿宋_GB2312" w:eastAsia="仿宋_GB2312" w:cs="仿宋_GB2312"/>
          <w:sz w:val="32"/>
          <w:szCs w:val="32"/>
        </w:rPr>
        <w:t>研究提出全市信访工作的思路，拟定信访工作有关措施、办法。</w:t>
      </w:r>
    </w:p>
    <w:p>
      <w:pPr>
        <w:spacing w:line="610" w:lineRule="exact"/>
        <w:ind w:firstLine="640"/>
        <w:rPr>
          <w:rFonts w:ascii="仿宋_GB2312" w:hAnsi="仿宋_GB2312" w:eastAsia="仿宋_GB2312" w:cs="仿宋_GB2312"/>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办理人民群众来信，接待群众来访，查办信访案件；负责市委、市政府人民群众建议征集办公室工作。</w:t>
      </w:r>
    </w:p>
    <w:p>
      <w:pPr>
        <w:spacing w:line="610" w:lineRule="exact"/>
        <w:ind w:firstLine="640"/>
        <w:rPr>
          <w:rFonts w:ascii="仿宋_GB2312" w:hAnsi="仿宋_GB2312" w:eastAsia="仿宋_GB2312" w:cs="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调查研究和综合分析全市信访形势及信访工作状况，及时向市委、市政府及市委办公室、市政府办公室提出对策和建议。</w:t>
      </w:r>
    </w:p>
    <w:p>
      <w:pPr>
        <w:spacing w:line="610" w:lineRule="exact"/>
        <w:ind w:firstLine="640"/>
        <w:rPr>
          <w:rFonts w:ascii="仿宋_GB2312" w:hAnsi="仿宋_GB2312" w:eastAsia="仿宋_GB2312" w:cs="仿宋_GB2312"/>
          <w:sz w:val="32"/>
          <w:szCs w:val="32"/>
        </w:rPr>
      </w:pPr>
      <w:r>
        <w:rPr>
          <w:rFonts w:hint="eastAsia" w:ascii="仿宋_GB2312" w:eastAsia="仿宋_GB2312"/>
          <w:sz w:val="32"/>
          <w:szCs w:val="32"/>
        </w:rPr>
        <w:t>（四）</w:t>
      </w:r>
      <w:r>
        <w:rPr>
          <w:rFonts w:hint="eastAsia" w:ascii="仿宋_GB2312" w:hAnsi="仿宋_GB2312" w:eastAsia="仿宋_GB2312" w:cs="仿宋_GB2312"/>
          <w:sz w:val="32"/>
          <w:szCs w:val="32"/>
        </w:rPr>
        <w:t>参与组织、协调、指导全市维护社会政治稳定工作，保障国家和省、邢、市重大政治活动的顺利进行，参与处理影响社会政治稳定的突发性、群体性事件。</w:t>
      </w:r>
    </w:p>
    <w:p>
      <w:pPr>
        <w:spacing w:line="610" w:lineRule="exact"/>
        <w:ind w:firstLine="640"/>
        <w:rPr>
          <w:rFonts w:ascii="仿宋_GB2312" w:eastAsia="仿宋_GB2312"/>
          <w:sz w:val="32"/>
          <w:szCs w:val="32"/>
        </w:rPr>
      </w:pPr>
      <w:r>
        <w:rPr>
          <w:rFonts w:hint="eastAsia" w:ascii="仿宋_GB2312" w:eastAsia="仿宋_GB2312"/>
          <w:sz w:val="32"/>
          <w:szCs w:val="32"/>
        </w:rPr>
        <w:t>（五）负责对乡（镇、办）党委、政府和市直部门信访工作年度责任目标进行考核，对全市社会治安综合治理和维护社会政治稳定年度责任目标中有关信访工作进行考核。</w:t>
      </w:r>
    </w:p>
    <w:p>
      <w:pPr>
        <w:spacing w:line="610" w:lineRule="exact"/>
        <w:ind w:firstLine="640"/>
        <w:rPr>
          <w:rFonts w:ascii="仿宋_GB2312" w:eastAsia="仿宋_GB2312"/>
          <w:sz w:val="32"/>
          <w:szCs w:val="32"/>
        </w:rPr>
      </w:pPr>
      <w:r>
        <w:rPr>
          <w:rFonts w:hint="eastAsia" w:ascii="仿宋_GB2312" w:eastAsia="仿宋_GB2312"/>
          <w:sz w:val="32"/>
          <w:szCs w:val="32"/>
        </w:rPr>
        <w:t>（六）协调国家信访局、省信访局、邢台市信访局处理沙河市群众进京、赴省、到邢上访；协调公安机关维护市委、市政府机关正常工作秩序。</w:t>
      </w:r>
    </w:p>
    <w:p>
      <w:pPr>
        <w:spacing w:line="610" w:lineRule="exact"/>
        <w:ind w:firstLine="640"/>
        <w:rPr>
          <w:rFonts w:ascii="仿宋_GB2312" w:eastAsia="仿宋_GB2312"/>
          <w:sz w:val="32"/>
          <w:szCs w:val="32"/>
        </w:rPr>
      </w:pPr>
      <w:r>
        <w:rPr>
          <w:rFonts w:hint="eastAsia" w:ascii="仿宋_GB2312" w:eastAsia="仿宋_GB2312"/>
          <w:sz w:val="32"/>
          <w:szCs w:val="32"/>
        </w:rPr>
        <w:t>（七）督促检查和指导全市各级党委、政府的信访工作，指导全市信访工作的业务建设。</w:t>
      </w:r>
    </w:p>
    <w:p>
      <w:pPr>
        <w:spacing w:line="610" w:lineRule="exact"/>
        <w:ind w:firstLine="640"/>
        <w:rPr>
          <w:rFonts w:ascii="仿宋_GB2312" w:eastAsia="仿宋_GB2312"/>
          <w:sz w:val="32"/>
          <w:szCs w:val="32"/>
        </w:rPr>
      </w:pPr>
      <w:r>
        <w:rPr>
          <w:rFonts w:hint="eastAsia" w:ascii="仿宋_GB2312" w:eastAsia="仿宋_GB2312"/>
          <w:sz w:val="32"/>
          <w:szCs w:val="32"/>
        </w:rPr>
        <w:t>（八）负责市级领导信访接待日的组织工作。</w:t>
      </w:r>
    </w:p>
    <w:p>
      <w:pPr>
        <w:spacing w:line="610" w:lineRule="exact"/>
        <w:ind w:firstLine="640"/>
        <w:rPr>
          <w:rFonts w:ascii="仿宋_GB2312" w:eastAsia="仿宋_GB2312"/>
          <w:sz w:val="32"/>
          <w:szCs w:val="32"/>
        </w:rPr>
      </w:pPr>
      <w:r>
        <w:rPr>
          <w:rFonts w:hint="eastAsia" w:ascii="仿宋_GB2312" w:eastAsia="仿宋_GB2312"/>
          <w:sz w:val="32"/>
          <w:szCs w:val="32"/>
        </w:rPr>
        <w:t>（九）承办市委、市政府和市委办公室、市政府办公室以及上级信访部门交办的有关信访工作事宜。</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tbl>
      <w:tblPr>
        <w:tblStyle w:val="6"/>
        <w:tblW w:w="9096" w:type="dxa"/>
        <w:tblInd w:w="24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62"/>
        <w:gridCol w:w="1667"/>
        <w:gridCol w:w="1845"/>
        <w:gridCol w:w="2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96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单位名称</w:t>
            </w:r>
          </w:p>
        </w:tc>
        <w:tc>
          <w:tcPr>
            <w:tcW w:w="1667"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单位性质</w:t>
            </w:r>
          </w:p>
        </w:tc>
        <w:tc>
          <w:tcPr>
            <w:tcW w:w="1845"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单位规格</w:t>
            </w:r>
          </w:p>
        </w:tc>
        <w:tc>
          <w:tcPr>
            <w:tcW w:w="2622"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962" w:type="dxa"/>
            <w:tcBorders>
              <w:top w:val="nil"/>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中共沙河市委信访局</w:t>
            </w:r>
          </w:p>
        </w:tc>
        <w:tc>
          <w:tcPr>
            <w:tcW w:w="166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行政</w:t>
            </w:r>
          </w:p>
        </w:tc>
        <w:tc>
          <w:tcPr>
            <w:tcW w:w="184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正科级</w:t>
            </w:r>
          </w:p>
        </w:tc>
        <w:tc>
          <w:tcPr>
            <w:tcW w:w="26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财政拨款</w:t>
            </w:r>
          </w:p>
        </w:tc>
      </w:tr>
    </w:tbl>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部门预算的编制实行综合预算制度，即全部收入和支出都反映的预算中</w:t>
      </w:r>
      <w:r>
        <w:rPr>
          <w:rFonts w:hint="eastAsia" w:ascii="Times New Roman" w:hAnsi="Times New Roman" w:eastAsia="仿宋" w:cs="Times New Roman"/>
          <w:sz w:val="32"/>
          <w:szCs w:val="32"/>
        </w:rPr>
        <w:t>，</w:t>
      </w:r>
      <w:r>
        <w:rPr>
          <w:rFonts w:ascii="Times New Roman" w:hAnsi="Times New Roman" w:eastAsia="仿宋" w:cs="Times New Roman"/>
          <w:sz w:val="32"/>
          <w:szCs w:val="32"/>
        </w:rPr>
        <w:t>单位的收支包含在部门预算中。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2018年预算收入335.71万元，其中：一般公共预算收入335.71万元，基金预算拨款0元。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2018年支出预算335.71万元，其中基本支出125.71万元，包括人员经费和日常公用经费；项目支出210万元，全部为本级支出的信访局运转经费，包括群众工作中心运转经费、信访工作经费和处理信访事件补助经费。</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2018年预算收支安排335.71万元，较2017年预算增加117.2万元，其中基本支出增加17.2万元，主要为人员经费支出增加；项目支出增加100万元，主要为处理信访事件补助经费增加100万元。</w:t>
      </w:r>
    </w:p>
    <w:p>
      <w:pPr>
        <w:ind w:firstLine="640"/>
        <w:rPr>
          <w:rFonts w:hint="eastAsia"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8" w:firstLine="620" w:firstLineChars="19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机关运行经费共计安排8.68万元，主要用于机关正常运转的办公费、公务交通补贴、福利费、工会经费支出。</w:t>
      </w:r>
    </w:p>
    <w:p>
      <w:pPr>
        <w:autoSpaceDE w:val="0"/>
        <w:autoSpaceDN w:val="0"/>
        <w:adjustRightInd w:val="0"/>
        <w:ind w:left="18" w:firstLine="620" w:firstLineChars="194"/>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spacing w:line="610" w:lineRule="exact"/>
        <w:ind w:firstLine="640"/>
        <w:rPr>
          <w:rFonts w:ascii="黑体" w:hAnsi="黑体" w:eastAsia="黑体" w:cs="Times New Roman"/>
          <w:sz w:val="32"/>
          <w:szCs w:val="32"/>
        </w:rPr>
      </w:pPr>
      <w:r>
        <w:rPr>
          <w:rFonts w:hint="eastAsia" w:ascii="仿宋_GB2312" w:hAnsi="仿宋_GB2312" w:eastAsia="仿宋_GB2312" w:cs="仿宋_GB2312"/>
          <w:sz w:val="32"/>
          <w:szCs w:val="32"/>
        </w:rPr>
        <w:t>2018年，我部门“三公”经费预算安排4万元，其中因公出国（境）费0元；公务用车购置及运维费2万元（公务用车购置费0元，公务用车运维费2万元）；公务接待费2万元，与2017年相比减少0.4万元。主要原因是我部门认真贯彻落实中央八项规定</w:t>
      </w:r>
      <w:bookmarkStart w:id="1" w:name="_GoBack"/>
      <w:bookmarkEnd w:id="1"/>
      <w:r>
        <w:rPr>
          <w:rFonts w:hint="eastAsia" w:ascii="仿宋_GB2312" w:hAnsi="仿宋_GB2312" w:eastAsia="仿宋_GB2312" w:cs="仿宋_GB2312"/>
          <w:sz w:val="32"/>
          <w:szCs w:val="32"/>
        </w:rPr>
        <w:t>精神和“厉行节俭、反对浪费”等相关条例，细化措施,强化监督,从严规范和控制“三公”经费。今后我部门将一如既往，积极贯彻落实上级有关规定，强化预算管理，严格控制“三公”经费支出。</w:t>
      </w:r>
    </w:p>
    <w:p>
      <w:pPr>
        <w:autoSpaceDE w:val="0"/>
        <w:autoSpaceDN w:val="0"/>
        <w:adjustRightInd w:val="0"/>
        <w:ind w:left="18" w:firstLine="620" w:firstLineChars="194"/>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spacing w:line="610" w:lineRule="exact"/>
        <w:ind w:firstLine="640"/>
        <w:rPr>
          <w:rFonts w:ascii="Times New Roman" w:hAnsi="Times New Roman" w:eastAsia="仿宋" w:cs="Times New Roman"/>
          <w:b/>
          <w:sz w:val="32"/>
          <w:szCs w:val="32"/>
        </w:rPr>
      </w:pPr>
      <w:bookmarkStart w:id="0" w:name="_Toc471398463"/>
      <w:r>
        <w:rPr>
          <w:rFonts w:ascii="Times New Roman" w:hAnsi="Times New Roman" w:eastAsia="仿宋" w:cs="Times New Roman"/>
          <w:b/>
          <w:sz w:val="32"/>
          <w:szCs w:val="32"/>
        </w:rPr>
        <w:t>总体绩效目标：</w:t>
      </w:r>
      <w:r>
        <w:rPr>
          <w:rFonts w:hint="eastAsia" w:ascii="仿宋_GB2312" w:hAnsi="仿宋_GB2312" w:eastAsia="仿宋_GB2312" w:cs="仿宋_GB2312"/>
          <w:sz w:val="32"/>
          <w:szCs w:val="32"/>
        </w:rPr>
        <w:t>2018年，中共沙河市委信访局要继续以邓小平理论、“三个代表”重要思想、科学发展观为指导，深入贯彻落实习近平总书记系列重要讲话和党的十八届三中全会精神，做好正常信访、非访、突发性及群体性事件的办理；提供相关服务保障；协助上级信访局处理越级上访；信访事项督查、复查复核、听证工作，进一步提高信访干部业务能力；吸收可行建议，改进信访工作；提高信访信息化应用水平，实现办公自动化、网络化智能化。保障信访群众服务中心正常运转；确保会议正常召开。</w:t>
      </w:r>
    </w:p>
    <w:p>
      <w:pPr>
        <w:autoSpaceDE w:val="0"/>
        <w:autoSpaceDN w:val="0"/>
        <w:adjustRightInd w:val="0"/>
        <w:ind w:firstLine="643" w:firstLineChars="200"/>
        <w:jc w:val="left"/>
        <w:rPr>
          <w:rFonts w:hint="eastAsia" w:ascii="仿宋_GB2312" w:hAnsi="仿宋_GB2312" w:eastAsia="仿宋_GB2312" w:cs="仿宋_GB2312"/>
          <w:sz w:val="32"/>
          <w:szCs w:val="32"/>
        </w:rPr>
      </w:pPr>
      <w:r>
        <w:rPr>
          <w:rFonts w:ascii="仿宋" w:hAnsi="仿宋" w:eastAsia="仿宋" w:cs="仿宋_GB2312"/>
          <w:b/>
          <w:sz w:val="32"/>
          <w:szCs w:val="32"/>
        </w:rPr>
        <w:t>职责分类绩效目标:</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1、市级领导敞开接访，畅通信访渠道。</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2、及时摸排矛盾隐患，消除不稳定因素。</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3、认真开展化解信访积案专项行动。</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4、加大工作力度，保障“三率”指标提升。</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5、进一步健全完善信访工作制度。</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6、加大对进京“非访”违法行为打击力度。</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7、圆满完成重大敏感时期的信访维稳值班工作。</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8、精心谋划群众工作中心建设</w:t>
      </w:r>
      <w:r>
        <w:rPr>
          <w:rFonts w:hint="eastAsia" w:ascii="仿宋_GB2312" w:hAnsi="仿宋_GB2312" w:eastAsia="仿宋_GB2312" w:cs="仿宋_GB2312"/>
          <w:sz w:val="32"/>
          <w:szCs w:val="32"/>
        </w:rPr>
        <w:t>。</w:t>
      </w:r>
    </w:p>
    <w:p>
      <w:pPr>
        <w:autoSpaceDE w:val="0"/>
        <w:autoSpaceDN w:val="0"/>
        <w:adjustRightInd w:val="0"/>
        <w:ind w:firstLine="640" w:firstLineChars="200"/>
        <w:jc w:val="left"/>
        <w:rPr>
          <w:rFonts w:ascii="Times New Roman" w:hAnsi="Times New Roman" w:eastAsia="仿宋" w:cs="Times New Roman"/>
          <w:b/>
          <w:color w:val="FF0000"/>
          <w:sz w:val="32"/>
          <w:szCs w:val="32"/>
        </w:rPr>
      </w:pPr>
      <w:r>
        <w:rPr>
          <w:rFonts w:ascii="仿宋_GB2312" w:hAnsi="仿宋_GB2312" w:eastAsia="仿宋_GB2312" w:cs="仿宋_GB2312"/>
          <w:sz w:val="32"/>
          <w:szCs w:val="32"/>
        </w:rPr>
        <w:t>9、积极建言献策，提供合理化建议。</w:t>
      </w:r>
    </w:p>
    <w:p>
      <w:pPr>
        <w:autoSpaceDE w:val="0"/>
        <w:autoSpaceDN w:val="0"/>
        <w:adjustRightInd w:val="0"/>
        <w:ind w:firstLine="643" w:firstLineChars="200"/>
        <w:jc w:val="left"/>
        <w:rPr>
          <w:rFonts w:hint="eastAsia" w:ascii="Times New Roman" w:hAnsi="Times New Roman" w:eastAsia="仿宋" w:cs="Times New Roman"/>
          <w:b/>
          <w:sz w:val="32"/>
          <w:szCs w:val="32"/>
        </w:rPr>
      </w:pPr>
      <w:r>
        <w:rPr>
          <w:rFonts w:hint="eastAsia" w:ascii="Times New Roman" w:hAnsi="Times New Roman" w:eastAsia="仿宋" w:cs="Times New Roman"/>
          <w:b/>
          <w:sz w:val="32"/>
          <w:szCs w:val="32"/>
        </w:rPr>
        <w:t>部门职责及工作活动绩效目标指标：</w:t>
      </w:r>
      <w:bookmarkEnd w:id="0"/>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199</w:t>
            </w:r>
            <w:r>
              <w:rPr>
                <w:rFonts w:hint="eastAsia" w:ascii="方正小标宋_GBK" w:eastAsia="方正小标宋_GBK"/>
                <w:sz w:val="24"/>
              </w:rPr>
              <w:t>中共沙河市委信访局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一、信访问题处理</w:t>
            </w:r>
          </w:p>
        </w:tc>
        <w:tc>
          <w:tcPr>
            <w:tcW w:w="1276" w:type="dxa"/>
            <w:vAlign w:val="center"/>
          </w:tcPr>
          <w:p>
            <w:pPr>
              <w:spacing w:line="300" w:lineRule="exact"/>
              <w:jc w:val="left"/>
              <w:rPr>
                <w:rFonts w:ascii="方正书宋_GBK" w:eastAsia="方正书宋_GBK"/>
              </w:rPr>
            </w:pPr>
            <w:r>
              <w:rPr>
                <w:rFonts w:ascii="方正书宋_GBK" w:eastAsia="方正书宋_GBK"/>
              </w:rPr>
              <w:t>210.00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负责正常信访、非访、突发性及群体性事件的办理；提供相关服务保障；协助上级信访局处理越级上访；信访事项督查、复查复核、听证；负责市委市政府交办的其他事项。</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畅通信访渠道，减少信访案件，维护社会和谐稳定。</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、信访业务办理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30.00</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办理人民群众来信、来访、网上信访；协助上级信访局处理越级上访工作。</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畅通信访渠道，提高信访事项办理质量和效率。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信访事项受理及时率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信访事项按期结案率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、处置非访、突发性及群体性事件</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180.00</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处置影响社会政治稳定的各类非访、突发性、群体性事件；负责组织协调、稳控劝返、服务保障我市越级非访工作。承办县联席办的日常工作。</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妥善处置非正常访，维护社会大局和谐稳定。</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信访事项受理及时率</w:t>
            </w: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信访事项按期结案率</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、信访事项督查、复查复核、听证</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负责指导全市信访督查、复查复核、听证等工作，并对相关事项进行审核、上报；负责信访疑难案件的督办。</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推动重要信访事项解决，规范信访事项办理、终结，用好特殊疑难信访问题专项资金。</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解决特殊信访疑难问题件数</w:t>
            </w: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督办信访案件数</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7</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6</w:t>
            </w:r>
          </w:p>
        </w:tc>
        <w:tc>
          <w:tcPr>
            <w:tcW w:w="737" w:type="dxa"/>
            <w:vAlign w:val="center"/>
          </w:tcPr>
          <w:p>
            <w:pPr>
              <w:spacing w:line="300" w:lineRule="exact"/>
              <w:jc w:val="center"/>
              <w:rPr>
                <w:rFonts w:ascii="方正书宋_GBK" w:eastAsia="方正书宋_GBK"/>
              </w:rPr>
            </w:pPr>
            <w:r>
              <w:rPr>
                <w:rFonts w:ascii="方正书宋_GBK" w:eastAsia="方正书宋_GBK"/>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二、信访事务管理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调研提出信访工作对策建议；督促检查和指导全市信访工作；机关日常工作。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进一步提高信访干部业务能力；吸收可行建议，改进信访工作；提高信访信息化应用水平，实现办公自动化、网络化智能化。保障信访群众服务中心正常运转；确保会议正常召开。</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、其他综合事务管理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调研提出信访工作对策建议；督促检查和指导全市信访工作；信息化建设与运维管理；机要邮件正常传递；负责局机关行政后勤、资产、物业管理。</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进一步提高信访干部业务能力；吸收可行建议，改进信访工作；提高信访信息化应用水平。保障机要邮件正常传递和信访群众服务中心正常运转；确保会议正常召开。</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其他各项综合实务工作完成率</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bl>
    <w:p>
      <w:pPr>
        <w:numPr>
          <w:ilvl w:val="0"/>
          <w:numId w:val="1"/>
        </w:numPr>
        <w:autoSpaceDE w:val="0"/>
        <w:autoSpaceDN w:val="0"/>
        <w:adjustRightInd w:val="0"/>
        <w:ind w:left="18" w:firstLine="620" w:firstLineChars="194"/>
        <w:jc w:val="left"/>
        <w:rPr>
          <w:rFonts w:ascii="黑体" w:hAnsi="黑体" w:eastAsia="黑体" w:cs="Times New Roman"/>
          <w:sz w:val="32"/>
          <w:szCs w:val="32"/>
        </w:rPr>
      </w:pPr>
      <w:r>
        <w:rPr>
          <w:rFonts w:hint="eastAsia" w:ascii="黑体" w:hAnsi="黑体" w:eastAsia="黑体" w:cs="Times New Roman"/>
          <w:sz w:val="32"/>
          <w:szCs w:val="32"/>
        </w:rPr>
        <w:t>政府采购预算情况</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本年度我部门未安排政府采购预算。</w:t>
      </w:r>
    </w:p>
    <w:p>
      <w:pPr>
        <w:numPr>
          <w:ilvl w:val="0"/>
          <w:numId w:val="1"/>
        </w:numPr>
        <w:autoSpaceDE w:val="0"/>
        <w:autoSpaceDN w:val="0"/>
        <w:adjustRightInd w:val="0"/>
        <w:ind w:left="18" w:firstLine="620" w:firstLineChars="194"/>
        <w:jc w:val="left"/>
        <w:rPr>
          <w:rFonts w:ascii="黑体" w:hAnsi="黑体" w:eastAsia="黑体" w:cs="Times New Roman"/>
          <w:sz w:val="32"/>
          <w:szCs w:val="32"/>
        </w:rPr>
      </w:pPr>
      <w:r>
        <w:rPr>
          <w:rFonts w:hint="eastAsia" w:ascii="黑体" w:hAnsi="黑体" w:eastAsia="黑体" w:cs="Times New Roman"/>
          <w:sz w:val="32"/>
          <w:szCs w:val="32"/>
        </w:rPr>
        <w:t>国有资产信息</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中共沙河市委信访局上年末固定资产金额为</w:t>
      </w:r>
      <w:r>
        <w:rPr>
          <w:rFonts w:hint="eastAsia" w:ascii="仿宋_GB2312" w:hAnsi="仿宋_GB2312" w:eastAsia="仿宋_GB2312" w:cs="仿宋_GB2312"/>
          <w:sz w:val="32"/>
          <w:szCs w:val="32"/>
          <w:lang w:val="en-US" w:eastAsia="zh-CN"/>
        </w:rPr>
        <w:t>29.9559</w:t>
      </w:r>
      <w:r>
        <w:rPr>
          <w:rFonts w:hint="eastAsia" w:ascii="仿宋_GB2312" w:hAnsi="仿宋_GB2312" w:eastAsia="仿宋_GB2312" w:cs="仿宋_GB2312"/>
          <w:sz w:val="32"/>
          <w:szCs w:val="32"/>
        </w:rPr>
        <w:t>万元，其中房屋面积0平方米，价值0万元；车辆1辆，价值14.5万元，其他固定资产价值</w:t>
      </w:r>
      <w:r>
        <w:rPr>
          <w:rFonts w:hint="eastAsia" w:ascii="仿宋_GB2312" w:hAnsi="仿宋_GB2312" w:eastAsia="仿宋_GB2312" w:cs="仿宋_GB2312"/>
          <w:sz w:val="32"/>
          <w:szCs w:val="32"/>
          <w:lang w:val="en-US" w:eastAsia="zh-CN"/>
        </w:rPr>
        <w:t>15.4559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详见下表：</w:t>
      </w:r>
    </w:p>
    <w:p>
      <w:pPr>
        <w:spacing w:line="610" w:lineRule="exact"/>
        <w:ind w:firstLine="640"/>
        <w:rPr>
          <w:rFonts w:hint="eastAsia" w:ascii="仿宋_GB2312" w:hAnsi="仿宋_GB2312" w:eastAsia="仿宋_GB2312" w:cs="仿宋_GB2312"/>
          <w:sz w:val="32"/>
          <w:szCs w:val="32"/>
        </w:rPr>
      </w:pPr>
    </w:p>
    <w:p>
      <w:pPr>
        <w:spacing w:line="610" w:lineRule="exact"/>
        <w:ind w:firstLine="640"/>
        <w:rPr>
          <w:rFonts w:hint="eastAsia" w:ascii="仿宋_GB2312" w:hAnsi="仿宋_GB2312" w:eastAsia="仿宋_GB2312" w:cs="仿宋_GB2312"/>
          <w:sz w:val="32"/>
          <w:szCs w:val="32"/>
        </w:rPr>
      </w:pPr>
    </w:p>
    <w:p>
      <w:pPr>
        <w:spacing w:line="610" w:lineRule="exact"/>
        <w:ind w:firstLine="640"/>
        <w:rPr>
          <w:rFonts w:hint="eastAsia" w:ascii="仿宋_GB2312" w:hAnsi="仿宋_GB2312" w:eastAsia="仿宋_GB2312" w:cs="仿宋_GB2312"/>
          <w:sz w:val="32"/>
          <w:szCs w:val="32"/>
        </w:rPr>
      </w:pPr>
    </w:p>
    <w:p>
      <w:pPr>
        <w:spacing w:line="610" w:lineRule="exact"/>
        <w:ind w:firstLine="64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国有资产情况表</w:t>
      </w:r>
    </w:p>
    <w:tbl>
      <w:tblPr>
        <w:tblStyle w:val="6"/>
        <w:tblW w:w="91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58"/>
        <w:gridCol w:w="562"/>
        <w:gridCol w:w="1643"/>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585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　　目</w:t>
            </w:r>
          </w:p>
        </w:tc>
        <w:tc>
          <w:tcPr>
            <w:tcW w:w="562" w:type="dxa"/>
            <w:vMerge w:val="restart"/>
            <w:tcBorders>
              <w:top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行次</w:t>
            </w:r>
          </w:p>
        </w:tc>
        <w:tc>
          <w:tcPr>
            <w:tcW w:w="1643" w:type="dxa"/>
            <w:tcBorders>
              <w:top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数量</w:t>
            </w:r>
          </w:p>
        </w:tc>
        <w:tc>
          <w:tcPr>
            <w:tcW w:w="1132" w:type="dxa"/>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jc w:val="center"/>
        </w:trPr>
        <w:tc>
          <w:tcPr>
            <w:tcW w:w="585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562"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643"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年末数</w:t>
            </w:r>
          </w:p>
        </w:tc>
        <w:tc>
          <w:tcPr>
            <w:tcW w:w="11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年末数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固定资产</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643"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w:t>
            </w:r>
          </w:p>
        </w:tc>
        <w:tc>
          <w:tcPr>
            <w:tcW w:w="1132" w:type="dxa"/>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299,559.00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（一）房屋（平方米）</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1.办公用房</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2.业务用房</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3.其他（不含构筑物）</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（二）车辆（台、辆）</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c>
          <w:tcPr>
            <w:tcW w:w="1643" w:type="dxa"/>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132" w:type="dxa"/>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1.轿车</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w:t>
            </w:r>
          </w:p>
        </w:tc>
        <w:tc>
          <w:tcPr>
            <w:tcW w:w="1643" w:type="dxa"/>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132" w:type="dxa"/>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2.越野车</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3.小型载客汽车</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4.大中型载客汽车</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5.其他车型</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13</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（三）单价50万元（含）以上的通用设备（台、套…）</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14</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（四）单价100万元（含）以上的专用设备（台、套…）</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15</w:t>
            </w:r>
          </w:p>
        </w:tc>
        <w:tc>
          <w:tcPr>
            <w:tcW w:w="164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（五）其他固定资产</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16</w:t>
            </w:r>
          </w:p>
        </w:tc>
        <w:tc>
          <w:tcPr>
            <w:tcW w:w="1643"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w:t>
            </w:r>
          </w:p>
        </w:tc>
        <w:tc>
          <w:tcPr>
            <w:tcW w:w="1132" w:type="dxa"/>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154,559.00</w:t>
            </w:r>
          </w:p>
        </w:tc>
      </w:tr>
    </w:tbl>
    <w:p>
      <w:pPr>
        <w:spacing w:line="610" w:lineRule="exact"/>
        <w:ind w:firstLine="640"/>
        <w:rPr>
          <w:rFonts w:hint="eastAsia" w:ascii="仿宋_GB2312" w:hAnsi="仿宋_GB2312" w:eastAsia="仿宋_GB2312" w:cs="仿宋_GB2312"/>
          <w:sz w:val="32"/>
          <w:szCs w:val="32"/>
        </w:rPr>
      </w:pP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本年度无拟购置固定资产。</w:t>
      </w:r>
    </w:p>
    <w:p>
      <w:pPr>
        <w:numPr>
          <w:ilvl w:val="0"/>
          <w:numId w:val="1"/>
        </w:numPr>
        <w:autoSpaceDE w:val="0"/>
        <w:autoSpaceDN w:val="0"/>
        <w:adjustRightInd w:val="0"/>
        <w:ind w:firstLine="640" w:firstLineChars="200"/>
        <w:jc w:val="left"/>
        <w:rPr>
          <w:rFonts w:ascii="Times New Roman" w:hAnsi="Times New Roman" w:eastAsia="仿宋" w:cs="Times New Roman"/>
          <w:sz w:val="32"/>
          <w:szCs w:val="32"/>
        </w:rPr>
      </w:pPr>
      <w:r>
        <w:rPr>
          <w:rFonts w:hint="eastAsia" w:ascii="黑体" w:hAnsi="黑体" w:eastAsia="黑体" w:cs="Times New Roman"/>
          <w:sz w:val="32"/>
          <w:szCs w:val="32"/>
        </w:rPr>
        <w:t>名词解释</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 xml:space="preserve">指从本级财政当年拨付给部门的资金。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 xml:space="preserve">指为保障机构正常运转、完成日常工作任务而发生的人员支出和公用支出。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 xml:space="preserve">指政府部门用财政拨款安排的因公出国（境）费，公务用车购置及运行费和公务接待费。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绩效预算：</w:t>
      </w:r>
      <w:r>
        <w:rPr>
          <w:rFonts w:hint="eastAsia" w:ascii="仿宋_GB2312" w:hAnsi="仿宋_GB2312" w:eastAsia="仿宋_GB2312" w:cs="仿宋_GB2312"/>
          <w:sz w:val="32"/>
          <w:szCs w:val="32"/>
        </w:rPr>
        <w:t>就是政府首先制定有关的事业计划和工程计划，再依据政府职能和施政计划制定计划实施方案，并在成本效益分析的基础上确定实施方案所需费用来编制预算的一种方法。</w:t>
      </w:r>
    </w:p>
    <w:p>
      <w:pPr>
        <w:spacing w:line="610" w:lineRule="exact"/>
        <w:ind w:firstLine="640"/>
        <w:rPr>
          <w:rFonts w:ascii="Times New Roman" w:hAnsi="Times New Roman" w:eastAsia="仿宋" w:cs="Times New Roman"/>
          <w:sz w:val="32"/>
          <w:szCs w:val="32"/>
        </w:rPr>
      </w:pPr>
      <w:r>
        <w:rPr>
          <w:rFonts w:hint="eastAsia" w:ascii="仿宋_GB2312" w:hAnsi="仿宋_GB2312" w:eastAsia="仿宋_GB2312" w:cs="仿宋_GB2312"/>
          <w:b/>
          <w:bCs/>
          <w:sz w:val="32"/>
          <w:szCs w:val="32"/>
        </w:rPr>
        <w:t>政府采购</w:t>
      </w:r>
      <w:r>
        <w:rPr>
          <w:rFonts w:hint="eastAsia" w:ascii="仿宋_GB2312" w:hAnsi="仿宋_GB2312" w:eastAsia="仿宋_GB2312" w:cs="仿宋_GB2312"/>
          <w:sz w:val="32"/>
          <w:szCs w:val="32"/>
        </w:rPr>
        <w:t>：指各级政府为从事日常的政务活动或为了满足公共服务的目的，利用财政性资金和政府借款购买货物、工程和服务的行为。</w:t>
      </w:r>
    </w:p>
    <w:p>
      <w:pPr>
        <w:numPr>
          <w:ilvl w:val="0"/>
          <w:numId w:val="1"/>
        </w:numPr>
        <w:autoSpaceDE w:val="0"/>
        <w:autoSpaceDN w:val="0"/>
        <w:adjustRightInd w:val="0"/>
        <w:ind w:left="18" w:firstLine="620" w:firstLineChars="194"/>
        <w:jc w:val="left"/>
        <w:rPr>
          <w:rFonts w:ascii="Times New Roman" w:hAnsi="Times New Roman" w:eastAsia="仿宋" w:cs="Times New Roman"/>
          <w:sz w:val="32"/>
          <w:szCs w:val="32"/>
        </w:rPr>
      </w:pPr>
      <w:r>
        <w:rPr>
          <w:rFonts w:hint="eastAsia" w:ascii="黑体" w:hAnsi="黑体" w:eastAsia="黑体" w:cs="Times New Roman"/>
          <w:sz w:val="32"/>
          <w:szCs w:val="32"/>
        </w:rPr>
        <w:t>其他需要说明的事项</w:t>
      </w:r>
    </w:p>
    <w:p>
      <w:pPr>
        <w:spacing w:line="610" w:lineRule="exact"/>
        <w:ind w:left="640"/>
        <w:rPr>
          <w:rFonts w:ascii="Times New Roman" w:hAnsi="Times New Roman" w:eastAsia="仿宋" w:cs="Times New Roman"/>
          <w:sz w:val="32"/>
          <w:szCs w:val="32"/>
        </w:rPr>
      </w:pPr>
      <w:r>
        <w:rPr>
          <w:rFonts w:hint="eastAsia" w:ascii="仿宋_GB2312" w:hAnsi="仿宋_GB2312" w:eastAsia="仿宋_GB2312" w:cs="仿宋_GB2312"/>
          <w:color w:val="000000"/>
          <w:sz w:val="32"/>
          <w:szCs w:val="32"/>
        </w:rPr>
        <w:t>无其他需说明事项</w:t>
      </w:r>
    </w:p>
    <w:sectPr>
      <w:pgSz w:w="16838" w:h="11906" w:orient="landscape"/>
      <w:pgMar w:top="1797" w:right="1440" w:bottom="1797"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4B288"/>
    <w:multiLevelType w:val="singleLevel"/>
    <w:tmpl w:val="5A94B288"/>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733F"/>
    <w:rsid w:val="00031F42"/>
    <w:rsid w:val="00040FBA"/>
    <w:rsid w:val="0004490B"/>
    <w:rsid w:val="000604DF"/>
    <w:rsid w:val="000B6658"/>
    <w:rsid w:val="0013228E"/>
    <w:rsid w:val="0026529B"/>
    <w:rsid w:val="0027733F"/>
    <w:rsid w:val="002E4731"/>
    <w:rsid w:val="003277EC"/>
    <w:rsid w:val="00456D84"/>
    <w:rsid w:val="006400DD"/>
    <w:rsid w:val="006D7083"/>
    <w:rsid w:val="008003BA"/>
    <w:rsid w:val="00817B30"/>
    <w:rsid w:val="00956750"/>
    <w:rsid w:val="00AA3E6C"/>
    <w:rsid w:val="00D325C0"/>
    <w:rsid w:val="00F171F2"/>
    <w:rsid w:val="02F7255C"/>
    <w:rsid w:val="030A4EB9"/>
    <w:rsid w:val="05E6755E"/>
    <w:rsid w:val="0EED0002"/>
    <w:rsid w:val="15454E77"/>
    <w:rsid w:val="17384E65"/>
    <w:rsid w:val="291C4CC9"/>
    <w:rsid w:val="39FA016C"/>
    <w:rsid w:val="3BB904B7"/>
    <w:rsid w:val="6A7F0FE5"/>
    <w:rsid w:val="750512C1"/>
    <w:rsid w:val="76EC7F1E"/>
    <w:rsid w:val="7D7779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paragraph" w:customStyle="1" w:styleId="8">
    <w:name w:val="Char"/>
    <w:basedOn w:val="1"/>
    <w:uiPriority w:val="0"/>
    <w:rPr>
      <w:rFonts w:ascii="Times New Roman" w:hAnsi="Times New Roman" w:cs="Times New Roman"/>
      <w:szCs w:val="24"/>
    </w:rPr>
  </w:style>
  <w:style w:type="character" w:customStyle="1" w:styleId="9">
    <w:name w:val="页脚 Char"/>
    <w:link w:val="2"/>
    <w:semiHidden/>
    <w:qFormat/>
    <w:uiPriority w:val="0"/>
    <w:rPr>
      <w:rFonts w:ascii="Times New Roman" w:hAnsi="Times New Roman" w:eastAsia="宋体" w:cs="Times New Roman"/>
      <w:sz w:val="18"/>
      <w:szCs w:val="18"/>
    </w:rPr>
  </w:style>
  <w:style w:type="character" w:customStyle="1" w:styleId="10">
    <w:name w:val="页眉 Char"/>
    <w:link w:val="3"/>
    <w:semiHidden/>
    <w:qFormat/>
    <w:uiPriority w:val="0"/>
    <w:rPr>
      <w:rFonts w:ascii="Times New Roman" w:hAnsi="Times New Roman" w:eastAsia="宋体" w:cs="Times New Roman"/>
      <w:sz w:val="18"/>
      <w:szCs w:val="18"/>
    </w:rPr>
  </w:style>
  <w:style w:type="character" w:customStyle="1" w:styleId="11">
    <w:name w:val="font21"/>
    <w:basedOn w:val="7"/>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468</Words>
  <Characters>2668</Characters>
  <Lines>22</Lines>
  <Paragraphs>6</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2017-01-22T01:29:00Z</dcterms:created>
  <dc:creator>guest</dc:creator>
  <cp:lastModifiedBy>Administrator</cp:lastModifiedBy>
  <cp:lastPrinted>2017-02-09T01:57:00Z</cp:lastPrinted>
  <dcterms:modified xsi:type="dcterms:W3CDTF">2024-02-02T03:08:32Z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DC19CEF8031C44A6A46D4FCDC5CBD176</vt:lpwstr>
  </property>
</Properties>
</file>