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
          <w:kern w:val="0"/>
          <w:sz w:val="32"/>
          <w:szCs w:val="32"/>
          <w:shd w:val="clear" w:color="auto" w:fill="FFFFFF"/>
        </w:rPr>
      </w:pPr>
    </w:p>
    <w:p>
      <w:pPr>
        <w:jc w:val="center"/>
        <w:rPr>
          <w:rFonts w:ascii="仿宋" w:hAnsi="仿宋" w:eastAsia="仿宋" w:cs="仿宋"/>
          <w:b/>
          <w:sz w:val="44"/>
          <w:szCs w:val="44"/>
        </w:rPr>
      </w:pPr>
      <w:r>
        <w:rPr>
          <w:rFonts w:hint="eastAsia" w:ascii="仿宋" w:hAnsi="仿宋" w:eastAsia="仿宋" w:cs="仿宋"/>
          <w:b/>
          <w:sz w:val="44"/>
          <w:szCs w:val="44"/>
        </w:rPr>
        <w:t>沙河市交通运输局</w:t>
      </w:r>
    </w:p>
    <w:p>
      <w:pPr>
        <w:jc w:val="center"/>
        <w:rPr>
          <w:rFonts w:ascii="仿宋" w:hAnsi="仿宋" w:eastAsia="仿宋" w:cs="仿宋"/>
          <w:b/>
          <w:sz w:val="44"/>
          <w:szCs w:val="44"/>
        </w:rPr>
      </w:pPr>
      <w:r>
        <w:rPr>
          <w:rFonts w:hint="eastAsia" w:ascii="仿宋" w:hAnsi="仿宋" w:eastAsia="仿宋" w:cs="仿宋"/>
          <w:b/>
          <w:sz w:val="44"/>
          <w:szCs w:val="44"/>
        </w:rPr>
        <w:t>部门整体支出绩效评价报告</w:t>
      </w:r>
    </w:p>
    <w:p>
      <w:pPr>
        <w:spacing w:line="610" w:lineRule="exact"/>
        <w:ind w:firstLine="640"/>
        <w:rPr>
          <w:rFonts w:ascii="仿宋" w:hAnsi="仿宋" w:eastAsia="仿宋"/>
          <w:b/>
          <w:sz w:val="32"/>
          <w:szCs w:val="32"/>
        </w:rPr>
      </w:pPr>
      <w:r>
        <w:rPr>
          <w:rFonts w:hint="eastAsia" w:ascii="仿宋" w:hAnsi="仿宋" w:eastAsia="仿宋"/>
          <w:b/>
          <w:sz w:val="32"/>
          <w:szCs w:val="32"/>
        </w:rPr>
        <w:t>一、部门职责：</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（一）贯彻实施国家和省、市有关交通运输法律法规、政府规章、政策和标准。根据我市实际，拟定全市公路、水路、城市客运等交通行业管理办法，经市政府批准后组织实施。</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二）负责监督实施有关公路、水路、城市客运行业的国家及省规定的政策和标准；负责全市公路、水路、城市客运行业发展规划、中长期计划和年度计划并组织实施；参与拟定物流业发展规划；指导公路、水路、城市客运行业体制改革。</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（三）承担全市综合运输体系的规划协调，会同有关部门组织编制全市综合运输体系规划，指导交通运输枢纽规划和管理。</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四）承担全市公路、水路、城市客运市场监管责任。组织实施公路、水路、城市客运行业有关政策、准入退出制度、技术标准和运营规范；负责运输市场、运输服务、车辆维修、停车场、搬运装卸、机动车性能检测、机动车驾驶学校和驾驶员培训的行业管理；指导城乡客运及有关设施规划和管理；指导出租汽车行业管理。</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五）承担管辖水域水上交通安全监管责任；负责水上交通管制、船舶及相关水上设施检验、登记和防止污染、船舶与码头设施保安及危险品运输监督管理；依法组织或参与事故调查处理，指导航运、地方海事和船员管理有关事宜。</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（六）负责提出全市交通运输行业固定资产投资规模和方向；负责交通国有资产管理和交通专项资金的管理、使用；负责行业内部审计。</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七）承担全市公路、水路、城市客运建设市场监管责任；组织实施国家、省、市有关公路、水路、城市客运等建设相关政策、制度和技术标准；组织公路及其设施的建设、养护和管理；负责公路、水路等有关重点工程建设、工程质量和安全生产的监管；负责全市交通基本建设项目招投标活动的监督管理。</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八）负责并指导全市公路、水路、城市客运安全生产和应急管理；按规定组织协调国家、省、市和本市重点物资和紧急客货运输；负责市内国、省重点干线公路网运行监测和协调；承担国防交通战备工作；指导行业交通公安工作。</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（九）指导全市交通运输信息化建设，监测分析运行情况，开展相关统计，发布有关信息；组织指导公路、水路、城市客运行业环境保护和节能减排。</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（十）负责全市交通运输行业科技和教育工作，组织科技开发，推动行业技术进步；组织指导交通运输行业精神文明建设。</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（十一）负责全市交通运输行业涉外事宜，指导利用外资；管理公路、水路涉及国际组织的有关事宜；开展国际交通运输经济技术合作与交流。</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（十二）承办市政府交办的其他事项。</w:t>
      </w:r>
    </w:p>
    <w:p>
      <w:pPr>
        <w:ind w:firstLine="630" w:firstLineChars="196"/>
        <w:rPr>
          <w:rFonts w:ascii="仿宋" w:hAnsi="仿宋" w:eastAsia="仿宋" w:cs="仿宋"/>
          <w:b/>
          <w:sz w:val="32"/>
        </w:rPr>
      </w:pPr>
      <w:r>
        <w:rPr>
          <w:rFonts w:hint="eastAsia" w:ascii="仿宋" w:hAnsi="仿宋" w:eastAsia="仿宋" w:cs="仿宋"/>
          <w:b/>
          <w:sz w:val="32"/>
        </w:rPr>
        <w:t>二、组织架构、人员</w:t>
      </w:r>
    </w:p>
    <w:p>
      <w:pPr>
        <w:ind w:firstLine="640" w:firstLineChars="200"/>
        <w:rPr>
          <w:rFonts w:ascii="仿宋" w:hAnsi="仿宋" w:eastAsia="仿宋" w:cs="黑体"/>
          <w:sz w:val="32"/>
          <w:szCs w:val="32"/>
        </w:rPr>
      </w:pPr>
      <w:r>
        <w:rPr>
          <w:rFonts w:hint="eastAsia" w:ascii="仿宋" w:hAnsi="仿宋" w:eastAsia="仿宋" w:cs="黑体"/>
          <w:sz w:val="32"/>
          <w:szCs w:val="32"/>
        </w:rPr>
        <w:t>（一）机关科室（</w:t>
      </w:r>
      <w:r>
        <w:rPr>
          <w:rFonts w:ascii="仿宋" w:hAnsi="仿宋" w:eastAsia="仿宋" w:cs="黑体"/>
          <w:sz w:val="32"/>
          <w:szCs w:val="32"/>
        </w:rPr>
        <w:t>5</w:t>
      </w:r>
      <w:r>
        <w:rPr>
          <w:rFonts w:hint="eastAsia" w:ascii="仿宋" w:hAnsi="仿宋" w:eastAsia="仿宋" w:cs="黑体"/>
          <w:sz w:val="32"/>
          <w:szCs w:val="32"/>
        </w:rPr>
        <w:t>个）：</w:t>
      </w:r>
    </w:p>
    <w:p>
      <w:pPr>
        <w:ind w:firstLine="640" w:firstLineChars="200"/>
        <w:rPr>
          <w:rFonts w:ascii="仿宋" w:hAnsi="仿宋" w:eastAsia="仿宋" w:cs="黑体"/>
          <w:sz w:val="32"/>
          <w:szCs w:val="32"/>
        </w:rPr>
      </w:pPr>
      <w:r>
        <w:rPr>
          <w:rFonts w:hint="eastAsia" w:ascii="仿宋" w:hAnsi="仿宋" w:eastAsia="仿宋" w:cs="黑体"/>
          <w:sz w:val="32"/>
          <w:szCs w:val="32"/>
        </w:rPr>
        <w:t>办公室（安全应急股）、人事教育股（财务股）、综合计划股（重点项目股）。</w:t>
      </w:r>
    </w:p>
    <w:p>
      <w:pPr>
        <w:ind w:firstLine="640" w:firstLineChars="200"/>
        <w:rPr>
          <w:rFonts w:ascii="仿宋" w:hAnsi="仿宋" w:eastAsia="仿宋" w:cs="黑体"/>
          <w:sz w:val="32"/>
          <w:szCs w:val="32"/>
        </w:rPr>
      </w:pPr>
      <w:r>
        <w:rPr>
          <w:rFonts w:hint="eastAsia" w:ascii="仿宋" w:hAnsi="仿宋" w:eastAsia="仿宋" w:cs="黑体"/>
          <w:sz w:val="32"/>
          <w:szCs w:val="32"/>
        </w:rPr>
        <w:t>（二）局属事业单位（</w:t>
      </w:r>
      <w:r>
        <w:rPr>
          <w:rFonts w:ascii="仿宋" w:hAnsi="仿宋" w:eastAsia="仿宋" w:cs="黑体"/>
          <w:sz w:val="32"/>
          <w:szCs w:val="32"/>
        </w:rPr>
        <w:t>4</w:t>
      </w:r>
      <w:r>
        <w:rPr>
          <w:rFonts w:hint="eastAsia" w:ascii="仿宋" w:hAnsi="仿宋" w:eastAsia="仿宋" w:cs="黑体"/>
          <w:sz w:val="32"/>
          <w:szCs w:val="32"/>
        </w:rPr>
        <w:t>个）：</w:t>
      </w:r>
    </w:p>
    <w:p>
      <w:pPr>
        <w:ind w:firstLine="640" w:firstLineChars="200"/>
        <w:rPr>
          <w:rFonts w:ascii="仿宋" w:hAnsi="仿宋" w:eastAsia="仿宋" w:cs="黑体"/>
        </w:rPr>
      </w:pPr>
      <w:r>
        <w:rPr>
          <w:rFonts w:hint="eastAsia" w:ascii="仿宋" w:hAnsi="仿宋" w:eastAsia="仿宋" w:cs="黑体"/>
          <w:sz w:val="32"/>
          <w:szCs w:val="32"/>
        </w:rPr>
        <w:t>沙河市地方道路管理站、沙河市运输管理站（沙河市地方海事处）、沙河市交通运输执法大队（沙河市寄递物流监督管理站）、沙河市农村公路养护管理中心。</w:t>
      </w:r>
    </w:p>
    <w:p>
      <w:pPr>
        <w:ind w:firstLine="643" w:firstLineChars="200"/>
        <w:rPr>
          <w:rFonts w:ascii="仿宋" w:hAnsi="仿宋" w:eastAsia="仿宋" w:cs="仿宋"/>
          <w:sz w:val="32"/>
        </w:rPr>
      </w:pPr>
      <w:r>
        <w:rPr>
          <w:rFonts w:hint="eastAsia" w:ascii="仿宋" w:hAnsi="仿宋" w:eastAsia="仿宋" w:cs="仿宋"/>
          <w:b/>
          <w:sz w:val="32"/>
        </w:rPr>
        <w:t>三、资产情况</w:t>
      </w:r>
      <w:r>
        <w:rPr>
          <w:rFonts w:hint="eastAsia" w:ascii="仿宋" w:hAnsi="仿宋" w:eastAsia="仿宋" w:cs="仿宋"/>
          <w:sz w:val="32"/>
        </w:rPr>
        <w:t>、</w:t>
      </w:r>
    </w:p>
    <w:p>
      <w:pPr>
        <w:spacing w:line="610" w:lineRule="exact"/>
        <w:ind w:firstLine="640"/>
        <w:rPr>
          <w:rFonts w:ascii="仿宋" w:hAnsi="仿宋" w:eastAsia="仿宋" w:cs="宋体"/>
          <w:sz w:val="32"/>
          <w:szCs w:val="32"/>
        </w:rPr>
      </w:pPr>
      <w:r>
        <w:rPr>
          <w:rFonts w:ascii="黑体" w:hAnsi="黑体" w:eastAsia="黑体"/>
          <w:sz w:val="32"/>
          <w:szCs w:val="32"/>
        </w:rPr>
        <w:t xml:space="preserve"> </w:t>
      </w:r>
      <w:r>
        <w:rPr>
          <w:rFonts w:hint="eastAsia" w:ascii="仿宋" w:hAnsi="仿宋" w:eastAsia="仿宋" w:cs="宋体"/>
          <w:sz w:val="32"/>
          <w:szCs w:val="32"/>
        </w:rPr>
        <w:t>沙河市交通运输局上年末固定资产金额为万元，本年度无拟购置固定资产。</w:t>
      </w:r>
    </w:p>
    <w:tbl>
      <w:tblPr>
        <w:tblStyle w:val="8"/>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945"/>
        <w:gridCol w:w="42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453" w:type="dxa"/>
            <w:gridSpan w:val="4"/>
          </w:tcPr>
          <w:p>
            <w:pPr>
              <w:autoSpaceDE w:val="0"/>
              <w:autoSpaceDN w:val="0"/>
              <w:jc w:val="center"/>
              <w:rPr>
                <w:rFonts w:ascii="仿宋" w:hAnsi="仿宋" w:eastAsia="仿宋" w:cs="宋体"/>
                <w:sz w:val="32"/>
                <w:szCs w:val="32"/>
              </w:rPr>
            </w:pPr>
            <w:r>
              <w:rPr>
                <w:rFonts w:hint="eastAsia" w:ascii="仿宋" w:hAnsi="仿宋" w:eastAsia="仿宋" w:cs="宋体"/>
                <w:sz w:val="32"/>
                <w:szCs w:val="32"/>
              </w:rPr>
              <w:t>沙河市交通运输局固定资产占用情况表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833" w:type="dxa"/>
            <w:gridSpan w:val="2"/>
          </w:tcPr>
          <w:p>
            <w:pPr>
              <w:autoSpaceDE w:val="0"/>
              <w:autoSpaceDN w:val="0"/>
              <w:rPr>
                <w:rFonts w:ascii="仿宋" w:hAnsi="仿宋" w:eastAsia="仿宋" w:cs="宋体"/>
                <w:sz w:val="32"/>
                <w:szCs w:val="32"/>
              </w:rPr>
            </w:pPr>
            <w:r>
              <w:rPr>
                <w:rFonts w:hint="eastAsia" w:ascii="仿宋" w:hAnsi="仿宋" w:eastAsia="仿宋" w:cs="宋体"/>
                <w:sz w:val="32"/>
                <w:szCs w:val="32"/>
              </w:rPr>
              <w:t>编制部门：沙河市交通运输局</w:t>
            </w:r>
          </w:p>
        </w:tc>
        <w:tc>
          <w:tcPr>
            <w:tcW w:w="4620" w:type="dxa"/>
            <w:gridSpan w:val="2"/>
          </w:tcPr>
          <w:p>
            <w:pPr>
              <w:autoSpaceDE w:val="0"/>
              <w:autoSpaceDN w:val="0"/>
              <w:rPr>
                <w:rFonts w:ascii="仿宋" w:hAnsi="仿宋" w:eastAsia="仿宋" w:cs="宋体"/>
                <w:sz w:val="32"/>
                <w:szCs w:val="32"/>
              </w:rPr>
            </w:pPr>
            <w:r>
              <w:rPr>
                <w:rFonts w:hint="eastAsia" w:ascii="仿宋" w:hAnsi="仿宋" w:eastAsia="仿宋" w:cs="宋体"/>
                <w:sz w:val="32"/>
                <w:szCs w:val="32"/>
              </w:rPr>
              <w:t>截止时间：</w:t>
            </w:r>
            <w:r>
              <w:rPr>
                <w:rFonts w:ascii="仿宋" w:hAnsi="仿宋" w:eastAsia="仿宋" w:cs="宋体"/>
                <w:sz w:val="32"/>
                <w:szCs w:val="32"/>
              </w:rPr>
              <w:t>2021</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w:t>
            </w:r>
            <w:r>
              <w:rPr>
                <w:rFonts w:ascii="仿宋" w:hAnsi="仿宋" w:eastAsia="仿宋" w:cs="宋体"/>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pPr>
              <w:autoSpaceDE w:val="0"/>
              <w:autoSpaceDN w:val="0"/>
              <w:rPr>
                <w:rFonts w:ascii="仿宋" w:hAnsi="仿宋" w:eastAsia="仿宋" w:cs="宋体"/>
                <w:sz w:val="32"/>
                <w:szCs w:val="32"/>
              </w:rPr>
            </w:pPr>
            <w:r>
              <w:rPr>
                <w:rFonts w:hint="eastAsia" w:ascii="仿宋" w:hAnsi="仿宋" w:eastAsia="仿宋" w:cs="宋体"/>
                <w:sz w:val="32"/>
                <w:szCs w:val="32"/>
              </w:rPr>
              <w:t>项</w:t>
            </w:r>
            <w:r>
              <w:rPr>
                <w:rFonts w:ascii="仿宋" w:hAnsi="仿宋" w:eastAsia="仿宋" w:cs="宋体"/>
                <w:sz w:val="32"/>
                <w:szCs w:val="32"/>
              </w:rPr>
              <w:t xml:space="preserve"> </w:t>
            </w:r>
            <w:r>
              <w:rPr>
                <w:rFonts w:hint="eastAsia" w:ascii="仿宋" w:hAnsi="仿宋" w:eastAsia="仿宋" w:cs="宋体"/>
                <w:sz w:val="32"/>
                <w:szCs w:val="32"/>
              </w:rPr>
              <w:t>目</w:t>
            </w:r>
            <w:r>
              <w:rPr>
                <w:rFonts w:ascii="仿宋" w:hAnsi="仿宋" w:eastAsia="仿宋" w:cs="宋体"/>
                <w:sz w:val="32"/>
                <w:szCs w:val="32"/>
              </w:rPr>
              <w:t xml:space="preserve"> </w:t>
            </w:r>
          </w:p>
        </w:tc>
        <w:tc>
          <w:tcPr>
            <w:tcW w:w="1365" w:type="dxa"/>
            <w:gridSpan w:val="2"/>
          </w:tcPr>
          <w:p>
            <w:pPr>
              <w:autoSpaceDE w:val="0"/>
              <w:autoSpaceDN w:val="0"/>
              <w:rPr>
                <w:rFonts w:ascii="仿宋" w:hAnsi="仿宋" w:eastAsia="仿宋" w:cs="宋体"/>
                <w:sz w:val="32"/>
                <w:szCs w:val="32"/>
              </w:rPr>
            </w:pPr>
            <w:r>
              <w:rPr>
                <w:rFonts w:hint="eastAsia" w:ascii="仿宋" w:hAnsi="仿宋" w:eastAsia="仿宋" w:cs="宋体"/>
                <w:sz w:val="32"/>
                <w:szCs w:val="32"/>
              </w:rPr>
              <w:t>数量</w:t>
            </w:r>
            <w:r>
              <w:rPr>
                <w:rFonts w:ascii="仿宋" w:hAnsi="仿宋" w:eastAsia="仿宋" w:cs="宋体"/>
                <w:sz w:val="32"/>
                <w:szCs w:val="32"/>
              </w:rPr>
              <w:t xml:space="preserve"> </w:t>
            </w:r>
          </w:p>
        </w:tc>
        <w:tc>
          <w:tcPr>
            <w:tcW w:w="4200" w:type="dxa"/>
          </w:tcPr>
          <w:p>
            <w:pPr>
              <w:autoSpaceDE w:val="0"/>
              <w:autoSpaceDN w:val="0"/>
              <w:rPr>
                <w:rFonts w:ascii="仿宋" w:hAnsi="仿宋" w:eastAsia="仿宋" w:cs="宋体"/>
                <w:sz w:val="32"/>
                <w:szCs w:val="32"/>
              </w:rPr>
            </w:pPr>
            <w:r>
              <w:rPr>
                <w:rFonts w:hint="eastAsia" w:ascii="仿宋" w:hAnsi="仿宋" w:eastAsia="仿宋" w:cs="宋体"/>
                <w:sz w:val="32"/>
                <w:szCs w:val="32"/>
              </w:rPr>
              <w:t>价值（金额单位：万元）</w:t>
            </w:r>
            <w:r>
              <w:rPr>
                <w:rFonts w:ascii="仿宋" w:hAnsi="仿宋" w:eastAsia="仿宋" w:cs="宋体"/>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pPr>
              <w:autoSpaceDE w:val="0"/>
              <w:autoSpaceDN w:val="0"/>
              <w:rPr>
                <w:rFonts w:ascii="仿宋" w:hAnsi="仿宋" w:eastAsia="仿宋" w:cs="宋体"/>
                <w:sz w:val="32"/>
                <w:szCs w:val="32"/>
              </w:rPr>
            </w:pPr>
            <w:r>
              <w:rPr>
                <w:rFonts w:hint="eastAsia" w:ascii="仿宋" w:hAnsi="仿宋" w:eastAsia="仿宋" w:cs="宋体"/>
                <w:sz w:val="32"/>
                <w:szCs w:val="32"/>
              </w:rPr>
              <w:t>资产总额</w:t>
            </w:r>
            <w:r>
              <w:rPr>
                <w:rFonts w:ascii="仿宋" w:hAnsi="仿宋" w:eastAsia="仿宋" w:cs="宋体"/>
                <w:sz w:val="32"/>
                <w:szCs w:val="32"/>
              </w:rPr>
              <w:t xml:space="preserve"> </w:t>
            </w:r>
          </w:p>
        </w:tc>
        <w:tc>
          <w:tcPr>
            <w:tcW w:w="1365" w:type="dxa"/>
            <w:gridSpan w:val="2"/>
          </w:tcPr>
          <w:p>
            <w:pPr>
              <w:autoSpaceDE w:val="0"/>
              <w:autoSpaceDN w:val="0"/>
              <w:rPr>
                <w:rFonts w:ascii="仿宋" w:hAnsi="仿宋" w:eastAsia="仿宋" w:cs="宋体"/>
                <w:sz w:val="32"/>
                <w:szCs w:val="32"/>
              </w:rPr>
            </w:pPr>
            <w:r>
              <w:rPr>
                <w:rFonts w:ascii="仿宋" w:hAnsi="仿宋" w:eastAsia="仿宋" w:cs="宋体"/>
                <w:sz w:val="32"/>
                <w:szCs w:val="32"/>
              </w:rPr>
              <w:t xml:space="preserve">—— </w:t>
            </w:r>
          </w:p>
        </w:tc>
        <w:tc>
          <w:tcPr>
            <w:tcW w:w="4200" w:type="dxa"/>
          </w:tcPr>
          <w:p>
            <w:pPr>
              <w:autoSpaceDE w:val="0"/>
              <w:autoSpaceDN w:val="0"/>
              <w:rPr>
                <w:rFonts w:ascii="仿宋" w:hAnsi="仿宋" w:eastAsia="仿宋" w:cs="宋体"/>
                <w:sz w:val="32"/>
                <w:szCs w:val="32"/>
              </w:rPr>
            </w:pPr>
            <w:r>
              <w:rPr>
                <w:rFonts w:ascii="仿宋" w:hAnsi="仿宋" w:eastAsia="仿宋" w:cs="宋体"/>
                <w:sz w:val="32"/>
                <w:szCs w:val="32"/>
              </w:rPr>
              <w:t>1464.89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pPr>
              <w:autoSpaceDE w:val="0"/>
              <w:autoSpaceDN w:val="0"/>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、房屋（平方米）</w:t>
            </w:r>
            <w:r>
              <w:rPr>
                <w:rFonts w:ascii="仿宋" w:hAnsi="仿宋" w:eastAsia="仿宋" w:cs="宋体"/>
                <w:sz w:val="32"/>
                <w:szCs w:val="32"/>
              </w:rPr>
              <w:t xml:space="preserve"> </w:t>
            </w:r>
          </w:p>
        </w:tc>
        <w:tc>
          <w:tcPr>
            <w:tcW w:w="1365" w:type="dxa"/>
            <w:gridSpan w:val="2"/>
          </w:tcPr>
          <w:p>
            <w:pPr>
              <w:autoSpaceDE w:val="0"/>
              <w:autoSpaceDN w:val="0"/>
              <w:rPr>
                <w:rFonts w:ascii="仿宋" w:hAnsi="仿宋" w:eastAsia="仿宋" w:cs="宋体"/>
                <w:sz w:val="32"/>
                <w:szCs w:val="32"/>
              </w:rPr>
            </w:pPr>
            <w:r>
              <w:rPr>
                <w:rFonts w:ascii="仿宋" w:hAnsi="仿宋" w:eastAsia="仿宋" w:cs="宋体"/>
                <w:sz w:val="32"/>
                <w:szCs w:val="32"/>
              </w:rPr>
              <w:t>8520.75</w:t>
            </w:r>
          </w:p>
        </w:tc>
        <w:tc>
          <w:tcPr>
            <w:tcW w:w="4200" w:type="dxa"/>
          </w:tcPr>
          <w:p>
            <w:pPr>
              <w:autoSpaceDE w:val="0"/>
              <w:autoSpaceDN w:val="0"/>
              <w:rPr>
                <w:rFonts w:ascii="仿宋" w:hAnsi="仿宋" w:eastAsia="仿宋" w:cs="宋体"/>
                <w:sz w:val="32"/>
                <w:szCs w:val="32"/>
              </w:rPr>
            </w:pPr>
            <w:r>
              <w:rPr>
                <w:rFonts w:ascii="仿宋" w:hAnsi="仿宋" w:eastAsia="仿宋" w:cs="宋体"/>
                <w:sz w:val="32"/>
                <w:szCs w:val="32"/>
              </w:rPr>
              <w:t>1388.39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pPr>
              <w:autoSpaceDE w:val="0"/>
              <w:autoSpaceDN w:val="0"/>
              <w:rPr>
                <w:rFonts w:ascii="仿宋" w:hAnsi="仿宋" w:eastAsia="仿宋" w:cs="宋体"/>
                <w:sz w:val="32"/>
                <w:szCs w:val="32"/>
              </w:rPr>
            </w:pPr>
            <w:r>
              <w:rPr>
                <w:rFonts w:hint="eastAsia" w:ascii="仿宋" w:hAnsi="仿宋" w:eastAsia="仿宋" w:cs="宋体"/>
                <w:sz w:val="32"/>
                <w:szCs w:val="32"/>
              </w:rPr>
              <w:t>其中：办公用房（平方米）</w:t>
            </w:r>
            <w:r>
              <w:rPr>
                <w:rFonts w:ascii="仿宋" w:hAnsi="仿宋" w:eastAsia="仿宋" w:cs="宋体"/>
                <w:sz w:val="32"/>
                <w:szCs w:val="32"/>
              </w:rPr>
              <w:t xml:space="preserve"> </w:t>
            </w:r>
          </w:p>
        </w:tc>
        <w:tc>
          <w:tcPr>
            <w:tcW w:w="1365" w:type="dxa"/>
            <w:gridSpan w:val="2"/>
          </w:tcPr>
          <w:p>
            <w:pPr>
              <w:autoSpaceDE w:val="0"/>
              <w:autoSpaceDN w:val="0"/>
              <w:rPr>
                <w:rFonts w:ascii="仿宋" w:hAnsi="仿宋" w:eastAsia="仿宋" w:cs="宋体"/>
                <w:sz w:val="32"/>
                <w:szCs w:val="32"/>
              </w:rPr>
            </w:pPr>
            <w:r>
              <w:rPr>
                <w:rFonts w:ascii="仿宋" w:hAnsi="仿宋" w:eastAsia="仿宋" w:cs="宋体"/>
                <w:sz w:val="32"/>
                <w:szCs w:val="32"/>
              </w:rPr>
              <w:t>2482.4</w:t>
            </w:r>
          </w:p>
        </w:tc>
        <w:tc>
          <w:tcPr>
            <w:tcW w:w="4200" w:type="dxa"/>
          </w:tcPr>
          <w:p>
            <w:pPr>
              <w:autoSpaceDE w:val="0"/>
              <w:autoSpaceDN w:val="0"/>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pPr>
              <w:autoSpaceDE w:val="0"/>
              <w:autoSpaceDN w:val="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、车辆（台、辆）</w:t>
            </w:r>
            <w:r>
              <w:rPr>
                <w:rFonts w:ascii="仿宋" w:hAnsi="仿宋" w:eastAsia="仿宋" w:cs="宋体"/>
                <w:sz w:val="32"/>
                <w:szCs w:val="32"/>
              </w:rPr>
              <w:t xml:space="preserve"> </w:t>
            </w:r>
          </w:p>
        </w:tc>
        <w:tc>
          <w:tcPr>
            <w:tcW w:w="1365" w:type="dxa"/>
            <w:gridSpan w:val="2"/>
          </w:tcPr>
          <w:p>
            <w:pPr>
              <w:autoSpaceDE w:val="0"/>
              <w:autoSpaceDN w:val="0"/>
              <w:rPr>
                <w:rFonts w:ascii="仿宋" w:hAnsi="仿宋" w:eastAsia="仿宋" w:cs="宋体"/>
                <w:sz w:val="32"/>
                <w:szCs w:val="32"/>
              </w:rPr>
            </w:pPr>
            <w:r>
              <w:rPr>
                <w:rFonts w:ascii="仿宋" w:hAnsi="仿宋" w:eastAsia="仿宋" w:cs="宋体"/>
                <w:sz w:val="32"/>
                <w:szCs w:val="32"/>
              </w:rPr>
              <w:t>15</w:t>
            </w:r>
          </w:p>
        </w:tc>
        <w:tc>
          <w:tcPr>
            <w:tcW w:w="4200" w:type="dxa"/>
          </w:tcPr>
          <w:p>
            <w:pPr>
              <w:autoSpaceDE w:val="0"/>
              <w:autoSpaceDN w:val="0"/>
              <w:rPr>
                <w:rFonts w:ascii="仿宋" w:hAnsi="仿宋" w:eastAsia="仿宋" w:cs="宋体"/>
                <w:sz w:val="32"/>
                <w:szCs w:val="32"/>
              </w:rPr>
            </w:pPr>
            <w:r>
              <w:rPr>
                <w:rFonts w:ascii="仿宋" w:hAnsi="仿宋" w:eastAsia="仿宋" w:cs="宋体"/>
                <w:sz w:val="32"/>
                <w:szCs w:val="32"/>
              </w:rPr>
              <w:t>46.57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pPr>
              <w:autoSpaceDE w:val="0"/>
              <w:autoSpaceDN w:val="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、其他设备</w:t>
            </w:r>
            <w:r>
              <w:rPr>
                <w:rFonts w:ascii="仿宋" w:hAnsi="仿宋" w:eastAsia="仿宋" w:cs="宋体"/>
                <w:sz w:val="32"/>
                <w:szCs w:val="32"/>
              </w:rPr>
              <w:t xml:space="preserve"> </w:t>
            </w:r>
          </w:p>
        </w:tc>
        <w:tc>
          <w:tcPr>
            <w:tcW w:w="1365" w:type="dxa"/>
            <w:gridSpan w:val="2"/>
          </w:tcPr>
          <w:p>
            <w:pPr>
              <w:autoSpaceDE w:val="0"/>
              <w:autoSpaceDN w:val="0"/>
              <w:rPr>
                <w:rFonts w:ascii="仿宋" w:hAnsi="仿宋" w:eastAsia="仿宋" w:cs="宋体"/>
                <w:sz w:val="32"/>
                <w:szCs w:val="32"/>
              </w:rPr>
            </w:pPr>
          </w:p>
        </w:tc>
        <w:tc>
          <w:tcPr>
            <w:tcW w:w="4200" w:type="dxa"/>
          </w:tcPr>
          <w:p>
            <w:pPr>
              <w:autoSpaceDE w:val="0"/>
              <w:autoSpaceDN w:val="0"/>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pPr>
              <w:autoSpaceDE w:val="0"/>
              <w:autoSpaceDN w:val="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、其他固定资产</w:t>
            </w:r>
            <w:r>
              <w:rPr>
                <w:rFonts w:ascii="仿宋" w:hAnsi="仿宋" w:eastAsia="仿宋" w:cs="宋体"/>
                <w:sz w:val="32"/>
                <w:szCs w:val="32"/>
              </w:rPr>
              <w:t xml:space="preserve"> </w:t>
            </w:r>
          </w:p>
        </w:tc>
        <w:tc>
          <w:tcPr>
            <w:tcW w:w="1365" w:type="dxa"/>
            <w:gridSpan w:val="2"/>
          </w:tcPr>
          <w:p>
            <w:pPr>
              <w:autoSpaceDE w:val="0"/>
              <w:autoSpaceDN w:val="0"/>
              <w:rPr>
                <w:rFonts w:ascii="仿宋" w:hAnsi="仿宋" w:eastAsia="仿宋" w:cs="宋体"/>
                <w:sz w:val="32"/>
                <w:szCs w:val="32"/>
              </w:rPr>
            </w:pPr>
            <w:r>
              <w:rPr>
                <w:rFonts w:ascii="仿宋" w:hAnsi="仿宋" w:eastAsia="仿宋" w:cs="宋体"/>
                <w:sz w:val="32"/>
                <w:szCs w:val="32"/>
              </w:rPr>
              <w:t>528</w:t>
            </w:r>
          </w:p>
        </w:tc>
        <w:tc>
          <w:tcPr>
            <w:tcW w:w="4200" w:type="dxa"/>
          </w:tcPr>
          <w:p>
            <w:pPr>
              <w:autoSpaceDE w:val="0"/>
              <w:autoSpaceDN w:val="0"/>
              <w:rPr>
                <w:rFonts w:ascii="仿宋" w:hAnsi="仿宋" w:eastAsia="仿宋" w:cs="宋体"/>
                <w:sz w:val="32"/>
                <w:szCs w:val="32"/>
              </w:rPr>
            </w:pPr>
            <w:r>
              <w:rPr>
                <w:rFonts w:ascii="仿宋" w:hAnsi="仿宋" w:eastAsia="仿宋" w:cs="宋体"/>
                <w:sz w:val="32"/>
                <w:szCs w:val="32"/>
              </w:rPr>
              <w:t>29.93</w:t>
            </w:r>
          </w:p>
        </w:tc>
      </w:tr>
    </w:tbl>
    <w:p>
      <w:pPr>
        <w:rPr>
          <w:rFonts w:ascii="仿宋" w:hAnsi="仿宋" w:eastAsia="仿宋" w:cs="仿宋"/>
          <w:sz w:val="32"/>
        </w:rPr>
      </w:pPr>
    </w:p>
    <w:p>
      <w:pPr>
        <w:ind w:firstLine="482" w:firstLineChars="150"/>
        <w:rPr>
          <w:rFonts w:ascii="仿宋" w:hAnsi="仿宋" w:eastAsia="仿宋" w:cs="仿宋"/>
          <w:b/>
          <w:sz w:val="32"/>
        </w:rPr>
      </w:pPr>
      <w:r>
        <w:rPr>
          <w:rFonts w:hint="eastAsia" w:ascii="仿宋" w:hAnsi="仿宋" w:eastAsia="仿宋" w:cs="仿宋"/>
          <w:b/>
          <w:sz w:val="32"/>
        </w:rPr>
        <w:t>四、部门履职总体目标与年度整体绩效目标</w:t>
      </w:r>
    </w:p>
    <w:p>
      <w:pPr>
        <w:ind w:firstLine="640" w:firstLineChars="200"/>
        <w:rPr>
          <w:rFonts w:eastAsia="仿宋"/>
          <w:sz w:val="32"/>
          <w:szCs w:val="32"/>
        </w:rPr>
      </w:pPr>
      <w:r>
        <w:rPr>
          <w:rFonts w:hint="eastAsia" w:eastAsia="仿宋"/>
          <w:sz w:val="32"/>
          <w:szCs w:val="32"/>
        </w:rPr>
        <w:t>（一）总体绩效目标</w:t>
      </w:r>
      <w:bookmarkStart w:id="0" w:name="_Toc21232"/>
      <w:bookmarkStart w:id="1" w:name="_Toc22103"/>
      <w:r>
        <w:rPr>
          <w:rFonts w:eastAsia="仿宋"/>
          <w:sz w:val="32"/>
          <w:szCs w:val="32"/>
        </w:rPr>
        <w:fldChar w:fldCharType="begin"/>
      </w:r>
      <w:r>
        <w:rPr>
          <w:rFonts w:eastAsia="仿宋"/>
          <w:sz w:val="32"/>
          <w:szCs w:val="32"/>
        </w:rPr>
        <w:instrText xml:space="preserve">tc "</w:instrText>
      </w:r>
      <w:r>
        <w:rPr>
          <w:rFonts w:hint="eastAsia" w:eastAsia="仿宋"/>
          <w:sz w:val="32"/>
          <w:szCs w:val="32"/>
        </w:rPr>
        <w:instrText xml:space="preserve">总体绩效目标</w:instrText>
      </w:r>
      <w:r>
        <w:rPr>
          <w:rFonts w:eastAsia="仿宋"/>
          <w:sz w:val="32"/>
          <w:szCs w:val="32"/>
        </w:rPr>
        <w:instrText xml:space="preserve">" \f A \l 000000001</w:instrText>
      </w:r>
      <w:r>
        <w:rPr>
          <w:rFonts w:eastAsia="仿宋"/>
          <w:sz w:val="32"/>
          <w:szCs w:val="32"/>
        </w:rPr>
        <w:fldChar w:fldCharType="end"/>
      </w:r>
      <w:bookmarkEnd w:id="0"/>
      <w:bookmarkEnd w:id="1"/>
    </w:p>
    <w:p>
      <w:pPr>
        <w:spacing w:line="500" w:lineRule="exact"/>
        <w:ind w:firstLine="640" w:firstLineChars="200"/>
        <w:jc w:val="left"/>
        <w:rPr>
          <w:rFonts w:eastAsia="仿宋"/>
          <w:sz w:val="32"/>
          <w:szCs w:val="32"/>
        </w:rPr>
      </w:pPr>
      <w:r>
        <w:rPr>
          <w:rFonts w:hint="eastAsia" w:eastAsia="仿宋"/>
          <w:sz w:val="32"/>
          <w:szCs w:val="32"/>
        </w:rPr>
        <w:t>总体目标：强势推进交通项目建设，在提升交通基础设施保障能力上实现新突破；加强客运市场规范运营，在提升交通运输服务水平上实现新突破；发挥精品区引领作用，在提升公路整体养管水平上实现新突破；以争创全国先进为目标，在提升依法行政能力上实现新突破；加大公路污染整治力度，在提升道路运输环境水平上实现新突破；加大安全管理力度，确保全年安全生产形势稳定；认真贯彻落实</w:t>
      </w:r>
      <w:r>
        <w:rPr>
          <w:rFonts w:hint="eastAsia" w:eastAsia="仿宋"/>
          <w:sz w:val="32"/>
          <w:szCs w:val="32"/>
          <w:lang w:eastAsia="zh-CN"/>
        </w:rPr>
        <w:t>党的</w:t>
      </w:r>
      <w:r>
        <w:rPr>
          <w:rFonts w:hint="eastAsia" w:eastAsia="仿宋"/>
          <w:sz w:val="32"/>
          <w:szCs w:val="32"/>
        </w:rPr>
        <w:t>十九大精神，继续推进精神文明建设和廉政建设</w:t>
      </w:r>
    </w:p>
    <w:p>
      <w:pPr>
        <w:spacing w:line="500" w:lineRule="exact"/>
        <w:ind w:firstLine="640" w:firstLineChars="200"/>
        <w:jc w:val="left"/>
        <w:outlineLvl w:val="1"/>
        <w:rPr>
          <w:rFonts w:eastAsia="仿宋"/>
          <w:sz w:val="32"/>
          <w:szCs w:val="32"/>
        </w:rPr>
      </w:pPr>
      <w:r>
        <w:rPr>
          <w:rFonts w:hint="eastAsia" w:eastAsia="仿宋"/>
          <w:sz w:val="32"/>
          <w:szCs w:val="32"/>
        </w:rPr>
        <w:t>（二）分项绩效目标</w:t>
      </w:r>
      <w:bookmarkStart w:id="2" w:name="_Toc23358"/>
      <w:bookmarkStart w:id="3" w:name="_Toc26320"/>
      <w:r>
        <w:rPr>
          <w:rFonts w:eastAsia="仿宋"/>
          <w:sz w:val="32"/>
          <w:szCs w:val="32"/>
        </w:rPr>
        <w:fldChar w:fldCharType="begin"/>
      </w:r>
      <w:r>
        <w:rPr>
          <w:rFonts w:eastAsia="仿宋"/>
          <w:sz w:val="32"/>
          <w:szCs w:val="32"/>
        </w:rPr>
        <w:instrText xml:space="preserve">tc "</w:instrText>
      </w:r>
      <w:r>
        <w:rPr>
          <w:rFonts w:hint="eastAsia" w:eastAsia="仿宋"/>
          <w:sz w:val="32"/>
          <w:szCs w:val="32"/>
        </w:rPr>
        <w:instrText xml:space="preserve">分项绩效目标</w:instrText>
      </w:r>
      <w:r>
        <w:rPr>
          <w:rFonts w:eastAsia="仿宋"/>
          <w:sz w:val="32"/>
          <w:szCs w:val="32"/>
        </w:rPr>
        <w:instrText xml:space="preserve">" \f A \l 000000001</w:instrText>
      </w:r>
      <w:r>
        <w:rPr>
          <w:rFonts w:eastAsia="仿宋"/>
          <w:sz w:val="32"/>
          <w:szCs w:val="32"/>
        </w:rPr>
        <w:fldChar w:fldCharType="end"/>
      </w:r>
      <w:bookmarkEnd w:id="2"/>
      <w:bookmarkEnd w:id="3"/>
    </w:p>
    <w:p>
      <w:pPr>
        <w:spacing w:line="500" w:lineRule="exact"/>
        <w:ind w:firstLine="640" w:firstLineChars="200"/>
        <w:jc w:val="left"/>
        <w:rPr>
          <w:rFonts w:eastAsia="仿宋"/>
          <w:sz w:val="32"/>
          <w:szCs w:val="32"/>
        </w:rPr>
      </w:pPr>
      <w:r>
        <w:rPr>
          <w:rFonts w:eastAsia="仿宋"/>
          <w:sz w:val="32"/>
          <w:szCs w:val="32"/>
        </w:rPr>
        <w:t xml:space="preserve"> </w:t>
      </w:r>
      <w:r>
        <w:rPr>
          <w:rFonts w:hint="eastAsia" w:eastAsia="仿宋"/>
          <w:sz w:val="32"/>
          <w:szCs w:val="32"/>
        </w:rPr>
        <w:t>一是围绕全市中心工作谋划交通项目建设。</w:t>
      </w:r>
    </w:p>
    <w:p>
      <w:pPr>
        <w:spacing w:line="500" w:lineRule="exact"/>
        <w:ind w:firstLine="640" w:firstLineChars="200"/>
        <w:jc w:val="left"/>
        <w:rPr>
          <w:rFonts w:eastAsia="仿宋"/>
          <w:sz w:val="32"/>
          <w:szCs w:val="32"/>
        </w:rPr>
      </w:pPr>
      <w:r>
        <w:rPr>
          <w:rFonts w:hint="eastAsia" w:eastAsia="仿宋"/>
          <w:sz w:val="32"/>
          <w:szCs w:val="32"/>
        </w:rPr>
        <w:t>我们早动手、早安排，围绕全市中心工作，科学谋划项目建设。围绕明年旅发大会谋划了孔渡线至八里峡道路工程、太行山高速峪里下道口连接线工程；围绕乡村振兴谋划了新三川贯通第二期口上至后渐寺段及银河沟至温家园道路工程、农村公路改造提升工程、旧庙柴线（庙王</w:t>
      </w:r>
      <w:r>
        <w:rPr>
          <w:rFonts w:eastAsia="仿宋"/>
          <w:sz w:val="32"/>
          <w:szCs w:val="32"/>
        </w:rPr>
        <w:t>—</w:t>
      </w:r>
      <w:r>
        <w:rPr>
          <w:rFonts w:hint="eastAsia" w:eastAsia="仿宋"/>
          <w:sz w:val="32"/>
          <w:szCs w:val="32"/>
        </w:rPr>
        <w:t>册井）大修工程；围绕道路标准提升谋划了武新线挖补工程、河头至白塔道路工程、沙河市</w:t>
      </w:r>
      <w:r>
        <w:rPr>
          <w:rFonts w:eastAsia="仿宋"/>
          <w:sz w:val="32"/>
          <w:szCs w:val="32"/>
        </w:rPr>
        <w:t>107</w:t>
      </w:r>
      <w:r>
        <w:rPr>
          <w:rFonts w:hint="eastAsia" w:eastAsia="仿宋"/>
          <w:sz w:val="32"/>
          <w:szCs w:val="32"/>
        </w:rPr>
        <w:t>国道（韩庄</w:t>
      </w:r>
      <w:r>
        <w:rPr>
          <w:rFonts w:eastAsia="仿宋"/>
          <w:sz w:val="32"/>
          <w:szCs w:val="32"/>
        </w:rPr>
        <w:t>-</w:t>
      </w:r>
      <w:r>
        <w:rPr>
          <w:rFonts w:hint="eastAsia" w:eastAsia="仿宋"/>
          <w:sz w:val="32"/>
          <w:szCs w:val="32"/>
        </w:rPr>
        <w:t>钢铁路）连接线工程、显德汪公铁立交桥加宽及引道工程，提升交通路网服务水平。</w:t>
      </w:r>
    </w:p>
    <w:p>
      <w:pPr>
        <w:spacing w:line="500" w:lineRule="exact"/>
        <w:ind w:firstLine="640" w:firstLineChars="200"/>
        <w:jc w:val="left"/>
        <w:rPr>
          <w:rFonts w:eastAsia="仿宋"/>
          <w:sz w:val="32"/>
          <w:szCs w:val="32"/>
        </w:rPr>
      </w:pPr>
      <w:r>
        <w:rPr>
          <w:rFonts w:hint="eastAsia" w:eastAsia="仿宋"/>
          <w:sz w:val="32"/>
          <w:szCs w:val="32"/>
        </w:rPr>
        <w:t>二是全力提升公路养管水平。以“四好农村路”建设为总领，全面提升道路养护、管理水平，为全市乡村振兴战略实施当好先行。</w:t>
      </w:r>
    </w:p>
    <w:p>
      <w:pPr>
        <w:spacing w:line="500" w:lineRule="exact"/>
        <w:ind w:firstLine="640" w:firstLineChars="200"/>
        <w:jc w:val="left"/>
        <w:rPr>
          <w:rFonts w:eastAsia="仿宋"/>
          <w:sz w:val="32"/>
          <w:szCs w:val="32"/>
        </w:rPr>
      </w:pPr>
      <w:r>
        <w:rPr>
          <w:rFonts w:hint="eastAsia" w:eastAsia="仿宋"/>
          <w:sz w:val="32"/>
          <w:szCs w:val="32"/>
        </w:rPr>
        <w:t>三是提高公共交通服务能力。进一步优化公交线路，切实提高服务质量；加快白塔客运站建设，完善西部地区客运网络，加强镇村公交发展，打通山区群众出行“最后一公里”。</w:t>
      </w:r>
    </w:p>
    <w:p>
      <w:pPr>
        <w:spacing w:line="500" w:lineRule="exact"/>
        <w:ind w:firstLine="640" w:firstLineChars="200"/>
        <w:jc w:val="left"/>
        <w:rPr>
          <w:rFonts w:eastAsia="仿宋"/>
          <w:sz w:val="32"/>
          <w:szCs w:val="32"/>
        </w:rPr>
      </w:pPr>
      <w:r>
        <w:rPr>
          <w:rFonts w:hint="eastAsia" w:eastAsia="仿宋"/>
          <w:sz w:val="32"/>
          <w:szCs w:val="32"/>
        </w:rPr>
        <w:t>四是加强公路扬尘治理力度。严格按照市政府大气污染防治工作要求，做好公路扬尘治理、联合执法、汽修厂管控等工作，积极谋划城市清洁交通建设，推进绿色公交发展。</w:t>
      </w:r>
    </w:p>
    <w:p>
      <w:pPr>
        <w:spacing w:line="500" w:lineRule="exact"/>
        <w:ind w:firstLine="640" w:firstLineChars="200"/>
        <w:jc w:val="left"/>
        <w:rPr>
          <w:rFonts w:eastAsia="仿宋"/>
          <w:sz w:val="32"/>
          <w:szCs w:val="32"/>
        </w:rPr>
      </w:pPr>
      <w:r>
        <w:rPr>
          <w:rFonts w:hint="eastAsia" w:eastAsia="仿宋"/>
          <w:sz w:val="32"/>
          <w:szCs w:val="32"/>
        </w:rPr>
        <w:t>五是毫不松懈抓好交通领域安全生产及信访稳定。持续发力抓实交通运输领域安全生产和信访稳定工作，确保行业持续稳定发展。</w:t>
      </w:r>
    </w:p>
    <w:p>
      <w:pPr>
        <w:spacing w:line="500" w:lineRule="exact"/>
        <w:ind w:firstLine="640" w:firstLineChars="200"/>
        <w:jc w:val="left"/>
        <w:outlineLvl w:val="1"/>
        <w:rPr>
          <w:rFonts w:eastAsia="仿宋"/>
          <w:sz w:val="32"/>
          <w:szCs w:val="32"/>
        </w:rPr>
      </w:pPr>
      <w:r>
        <w:rPr>
          <w:rFonts w:hint="eastAsia" w:eastAsia="仿宋"/>
          <w:sz w:val="32"/>
          <w:szCs w:val="32"/>
        </w:rPr>
        <w:t>（三）工作保障措施</w:t>
      </w:r>
      <w:bookmarkStart w:id="4" w:name="_Toc5253"/>
      <w:bookmarkStart w:id="5" w:name="_Toc11234"/>
      <w:r>
        <w:rPr>
          <w:rFonts w:eastAsia="仿宋"/>
          <w:sz w:val="32"/>
          <w:szCs w:val="32"/>
        </w:rPr>
        <w:fldChar w:fldCharType="begin"/>
      </w:r>
      <w:r>
        <w:rPr>
          <w:rFonts w:eastAsia="仿宋"/>
          <w:sz w:val="32"/>
          <w:szCs w:val="32"/>
        </w:rPr>
        <w:instrText xml:space="preserve">tc "</w:instrText>
      </w:r>
      <w:r>
        <w:rPr>
          <w:rFonts w:hint="eastAsia" w:eastAsia="仿宋"/>
          <w:sz w:val="32"/>
          <w:szCs w:val="32"/>
        </w:rPr>
        <w:instrText xml:space="preserve">工作保障措施</w:instrText>
      </w:r>
      <w:r>
        <w:rPr>
          <w:rFonts w:eastAsia="仿宋"/>
          <w:sz w:val="32"/>
          <w:szCs w:val="32"/>
        </w:rPr>
        <w:instrText xml:space="preserve">" \f A \l 000000001</w:instrText>
      </w:r>
      <w:r>
        <w:rPr>
          <w:rFonts w:eastAsia="仿宋"/>
          <w:sz w:val="32"/>
          <w:szCs w:val="32"/>
        </w:rPr>
        <w:fldChar w:fldCharType="end"/>
      </w:r>
      <w:bookmarkEnd w:id="4"/>
      <w:bookmarkEnd w:id="5"/>
    </w:p>
    <w:p>
      <w:pPr>
        <w:spacing w:line="500" w:lineRule="exact"/>
        <w:ind w:firstLine="640" w:firstLineChars="200"/>
        <w:jc w:val="left"/>
        <w:rPr>
          <w:rFonts w:eastAsia="仿宋"/>
          <w:sz w:val="32"/>
          <w:szCs w:val="32"/>
        </w:rPr>
      </w:pPr>
      <w:r>
        <w:rPr>
          <w:rFonts w:eastAsia="仿宋"/>
          <w:sz w:val="32"/>
          <w:szCs w:val="32"/>
        </w:rPr>
        <w:t>1</w:t>
      </w:r>
      <w:r>
        <w:rPr>
          <w:rFonts w:hint="eastAsia" w:eastAsia="仿宋"/>
          <w:sz w:val="32"/>
          <w:szCs w:val="32"/>
        </w:rPr>
        <w:t>、强势推进交通项目建设，在提升交通基础设施保障能力上实现新突破。</w:t>
      </w:r>
    </w:p>
    <w:p>
      <w:pPr>
        <w:spacing w:line="500" w:lineRule="exact"/>
        <w:ind w:firstLine="640" w:firstLineChars="200"/>
        <w:jc w:val="left"/>
        <w:rPr>
          <w:rFonts w:eastAsia="仿宋"/>
          <w:sz w:val="32"/>
          <w:szCs w:val="32"/>
        </w:rPr>
      </w:pPr>
      <w:r>
        <w:rPr>
          <w:rFonts w:eastAsia="仿宋"/>
          <w:sz w:val="32"/>
          <w:szCs w:val="32"/>
        </w:rPr>
        <w:t>2</w:t>
      </w:r>
      <w:r>
        <w:rPr>
          <w:rFonts w:hint="eastAsia" w:eastAsia="仿宋"/>
          <w:sz w:val="32"/>
          <w:szCs w:val="32"/>
        </w:rPr>
        <w:t>、加强客运市场规范运营，在提升交通运输服务水平上实现新突破。</w:t>
      </w:r>
    </w:p>
    <w:p>
      <w:pPr>
        <w:spacing w:line="500" w:lineRule="exact"/>
        <w:ind w:firstLine="640" w:firstLineChars="200"/>
        <w:jc w:val="left"/>
        <w:rPr>
          <w:rFonts w:eastAsia="仿宋"/>
          <w:sz w:val="32"/>
          <w:szCs w:val="32"/>
        </w:rPr>
      </w:pPr>
      <w:r>
        <w:rPr>
          <w:rFonts w:hint="eastAsia" w:eastAsia="仿宋"/>
          <w:sz w:val="32"/>
          <w:szCs w:val="32"/>
        </w:rPr>
        <w:t>一是巩固提升公共交通服务提升年活动，做好</w:t>
      </w:r>
      <w:r>
        <w:rPr>
          <w:rFonts w:eastAsia="仿宋"/>
          <w:sz w:val="32"/>
          <w:szCs w:val="32"/>
        </w:rPr>
        <w:t>197</w:t>
      </w:r>
      <w:r>
        <w:rPr>
          <w:rFonts w:hint="eastAsia" w:eastAsia="仿宋"/>
          <w:sz w:val="32"/>
          <w:szCs w:val="32"/>
        </w:rPr>
        <w:t>辆纯电动公交车的规范运营工作，加大对公交、出租从业人员的培训，通过正面引导、典型示范，全面提升公交、出租从业人员文明服务意识和水平；开展出租车服务质量考核、公交车月评，规范城市公共客运服务行为，提高服务质量，擦亮交通“全国文明单位”品牌窗口。二是积极争取列入纯电动出租车县级城市试点，逐步淘汰燃油出租。三是加强客运场站管理，提升管理水平，积极拓展提升公交客运线路资源，积极搞好与长途城际公交线路的对接。</w:t>
      </w:r>
    </w:p>
    <w:p>
      <w:pPr>
        <w:spacing w:line="500" w:lineRule="exact"/>
        <w:ind w:firstLine="640" w:firstLineChars="200"/>
        <w:jc w:val="left"/>
        <w:rPr>
          <w:rFonts w:eastAsia="仿宋"/>
          <w:sz w:val="32"/>
          <w:szCs w:val="32"/>
        </w:rPr>
      </w:pPr>
      <w:r>
        <w:rPr>
          <w:rFonts w:eastAsia="仿宋"/>
          <w:sz w:val="32"/>
          <w:szCs w:val="32"/>
        </w:rPr>
        <w:t>3</w:t>
      </w:r>
      <w:r>
        <w:rPr>
          <w:rFonts w:hint="eastAsia" w:eastAsia="仿宋"/>
          <w:sz w:val="32"/>
          <w:szCs w:val="32"/>
        </w:rPr>
        <w:t>、发挥精品区引领作用，在提升公路整体养管水平上实现新突破。继续按照“干线标准化、农村公路干线化”的要求，进一步提升公路养管水平，实现“有路必养，养管一流”目标。巩固提升精品区建设示范成果，重点打造柴关精品区，实现农村公路养护管理的高标准、全覆盖。</w:t>
      </w:r>
    </w:p>
    <w:p>
      <w:pPr>
        <w:spacing w:line="500" w:lineRule="exact"/>
        <w:ind w:firstLine="640" w:firstLineChars="200"/>
        <w:jc w:val="left"/>
        <w:rPr>
          <w:rFonts w:eastAsia="仿宋"/>
          <w:sz w:val="32"/>
          <w:szCs w:val="32"/>
        </w:rPr>
      </w:pPr>
      <w:r>
        <w:rPr>
          <w:rFonts w:eastAsia="仿宋"/>
          <w:sz w:val="32"/>
          <w:szCs w:val="32"/>
        </w:rPr>
        <w:t>4</w:t>
      </w:r>
      <w:r>
        <w:rPr>
          <w:rFonts w:hint="eastAsia" w:eastAsia="仿宋"/>
          <w:sz w:val="32"/>
          <w:szCs w:val="32"/>
        </w:rPr>
        <w:t>、以争创全国先进为目标，在提升依法行政能力上实现新突破。</w:t>
      </w:r>
    </w:p>
    <w:p>
      <w:pPr>
        <w:spacing w:line="500" w:lineRule="exact"/>
        <w:ind w:firstLine="640" w:firstLineChars="200"/>
        <w:jc w:val="left"/>
        <w:rPr>
          <w:rFonts w:eastAsia="仿宋"/>
          <w:sz w:val="32"/>
          <w:szCs w:val="32"/>
        </w:rPr>
      </w:pPr>
      <w:r>
        <w:rPr>
          <w:rFonts w:hint="eastAsia" w:eastAsia="仿宋"/>
          <w:sz w:val="32"/>
          <w:szCs w:val="32"/>
        </w:rPr>
        <w:t>以争创行政执法全国先进为目标，全面提升依法行政能力。一是切实提高依法行政能力，进一步推进“三基三化”建设，开展执法评议考核，完善权责一致、行为规范、运转协调、科学高效的行政执法体制。二是强化科技执法，完善网上执法办案及信息查询系统，强化科技装备在交通执法中的应用。三是打造服务型执法机关，开展重要决策合法性审查，推行执法公开，规范自由裁量权，完善事中事后监管制度。四是综合调配执法力量，加大执法力度，营造良好的道路通行环境。</w:t>
      </w:r>
    </w:p>
    <w:p>
      <w:pPr>
        <w:spacing w:line="500" w:lineRule="exact"/>
        <w:ind w:firstLine="640" w:firstLineChars="200"/>
        <w:jc w:val="left"/>
        <w:rPr>
          <w:rFonts w:eastAsia="仿宋"/>
          <w:sz w:val="32"/>
          <w:szCs w:val="32"/>
        </w:rPr>
      </w:pPr>
      <w:r>
        <w:rPr>
          <w:rFonts w:eastAsia="仿宋"/>
          <w:sz w:val="32"/>
          <w:szCs w:val="32"/>
        </w:rPr>
        <w:t>5</w:t>
      </w:r>
      <w:r>
        <w:rPr>
          <w:rFonts w:hint="eastAsia" w:eastAsia="仿宋"/>
          <w:sz w:val="32"/>
          <w:szCs w:val="32"/>
        </w:rPr>
        <w:t>、加大公路污染整治力度，在提升道路运输环境水平上实现新突破。</w:t>
      </w:r>
    </w:p>
    <w:p>
      <w:pPr>
        <w:spacing w:line="500" w:lineRule="exact"/>
        <w:ind w:firstLine="640" w:firstLineChars="200"/>
        <w:jc w:val="left"/>
        <w:rPr>
          <w:rFonts w:eastAsia="仿宋"/>
          <w:sz w:val="32"/>
          <w:szCs w:val="32"/>
        </w:rPr>
      </w:pPr>
      <w:r>
        <w:rPr>
          <w:rFonts w:hint="eastAsia" w:eastAsia="仿宋"/>
          <w:sz w:val="32"/>
          <w:szCs w:val="32"/>
        </w:rPr>
        <w:t>按照全市安排部署，做好道路、工程建设、车辆运输管理等方面大气污染防治工作，同时积极配合交警部门继续保持路面治理超限超载、抛洒遗漏高压态势，严格执行“一超四罚”制度，坚决杜绝违规车辆上路行驶。</w:t>
      </w:r>
    </w:p>
    <w:p>
      <w:pPr>
        <w:spacing w:line="500" w:lineRule="exact"/>
        <w:ind w:firstLine="640" w:firstLineChars="200"/>
        <w:jc w:val="left"/>
        <w:rPr>
          <w:rFonts w:eastAsia="仿宋"/>
          <w:sz w:val="32"/>
          <w:szCs w:val="32"/>
        </w:rPr>
      </w:pPr>
      <w:r>
        <w:rPr>
          <w:rFonts w:eastAsia="仿宋"/>
          <w:sz w:val="32"/>
          <w:szCs w:val="32"/>
        </w:rPr>
        <w:t>6</w:t>
      </w:r>
      <w:r>
        <w:rPr>
          <w:rFonts w:hint="eastAsia" w:eastAsia="仿宋"/>
          <w:sz w:val="32"/>
          <w:szCs w:val="32"/>
        </w:rPr>
        <w:t>、加大安全管理力度，确保全年安全生产形势稳定。</w:t>
      </w:r>
    </w:p>
    <w:p>
      <w:pPr>
        <w:spacing w:line="500" w:lineRule="exact"/>
        <w:ind w:firstLine="640" w:firstLineChars="200"/>
        <w:jc w:val="left"/>
        <w:rPr>
          <w:rFonts w:eastAsia="仿宋"/>
          <w:sz w:val="32"/>
          <w:szCs w:val="32"/>
        </w:rPr>
      </w:pPr>
      <w:r>
        <w:rPr>
          <w:rFonts w:eastAsia="仿宋"/>
          <w:sz w:val="32"/>
          <w:szCs w:val="32"/>
        </w:rPr>
        <w:t xml:space="preserve"> </w:t>
      </w:r>
      <w:r>
        <w:rPr>
          <w:rFonts w:hint="eastAsia" w:eastAsia="仿宋"/>
          <w:sz w:val="32"/>
          <w:szCs w:val="32"/>
        </w:rPr>
        <w:t>深入开展“安全生产年”、“安全生产月”等活动，严格按照要求开展专项治理，加强从业人员的安全教育。组织开展应急预案的完善和应急演练，夯实安全发展基础，千方百计确保旅客运输、危货运输、水上运输安全以及汛期安全。</w:t>
      </w:r>
    </w:p>
    <w:p>
      <w:pPr>
        <w:spacing w:line="500" w:lineRule="exact"/>
        <w:ind w:firstLine="640" w:firstLineChars="200"/>
        <w:jc w:val="left"/>
        <w:rPr>
          <w:rFonts w:eastAsia="仿宋"/>
          <w:sz w:val="32"/>
          <w:szCs w:val="32"/>
        </w:rPr>
      </w:pPr>
      <w:r>
        <w:rPr>
          <w:rFonts w:eastAsia="仿宋"/>
          <w:sz w:val="32"/>
          <w:szCs w:val="32"/>
        </w:rPr>
        <w:t>7</w:t>
      </w:r>
      <w:r>
        <w:rPr>
          <w:rFonts w:hint="eastAsia" w:eastAsia="仿宋"/>
          <w:sz w:val="32"/>
          <w:szCs w:val="32"/>
        </w:rPr>
        <w:t>、认真贯彻落实</w:t>
      </w:r>
      <w:r>
        <w:rPr>
          <w:rFonts w:hint="eastAsia" w:eastAsia="仿宋"/>
          <w:sz w:val="32"/>
          <w:szCs w:val="32"/>
          <w:lang w:eastAsia="zh-CN"/>
        </w:rPr>
        <w:t>党的</w:t>
      </w:r>
      <w:r>
        <w:rPr>
          <w:rFonts w:hint="eastAsia" w:eastAsia="仿宋"/>
          <w:sz w:val="32"/>
          <w:szCs w:val="32"/>
        </w:rPr>
        <w:t>十九大精神，继续推进精神文明建设和廉政建设。</w:t>
      </w:r>
    </w:p>
    <w:p>
      <w:pPr>
        <w:spacing w:line="500" w:lineRule="exact"/>
        <w:ind w:firstLine="640" w:firstLineChars="200"/>
        <w:jc w:val="left"/>
        <w:rPr>
          <w:rFonts w:eastAsia="仿宋"/>
          <w:sz w:val="32"/>
          <w:szCs w:val="32"/>
        </w:rPr>
      </w:pPr>
      <w:r>
        <w:rPr>
          <w:rFonts w:hint="eastAsia" w:eastAsia="仿宋"/>
          <w:sz w:val="32"/>
          <w:szCs w:val="32"/>
        </w:rPr>
        <w:t>一是认真贯彻落实党的十九大精神，在学懂、弄通、做实上下功夫，努力推进交通运输事业开启新征程、续写新篇章；巩固提升大讨论活动成果，使事争一流、唯旗是夺成为普遍行为和自觉追求，推动每一项工作在邢台、全省乃至全国争创一流，打造更多工作亮点。二是把巩固提升全国文明单位成果贯穿行业管理全过程，坚持内强素质、外树形象，加大对行业干部职工、运输从业人员的教育管理培训力度，强化大局意识，服务意识，深入挖掘和宣传反映交通运输行业先进典型，发挥先进典型的示范引路作用，打造文化交通、文明交通，不断增强凝聚力、战斗力、向心力。三是认真落实党风廉政建设主体责任，深入推进惩治和预防腐败体系建设，进一步深化党课教育、廉政教育、岗位警示教育，推进廉政风险防控扩面覆盖，努力提高廉政风险防范整体水平。进一步创新监督机制，不断完善党务公开、政务公开、账务公开</w:t>
      </w:r>
      <w:r>
        <w:rPr>
          <w:rFonts w:eastAsia="仿宋"/>
          <w:sz w:val="32"/>
          <w:szCs w:val="32"/>
        </w:rPr>
        <w:t>,</w:t>
      </w:r>
      <w:r>
        <w:rPr>
          <w:rFonts w:hint="eastAsia" w:eastAsia="仿宋"/>
          <w:sz w:val="32"/>
          <w:szCs w:val="32"/>
        </w:rPr>
        <w:t>严厉惩治腐败。</w:t>
      </w:r>
    </w:p>
    <w:p>
      <w:pPr>
        <w:ind w:firstLine="643" w:firstLineChars="200"/>
        <w:rPr>
          <w:rFonts w:ascii="仿宋" w:hAnsi="仿宋" w:eastAsia="仿宋" w:cs="仿宋"/>
          <w:b/>
          <w:sz w:val="32"/>
        </w:rPr>
      </w:pPr>
      <w:r>
        <w:rPr>
          <w:rFonts w:hint="eastAsia" w:ascii="仿宋" w:hAnsi="仿宋" w:eastAsia="仿宋" w:cs="仿宋"/>
          <w:b/>
          <w:sz w:val="32"/>
        </w:rPr>
        <w:t>四、预算资金安排及资金支出情况。</w:t>
      </w:r>
    </w:p>
    <w:p>
      <w:pPr>
        <w:ind w:firstLine="640"/>
        <w:rPr>
          <w:rFonts w:eastAsia="仿宋"/>
          <w:sz w:val="32"/>
          <w:szCs w:val="32"/>
        </w:rPr>
      </w:pPr>
      <w:r>
        <w:rPr>
          <w:rFonts w:hint="eastAsia" w:eastAsia="仿宋"/>
          <w:sz w:val="32"/>
          <w:szCs w:val="32"/>
        </w:rPr>
        <w:t>按照预算管理有关规定，目前我市部门预算的编制实行综合预算制度，即全部收入和支出都反映的预算中，单位的收支包含在部门预算中。</w:t>
      </w:r>
    </w:p>
    <w:p>
      <w:pPr>
        <w:numPr>
          <w:ilvl w:val="0"/>
          <w:numId w:val="1"/>
        </w:numPr>
        <w:rPr>
          <w:rFonts w:eastAsia="仿宋"/>
          <w:sz w:val="32"/>
          <w:szCs w:val="32"/>
        </w:rPr>
      </w:pPr>
      <w:r>
        <w:rPr>
          <w:rFonts w:hint="eastAsia" w:eastAsia="仿宋"/>
          <w:sz w:val="32"/>
          <w:szCs w:val="32"/>
        </w:rPr>
        <w:t>收入说明</w:t>
      </w:r>
    </w:p>
    <w:p>
      <w:pPr>
        <w:ind w:left="640"/>
        <w:rPr>
          <w:rFonts w:ascii="仿宋" w:hAnsi="仿宋" w:eastAsia="仿宋"/>
          <w:sz w:val="32"/>
          <w:szCs w:val="32"/>
        </w:rPr>
      </w:pPr>
      <w:r>
        <w:rPr>
          <w:rFonts w:hint="eastAsia" w:ascii="仿宋" w:hAnsi="仿宋" w:eastAsia="仿宋" w:cs="宋体"/>
          <w:sz w:val="32"/>
          <w:szCs w:val="32"/>
          <w:lang w:eastAsia="zh-CN"/>
        </w:rPr>
        <w:t>反映</w:t>
      </w:r>
      <w:r>
        <w:rPr>
          <w:rFonts w:hint="eastAsia" w:ascii="仿宋" w:hAnsi="仿宋" w:eastAsia="仿宋" w:cs="宋体"/>
          <w:sz w:val="32"/>
          <w:szCs w:val="32"/>
        </w:rPr>
        <w:t>本部门当年全部收入</w:t>
      </w:r>
    </w:p>
    <w:p>
      <w:pPr>
        <w:ind w:firstLine="640"/>
        <w:rPr>
          <w:rFonts w:ascii="仿宋" w:hAnsi="仿宋" w:eastAsia="仿宋"/>
          <w:sz w:val="32"/>
          <w:szCs w:val="32"/>
        </w:rPr>
      </w:pPr>
      <w:r>
        <w:rPr>
          <w:rFonts w:ascii="仿宋" w:hAnsi="仿宋" w:eastAsia="仿宋" w:cs="??_GB2312"/>
          <w:sz w:val="32"/>
          <w:szCs w:val="32"/>
        </w:rPr>
        <w:t>2021</w:t>
      </w:r>
      <w:r>
        <w:rPr>
          <w:rFonts w:hint="eastAsia" w:ascii="仿宋" w:hAnsi="仿宋" w:eastAsia="仿宋" w:cs="??"/>
          <w:sz w:val="32"/>
          <w:szCs w:val="32"/>
          <w:lang w:bidi="he-IL"/>
        </w:rPr>
        <w:t>年本级安排预算收入</w:t>
      </w:r>
      <w:r>
        <w:rPr>
          <w:rFonts w:ascii="仿宋" w:hAnsi="仿宋" w:eastAsia="仿宋" w:cs="??"/>
          <w:sz w:val="32"/>
          <w:szCs w:val="32"/>
          <w:lang w:bidi="he-IL"/>
        </w:rPr>
        <w:t>1854.44</w:t>
      </w:r>
      <w:r>
        <w:rPr>
          <w:rFonts w:hint="eastAsia" w:ascii="仿宋" w:hAnsi="仿宋" w:eastAsia="仿宋" w:cs="??"/>
          <w:sz w:val="32"/>
          <w:szCs w:val="32"/>
          <w:lang w:bidi="he-IL"/>
        </w:rPr>
        <w:t>万元，其中：一般公共预算收入</w:t>
      </w:r>
      <w:r>
        <w:rPr>
          <w:rFonts w:ascii="仿宋" w:hAnsi="仿宋" w:eastAsia="仿宋" w:cs="??_GB2312"/>
          <w:sz w:val="32"/>
          <w:szCs w:val="32"/>
        </w:rPr>
        <w:t>1854.44</w:t>
      </w:r>
      <w:r>
        <w:rPr>
          <w:rFonts w:hint="eastAsia" w:ascii="仿宋" w:hAnsi="仿宋" w:eastAsia="仿宋" w:cs="??"/>
          <w:sz w:val="32"/>
          <w:szCs w:val="32"/>
          <w:lang w:bidi="he-IL"/>
        </w:rPr>
        <w:t>万元，基金预算拨款</w:t>
      </w:r>
      <w:r>
        <w:rPr>
          <w:rFonts w:ascii="仿宋" w:hAnsi="仿宋" w:eastAsia="仿宋" w:cs="??_GB2312"/>
          <w:sz w:val="32"/>
          <w:szCs w:val="32"/>
        </w:rPr>
        <w:t>0</w:t>
      </w:r>
      <w:r>
        <w:rPr>
          <w:rFonts w:hint="eastAsia" w:ascii="仿宋" w:hAnsi="仿宋" w:eastAsia="仿宋" w:cs="??"/>
          <w:sz w:val="32"/>
          <w:szCs w:val="32"/>
          <w:lang w:bidi="he-IL"/>
        </w:rPr>
        <w:t>元。</w:t>
      </w:r>
    </w:p>
    <w:p>
      <w:pPr>
        <w:ind w:firstLine="640"/>
        <w:rPr>
          <w:rFonts w:eastAsia="仿宋"/>
          <w:sz w:val="32"/>
          <w:szCs w:val="32"/>
        </w:rPr>
      </w:pPr>
      <w:r>
        <w:rPr>
          <w:rFonts w:eastAsia="仿宋"/>
          <w:sz w:val="32"/>
          <w:szCs w:val="32"/>
        </w:rPr>
        <w:t>2</w:t>
      </w:r>
      <w:r>
        <w:rPr>
          <w:rFonts w:hint="eastAsia" w:eastAsia="仿宋"/>
          <w:sz w:val="32"/>
          <w:szCs w:val="32"/>
        </w:rPr>
        <w:t>、支出说明</w:t>
      </w:r>
    </w:p>
    <w:p>
      <w:pPr>
        <w:ind w:firstLine="640"/>
        <w:rPr>
          <w:rFonts w:eastAsia="仿宋"/>
          <w:sz w:val="32"/>
          <w:szCs w:val="32"/>
        </w:rPr>
      </w:pPr>
      <w:r>
        <w:rPr>
          <w:rFonts w:hint="eastAsia" w:eastAsia="仿宋"/>
          <w:sz w:val="32"/>
          <w:szCs w:val="32"/>
        </w:rPr>
        <w:t>收支预算总表支出栏、基本支出表、项目支出表按经济分类和支出功能分类科目编制，反映中共沙河市交通运输局</w:t>
      </w:r>
      <w:r>
        <w:rPr>
          <w:rFonts w:eastAsia="仿宋"/>
          <w:sz w:val="32"/>
          <w:szCs w:val="32"/>
        </w:rPr>
        <w:t>2021</w:t>
      </w:r>
      <w:r>
        <w:rPr>
          <w:rFonts w:hint="eastAsia" w:eastAsia="仿宋"/>
          <w:sz w:val="32"/>
          <w:szCs w:val="32"/>
        </w:rPr>
        <w:t>年度部门预算中支出预算的总体情况。</w:t>
      </w:r>
    </w:p>
    <w:p>
      <w:pPr>
        <w:ind w:firstLine="640"/>
        <w:rPr>
          <w:rFonts w:eastAsia="仿宋"/>
          <w:sz w:val="32"/>
          <w:szCs w:val="32"/>
        </w:rPr>
      </w:pPr>
      <w:r>
        <w:rPr>
          <w:rFonts w:eastAsia="仿宋"/>
          <w:sz w:val="32"/>
          <w:szCs w:val="32"/>
        </w:rPr>
        <w:t>22021</w:t>
      </w:r>
      <w:r>
        <w:rPr>
          <w:rFonts w:hint="eastAsia" w:eastAsia="仿宋"/>
          <w:sz w:val="32"/>
          <w:szCs w:val="32"/>
        </w:rPr>
        <w:t>年本级支出预算</w:t>
      </w:r>
      <w:r>
        <w:rPr>
          <w:rFonts w:eastAsia="仿宋"/>
          <w:sz w:val="32"/>
          <w:szCs w:val="32"/>
        </w:rPr>
        <w:t>1854.44</w:t>
      </w:r>
      <w:r>
        <w:rPr>
          <w:rFonts w:hint="eastAsia" w:eastAsia="仿宋"/>
          <w:sz w:val="32"/>
          <w:szCs w:val="32"/>
        </w:rPr>
        <w:t>元，其中基本支出</w:t>
      </w:r>
      <w:r>
        <w:rPr>
          <w:rFonts w:eastAsia="仿宋"/>
          <w:sz w:val="32"/>
          <w:szCs w:val="32"/>
        </w:rPr>
        <w:t>177.94</w:t>
      </w:r>
      <w:r>
        <w:rPr>
          <w:rFonts w:hint="eastAsia" w:eastAsia="仿宋"/>
          <w:sz w:val="32"/>
          <w:szCs w:val="32"/>
        </w:rPr>
        <w:t>万元，包括人员经费</w:t>
      </w:r>
      <w:r>
        <w:rPr>
          <w:rFonts w:eastAsia="仿宋"/>
          <w:sz w:val="32"/>
          <w:szCs w:val="32"/>
        </w:rPr>
        <w:t>164.24</w:t>
      </w:r>
      <w:r>
        <w:rPr>
          <w:rFonts w:hint="eastAsia" w:eastAsia="仿宋"/>
          <w:sz w:val="32"/>
          <w:szCs w:val="32"/>
        </w:rPr>
        <w:t>万元和日常公用经费</w:t>
      </w:r>
      <w:r>
        <w:rPr>
          <w:rFonts w:eastAsia="仿宋"/>
          <w:sz w:val="32"/>
          <w:szCs w:val="32"/>
        </w:rPr>
        <w:t>13.7</w:t>
      </w:r>
      <w:r>
        <w:rPr>
          <w:rFonts w:hint="eastAsia" w:eastAsia="仿宋"/>
          <w:sz w:val="32"/>
          <w:szCs w:val="32"/>
        </w:rPr>
        <w:t>万元；项目支出</w:t>
      </w:r>
      <w:r>
        <w:rPr>
          <w:rFonts w:eastAsia="仿宋"/>
          <w:sz w:val="32"/>
          <w:szCs w:val="32"/>
        </w:rPr>
        <w:t>1676.5</w:t>
      </w:r>
      <w:r>
        <w:rPr>
          <w:rFonts w:hint="eastAsia" w:eastAsia="仿宋"/>
          <w:sz w:val="32"/>
          <w:szCs w:val="32"/>
        </w:rPr>
        <w:t>万元，为业务补助、公路养护经费、纬三路淮庄</w:t>
      </w:r>
      <w:r>
        <w:rPr>
          <w:rFonts w:eastAsia="仿宋"/>
          <w:sz w:val="32"/>
          <w:szCs w:val="32"/>
        </w:rPr>
        <w:t>-</w:t>
      </w:r>
      <w:r>
        <w:rPr>
          <w:rFonts w:hint="eastAsia" w:eastAsia="仿宋"/>
          <w:sz w:val="32"/>
          <w:szCs w:val="32"/>
        </w:rPr>
        <w:t>邢峰线</w:t>
      </w:r>
      <w:r>
        <w:rPr>
          <w:rFonts w:eastAsia="仿宋"/>
          <w:sz w:val="32"/>
          <w:szCs w:val="32"/>
        </w:rPr>
        <w:t>ppp</w:t>
      </w:r>
      <w:r>
        <w:rPr>
          <w:rFonts w:hint="eastAsia" w:eastAsia="仿宋"/>
          <w:sz w:val="32"/>
          <w:szCs w:val="32"/>
        </w:rPr>
        <w:t>等项目。</w:t>
      </w:r>
    </w:p>
    <w:p>
      <w:pPr>
        <w:ind w:firstLine="640"/>
        <w:rPr>
          <w:rFonts w:eastAsia="仿宋"/>
          <w:sz w:val="32"/>
          <w:szCs w:val="32"/>
        </w:rPr>
      </w:pPr>
      <w:r>
        <w:rPr>
          <w:rFonts w:eastAsia="仿宋"/>
          <w:sz w:val="32"/>
          <w:szCs w:val="32"/>
        </w:rPr>
        <w:t>3</w:t>
      </w:r>
      <w:r>
        <w:rPr>
          <w:rFonts w:hint="eastAsia" w:eastAsia="仿宋"/>
          <w:sz w:val="32"/>
          <w:szCs w:val="32"/>
        </w:rPr>
        <w:t>、比上年增减情况</w:t>
      </w:r>
    </w:p>
    <w:p>
      <w:pPr>
        <w:spacing w:line="610" w:lineRule="exact"/>
        <w:ind w:firstLine="640"/>
        <w:rPr>
          <w:rFonts w:ascii="仿宋" w:hAnsi="仿宋" w:eastAsia="仿宋" w:cs="??_GB2312"/>
          <w:sz w:val="32"/>
          <w:szCs w:val="32"/>
        </w:rPr>
      </w:pPr>
      <w:r>
        <w:rPr>
          <w:rFonts w:ascii="仿宋" w:hAnsi="仿宋" w:eastAsia="仿宋" w:cs="??_GB2312"/>
          <w:sz w:val="32"/>
          <w:szCs w:val="32"/>
        </w:rPr>
        <w:t>2021</w:t>
      </w:r>
      <w:r>
        <w:rPr>
          <w:rFonts w:hint="eastAsia" w:ascii="仿宋" w:hAnsi="仿宋" w:eastAsia="仿宋" w:cs="??"/>
          <w:sz w:val="32"/>
          <w:szCs w:val="32"/>
          <w:lang w:bidi="he-IL"/>
        </w:rPr>
        <w:t>年本级预算收支安排</w:t>
      </w:r>
      <w:r>
        <w:rPr>
          <w:rFonts w:eastAsia="仿宋"/>
          <w:sz w:val="32"/>
          <w:szCs w:val="32"/>
        </w:rPr>
        <w:t>1854.44</w:t>
      </w:r>
      <w:r>
        <w:rPr>
          <w:rFonts w:hint="eastAsia" w:ascii="仿宋" w:hAnsi="仿宋" w:eastAsia="仿宋" w:cs="??"/>
          <w:sz w:val="32"/>
          <w:szCs w:val="32"/>
          <w:lang w:bidi="he-IL"/>
        </w:rPr>
        <w:t>万元，较</w:t>
      </w:r>
      <w:r>
        <w:rPr>
          <w:rFonts w:ascii="仿宋" w:hAnsi="仿宋" w:eastAsia="仿宋" w:cs="??_GB2312"/>
          <w:sz w:val="32"/>
          <w:szCs w:val="32"/>
        </w:rPr>
        <w:t>2020</w:t>
      </w:r>
      <w:r>
        <w:rPr>
          <w:rFonts w:hint="eastAsia" w:ascii="仿宋" w:hAnsi="仿宋" w:eastAsia="仿宋" w:cs="??"/>
          <w:sz w:val="32"/>
          <w:szCs w:val="32"/>
          <w:lang w:bidi="he-IL"/>
        </w:rPr>
        <w:t>年本级预算</w:t>
      </w:r>
      <w:r>
        <w:rPr>
          <w:rFonts w:ascii="仿宋" w:hAnsi="仿宋" w:eastAsia="仿宋" w:cs="??_GB2312"/>
          <w:sz w:val="32"/>
          <w:szCs w:val="32"/>
        </w:rPr>
        <w:t>1739.93</w:t>
      </w:r>
      <w:r>
        <w:rPr>
          <w:rFonts w:hint="eastAsia" w:ascii="仿宋" w:hAnsi="仿宋" w:eastAsia="仿宋" w:cs="??"/>
          <w:sz w:val="32"/>
          <w:szCs w:val="32"/>
          <w:lang w:bidi="he-IL"/>
        </w:rPr>
        <w:t>万元增加</w:t>
      </w:r>
      <w:r>
        <w:rPr>
          <w:rFonts w:ascii="仿宋" w:hAnsi="仿宋" w:eastAsia="仿宋" w:cs="??"/>
          <w:sz w:val="32"/>
          <w:szCs w:val="32"/>
          <w:lang w:bidi="he-IL"/>
        </w:rPr>
        <w:t>114.51</w:t>
      </w:r>
      <w:r>
        <w:rPr>
          <w:rFonts w:hint="eastAsia" w:ascii="仿宋" w:hAnsi="仿宋" w:eastAsia="仿宋" w:cs="??"/>
          <w:sz w:val="32"/>
          <w:szCs w:val="32"/>
          <w:lang w:bidi="he-IL"/>
        </w:rPr>
        <w:t>万元，其中基本支出增加</w:t>
      </w:r>
      <w:r>
        <w:rPr>
          <w:rFonts w:ascii="仿宋" w:hAnsi="仿宋" w:eastAsia="仿宋" w:cs="??"/>
          <w:sz w:val="32"/>
          <w:szCs w:val="32"/>
          <w:lang w:bidi="he-IL"/>
        </w:rPr>
        <w:t>14.73</w:t>
      </w:r>
      <w:r>
        <w:rPr>
          <w:rFonts w:hint="eastAsia" w:ascii="仿宋" w:hAnsi="仿宋" w:eastAsia="仿宋" w:cs="??"/>
          <w:sz w:val="32"/>
          <w:szCs w:val="32"/>
          <w:lang w:bidi="he-IL"/>
        </w:rPr>
        <w:t>万元、项目支出增加</w:t>
      </w:r>
      <w:r>
        <w:rPr>
          <w:rFonts w:ascii="仿宋" w:hAnsi="仿宋" w:eastAsia="仿宋" w:cs="??"/>
          <w:sz w:val="32"/>
          <w:szCs w:val="32"/>
          <w:lang w:bidi="he-IL"/>
        </w:rPr>
        <w:t>99.78</w:t>
      </w:r>
      <w:r>
        <w:rPr>
          <w:rFonts w:hint="eastAsia" w:ascii="仿宋" w:hAnsi="仿宋" w:eastAsia="仿宋" w:cs="??"/>
          <w:sz w:val="32"/>
          <w:szCs w:val="32"/>
          <w:lang w:bidi="he-IL"/>
        </w:rPr>
        <w:t>万元。</w:t>
      </w:r>
    </w:p>
    <w:p>
      <w:pPr>
        <w:ind w:firstLine="643" w:firstLineChars="200"/>
        <w:rPr>
          <w:rFonts w:ascii="仿宋" w:hAnsi="仿宋" w:eastAsia="仿宋" w:cs="仿宋"/>
          <w:b/>
          <w:sz w:val="32"/>
        </w:rPr>
      </w:pPr>
      <w:r>
        <w:rPr>
          <w:rFonts w:hint="eastAsia" w:ascii="仿宋" w:hAnsi="仿宋" w:eastAsia="仿宋" w:cs="仿宋"/>
          <w:b/>
          <w:sz w:val="32"/>
        </w:rPr>
        <w:t>五、预算绩效管理开展及整体绩效实现情况</w:t>
      </w:r>
    </w:p>
    <w:p>
      <w:pPr>
        <w:ind w:firstLine="640" w:firstLineChars="200"/>
        <w:rPr>
          <w:rFonts w:ascii="仿宋" w:hAnsi="仿宋" w:eastAsia="仿宋" w:cs="仿宋"/>
          <w:bCs/>
          <w:sz w:val="32"/>
        </w:rPr>
      </w:pPr>
      <w:r>
        <w:rPr>
          <w:rFonts w:ascii="仿宋" w:hAnsi="仿宋" w:eastAsia="仿宋" w:cs="仿宋"/>
          <w:bCs/>
          <w:sz w:val="32"/>
        </w:rPr>
        <w:t>1</w:t>
      </w:r>
      <w:r>
        <w:rPr>
          <w:rFonts w:hint="eastAsia" w:ascii="仿宋" w:hAnsi="仿宋" w:eastAsia="仿宋" w:cs="仿宋"/>
          <w:bCs/>
          <w:sz w:val="32"/>
        </w:rPr>
        <w:t>、项目申报前期测算不科学，预算与实际支出有偏差。</w:t>
      </w:r>
    </w:p>
    <w:p>
      <w:pPr>
        <w:ind w:firstLine="640" w:firstLineChars="200"/>
        <w:rPr>
          <w:rFonts w:ascii="仿宋" w:hAnsi="仿宋" w:eastAsia="仿宋" w:cs="仿宋"/>
          <w:sz w:val="32"/>
        </w:rPr>
      </w:pPr>
      <w:r>
        <w:rPr>
          <w:rFonts w:hint="eastAsia" w:ascii="仿宋" w:hAnsi="仿宋" w:eastAsia="仿宋" w:cs="仿宋"/>
          <w:sz w:val="32"/>
        </w:rPr>
        <w:t>预算申报的项目，应该建立在科学测算、整体评估、切合实际的基础上。但为了在年初争取更多的财政资金</w:t>
      </w:r>
      <w:r>
        <w:rPr>
          <w:rFonts w:ascii="仿宋" w:hAnsi="仿宋" w:eastAsia="仿宋" w:cs="仿宋"/>
          <w:sz w:val="32"/>
        </w:rPr>
        <w:t>,</w:t>
      </w:r>
      <w:r>
        <w:rPr>
          <w:rFonts w:hint="eastAsia" w:ascii="仿宋" w:hAnsi="仿宋" w:eastAsia="仿宋" w:cs="仿宋"/>
          <w:sz w:val="32"/>
        </w:rPr>
        <w:t>想方设法将项目做多、预算做大，等财政批复、甚至资金到位后，才具体安排使用计划。实际执行之后，有部分项目还需要改变实施计划，而造成资金暂缓使用，影响了财政资金的使用效益。</w:t>
      </w:r>
    </w:p>
    <w:p>
      <w:pPr>
        <w:ind w:firstLine="640" w:firstLineChars="200"/>
        <w:rPr>
          <w:rFonts w:ascii="仿宋" w:hAnsi="仿宋" w:eastAsia="仿宋" w:cs="仿宋"/>
          <w:sz w:val="32"/>
        </w:rPr>
      </w:pPr>
      <w:r>
        <w:rPr>
          <w:rFonts w:ascii="仿宋" w:hAnsi="仿宋" w:eastAsia="仿宋" w:cs="仿宋"/>
          <w:bCs/>
          <w:sz w:val="32"/>
        </w:rPr>
        <w:t>2</w:t>
      </w:r>
      <w:r>
        <w:rPr>
          <w:rFonts w:hint="eastAsia" w:ascii="仿宋" w:hAnsi="仿宋" w:eastAsia="仿宋" w:cs="仿宋"/>
          <w:bCs/>
          <w:sz w:val="32"/>
        </w:rPr>
        <w:t>、部门单位内部控制制度不完善。</w:t>
      </w:r>
    </w:p>
    <w:p>
      <w:pPr>
        <w:ind w:firstLine="640" w:firstLineChars="200"/>
        <w:rPr>
          <w:rFonts w:ascii="仿宋" w:hAnsi="仿宋" w:eastAsia="仿宋" w:cs="仿宋"/>
          <w:sz w:val="32"/>
        </w:rPr>
      </w:pPr>
      <w:r>
        <w:rPr>
          <w:rFonts w:hint="eastAsia" w:ascii="仿宋" w:hAnsi="仿宋" w:eastAsia="仿宋" w:cs="仿宋"/>
          <w:sz w:val="32"/>
        </w:rPr>
        <w:t>编制部门预算要求完整、科学、细化，目的是在各预算单位之间统一口径、公允分配，优化公共资源配置，共同提高公共财政的服务质量，促进公共财政效益的最大化。</w:t>
      </w:r>
    </w:p>
    <w:p>
      <w:pPr>
        <w:ind w:firstLine="643" w:firstLineChars="200"/>
        <w:rPr>
          <w:rFonts w:ascii="仿宋" w:hAnsi="仿宋" w:eastAsia="仿宋" w:cs="仿宋"/>
          <w:b/>
          <w:bCs/>
          <w:sz w:val="32"/>
        </w:rPr>
      </w:pPr>
      <w:r>
        <w:rPr>
          <w:rFonts w:ascii="仿宋" w:hAnsi="仿宋" w:eastAsia="仿宋" w:cs="仿宋"/>
          <w:b/>
          <w:bCs/>
          <w:sz w:val="32"/>
        </w:rPr>
        <w:t xml:space="preserve"> </w:t>
      </w:r>
      <w:r>
        <w:rPr>
          <w:rFonts w:hint="eastAsia" w:ascii="仿宋" w:hAnsi="仿宋" w:eastAsia="仿宋" w:cs="仿宋"/>
          <w:b/>
          <w:bCs/>
          <w:sz w:val="32"/>
        </w:rPr>
        <w:t>六、预算执行及预算管理改进建议</w:t>
      </w:r>
    </w:p>
    <w:p>
      <w:pPr>
        <w:ind w:firstLine="640" w:firstLineChars="200"/>
        <w:rPr>
          <w:rFonts w:ascii="仿宋" w:hAnsi="仿宋" w:eastAsia="仿宋" w:cs="仿宋"/>
          <w:bCs/>
          <w:sz w:val="32"/>
        </w:rPr>
      </w:pPr>
      <w:r>
        <w:rPr>
          <w:rFonts w:ascii="仿宋" w:hAnsi="仿宋" w:eastAsia="仿宋" w:cs="仿宋"/>
          <w:bCs/>
          <w:sz w:val="32"/>
        </w:rPr>
        <w:t>1</w:t>
      </w:r>
      <w:r>
        <w:rPr>
          <w:rFonts w:hint="eastAsia" w:ascii="仿宋" w:hAnsi="仿宋" w:eastAsia="仿宋" w:cs="仿宋"/>
          <w:bCs/>
          <w:sz w:val="32"/>
        </w:rPr>
        <w:t>、增强预算编制的科学性和可行性。</w:t>
      </w:r>
    </w:p>
    <w:p>
      <w:pPr>
        <w:ind w:firstLine="640" w:firstLineChars="200"/>
        <w:rPr>
          <w:rFonts w:ascii="仿宋" w:hAnsi="仿宋" w:eastAsia="仿宋" w:cs="仿宋"/>
          <w:sz w:val="32"/>
        </w:rPr>
      </w:pPr>
      <w:r>
        <w:rPr>
          <w:rFonts w:hint="eastAsia" w:ascii="仿宋" w:hAnsi="仿宋" w:eastAsia="仿宋" w:cs="仿宋"/>
          <w:sz w:val="32"/>
        </w:rPr>
        <w:t>预算编制是预算执行的基础和依据，是严格预算执行的第一道关口。各部门预算单位编制年初预算要根据自身职能目标拟定，参考上年度预算执行情况、相关支出绩效评价结果和本年度的收支预测，按照规定程序多方征求意见。项目申报前期要进行充分的调查研究，严格论证项目实施的充分性和必要性，合理测算所需财政资金的多少，必须有足够的测算依据，准确评估财政资金投入使用的效益，提高预算编制的科学性。预算编制要实事求是，切实可行，要尽可能完整，要细化到项目及具体的事项。</w:t>
      </w:r>
    </w:p>
    <w:p>
      <w:pPr>
        <w:ind w:firstLine="640" w:firstLineChars="200"/>
        <w:rPr>
          <w:rFonts w:ascii="仿宋" w:hAnsi="仿宋" w:eastAsia="仿宋" w:cs="仿宋"/>
          <w:sz w:val="32"/>
        </w:rPr>
      </w:pPr>
      <w:r>
        <w:rPr>
          <w:rFonts w:ascii="仿宋" w:hAnsi="仿宋" w:eastAsia="仿宋" w:cs="仿宋"/>
          <w:sz w:val="32"/>
        </w:rPr>
        <w:t>2</w:t>
      </w:r>
      <w:r>
        <w:rPr>
          <w:rFonts w:hint="eastAsia" w:ascii="仿宋" w:hAnsi="仿宋" w:eastAsia="仿宋" w:cs="仿宋"/>
          <w:sz w:val="32"/>
        </w:rPr>
        <w:t>、建立健全部门单位内部控制制度。</w:t>
      </w:r>
    </w:p>
    <w:p>
      <w:pPr>
        <w:ind w:firstLine="640" w:firstLineChars="200"/>
        <w:rPr>
          <w:rFonts w:ascii="仿宋" w:hAnsi="仿宋" w:eastAsia="仿宋" w:cs="仿宋"/>
          <w:sz w:val="32"/>
        </w:rPr>
      </w:pPr>
      <w:r>
        <w:rPr>
          <w:rFonts w:hint="eastAsia" w:ascii="仿宋" w:hAnsi="仿宋" w:eastAsia="仿宋" w:cs="仿宋"/>
          <w:sz w:val="32"/>
        </w:rPr>
        <w:t>为了严格预算执行，保障部门单位顺利履行行政管理职能，防范财务风险，确保财政资金使用安全，控制铺张浪费，必须建立健全内部控制制度。首先是要完善建章立制，内部控制不是局限在作用于财务管理层面，而是要建成一套环环相扣的动态监督机制，在全局业务运作过程中发挥作用。其次是要提高内部控制意识，认识到内部控制的重要性，让单位所有职工都参与到内部控制的执行中，营造出内部控制的氛围。再次要充分发挥内部审计在内部控制中的作用，重视事前审计，在事前提出建议供领导参考，提早纠正违法违规行为，以免造成重大损失。最后要实行关键岗位职工定期轮岗，形成职工的有序流动，防范风险。</w:t>
      </w:r>
    </w:p>
    <w:p>
      <w:pPr>
        <w:ind w:firstLine="643" w:firstLineChars="200"/>
        <w:rPr>
          <w:rFonts w:ascii="仿宋" w:hAnsi="仿宋" w:eastAsia="仿宋" w:cs="仿宋"/>
          <w:b/>
          <w:sz w:val="32"/>
        </w:rPr>
      </w:pPr>
      <w:r>
        <w:rPr>
          <w:rFonts w:hint="eastAsia" w:ascii="仿宋" w:hAnsi="仿宋" w:eastAsia="仿宋" w:cs="仿宋"/>
          <w:b/>
          <w:sz w:val="32"/>
        </w:rPr>
        <w:t>七、项目绩效目标设定，绩效评价情况</w:t>
      </w:r>
    </w:p>
    <w:p>
      <w:pPr>
        <w:ind w:firstLine="640" w:firstLineChars="200"/>
        <w:rPr>
          <w:rFonts w:ascii="仿宋" w:hAnsi="仿宋" w:eastAsia="仿宋" w:cs="仿宋"/>
          <w:sz w:val="32"/>
        </w:rPr>
      </w:pPr>
      <w:r>
        <w:rPr>
          <w:rFonts w:hint="eastAsia" w:ascii="仿宋" w:hAnsi="仿宋" w:eastAsia="仿宋" w:cs="仿宋"/>
          <w:sz w:val="32"/>
        </w:rPr>
        <w:t>根据项目自身特点设定将绩效目标设定为产出指标与效果指标，产出指标下设数量指标、质量指标、成本指标、时效指标，反映工作活动设定目标的完成程度，由评价工作组结合被评价工作活动产出指标设置情况及业务情况进行细化，各项产出逐一评价，逐一确定分值。效果指标下设经济效益指标，评价该工作活动对当地经济发展所带来的直接或间接影响、社会效益指标，评价该工作活动对当地社会发展和社会稳定所带来的直接或间接影响、环境效益指标，评价该工作活动对当地自然生态环境所带来的直接或间接影响、可持续发展效益指标，通过发放问卷进行社会调查，评价受益群体及相关群体对该项工作活动的认可程度。</w:t>
      </w:r>
    </w:p>
    <w:p>
      <w:pPr>
        <w:spacing w:line="480" w:lineRule="exact"/>
        <w:rPr>
          <w:rFonts w:ascii="宋体"/>
          <w:b/>
          <w:sz w:val="44"/>
          <w:szCs w:val="44"/>
        </w:rPr>
      </w:pPr>
    </w:p>
    <w:p>
      <w:pPr>
        <w:spacing w:line="480" w:lineRule="exact"/>
        <w:rPr>
          <w:rFonts w:ascii="宋体"/>
          <w:b/>
          <w:sz w:val="44"/>
          <w:szCs w:val="44"/>
        </w:rPr>
      </w:pPr>
      <w:r>
        <w:rPr>
          <w:rFonts w:hint="eastAsia" w:ascii="宋体" w:hAnsi="宋体"/>
          <w:b/>
          <w:sz w:val="44"/>
          <w:szCs w:val="44"/>
        </w:rPr>
        <w:t>二、</w:t>
      </w:r>
    </w:p>
    <w:p>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vAlign w:val="center"/>
          </w:tcPr>
          <w:p>
            <w:pPr>
              <w:widowControl/>
              <w:spacing w:line="240" w:lineRule="exact"/>
              <w:jc w:val="center"/>
              <w:rPr>
                <w:b/>
              </w:rPr>
            </w:pPr>
            <w:r>
              <w:rPr>
                <w:rFonts w:hint="eastAsia" w:ascii="仿宋_GB2312" w:hAnsi="新宋体" w:eastAsia="仿宋_GB2312" w:cs="仿宋_GB2312"/>
                <w:b/>
                <w:kern w:val="0"/>
                <w:sz w:val="24"/>
                <w:szCs w:val="24"/>
              </w:rPr>
              <w:t>一级指标</w:t>
            </w:r>
          </w:p>
        </w:tc>
        <w:tc>
          <w:tcPr>
            <w:tcW w:w="743" w:type="dxa"/>
            <w:vMerge w:val="restart"/>
            <w:vAlign w:val="center"/>
          </w:tcPr>
          <w:p>
            <w:pPr>
              <w:widowControl/>
              <w:spacing w:line="240" w:lineRule="exact"/>
              <w:jc w:val="center"/>
              <w:rPr>
                <w:b/>
              </w:rPr>
            </w:pPr>
            <w:r>
              <w:rPr>
                <w:rFonts w:hint="eastAsia" w:ascii="仿宋_GB2312" w:hAnsi="新宋体" w:eastAsia="仿宋_GB2312" w:cs="仿宋_GB2312"/>
                <w:b/>
                <w:kern w:val="0"/>
                <w:sz w:val="24"/>
                <w:szCs w:val="24"/>
              </w:rPr>
              <w:t>二级指标</w:t>
            </w:r>
          </w:p>
        </w:tc>
        <w:tc>
          <w:tcPr>
            <w:tcW w:w="4711" w:type="dxa"/>
            <w:gridSpan w:val="2"/>
            <w:tcBorders>
              <w:right w:val="single" w:color="auto" w:sz="4" w:space="0"/>
            </w:tcBorders>
            <w:vAlign w:val="center"/>
          </w:tcPr>
          <w:p>
            <w:pPr>
              <w:widowControl/>
              <w:spacing w:line="240" w:lineRule="exact"/>
              <w:jc w:val="center"/>
              <w:rPr>
                <w:b/>
              </w:rPr>
            </w:pPr>
            <w:r>
              <w:rPr>
                <w:rFonts w:hint="eastAsia" w:ascii="仿宋_GB2312" w:hAnsi="新宋体" w:eastAsia="仿宋_GB2312" w:cs="仿宋_GB2312"/>
                <w:b/>
                <w:kern w:val="0"/>
                <w:sz w:val="24"/>
                <w:szCs w:val="24"/>
              </w:rPr>
              <w:t>三级指标</w:t>
            </w:r>
          </w:p>
        </w:tc>
        <w:tc>
          <w:tcPr>
            <w:tcW w:w="2373" w:type="dxa"/>
            <w:vMerge w:val="restart"/>
            <w:tcBorders>
              <w:left w:val="single" w:color="auto" w:sz="4" w:space="0"/>
              <w:right w:val="single" w:color="auto" w:sz="4" w:space="0"/>
            </w:tcBorders>
            <w:vAlign w:val="center"/>
          </w:tcPr>
          <w:p>
            <w:pPr>
              <w:widowControl/>
              <w:spacing w:line="240" w:lineRule="exact"/>
              <w:jc w:val="center"/>
              <w:rPr>
                <w:b/>
              </w:rPr>
            </w:pPr>
            <w:r>
              <w:rPr>
                <w:rFonts w:hint="eastAsia" w:ascii="仿宋_GB2312" w:hAnsi="新宋体" w:eastAsia="仿宋_GB2312" w:cs="仿宋_GB2312"/>
                <w:b/>
                <w:kern w:val="0"/>
                <w:sz w:val="24"/>
                <w:szCs w:val="24"/>
              </w:rPr>
              <w:t>评分标准</w:t>
            </w:r>
          </w:p>
        </w:tc>
        <w:tc>
          <w:tcPr>
            <w:tcW w:w="764" w:type="dxa"/>
            <w:vMerge w:val="restart"/>
            <w:tcBorders>
              <w:left w:val="single" w:color="auto" w:sz="4" w:space="0"/>
              <w:right w:val="single" w:color="auto" w:sz="4" w:space="0"/>
            </w:tcBorders>
            <w:vAlign w:val="center"/>
          </w:tcPr>
          <w:p>
            <w:pPr>
              <w:widowControl/>
              <w:spacing w:line="240" w:lineRule="exact"/>
              <w:jc w:val="left"/>
              <w:rPr>
                <w:b/>
              </w:rPr>
            </w:pPr>
            <w:r>
              <w:rPr>
                <w:rFonts w:hint="eastAsia"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vAlign w:val="center"/>
          </w:tcPr>
          <w:p>
            <w:pPr>
              <w:rPr>
                <w:rFonts w:ascii="宋体"/>
                <w:szCs w:val="21"/>
              </w:rPr>
            </w:pPr>
          </w:p>
        </w:tc>
        <w:tc>
          <w:tcPr>
            <w:tcW w:w="743" w:type="dxa"/>
            <w:vMerge w:val="continue"/>
            <w:vAlign w:val="center"/>
          </w:tcPr>
          <w:p>
            <w:pPr>
              <w:rPr>
                <w:rFonts w:ascii="宋体"/>
                <w:szCs w:val="21"/>
              </w:rPr>
            </w:pPr>
          </w:p>
        </w:tc>
        <w:tc>
          <w:tcPr>
            <w:tcW w:w="1275" w:type="dxa"/>
            <w:tcBorders>
              <w:right w:val="single" w:color="auto" w:sz="4" w:space="0"/>
            </w:tcBorders>
            <w:vAlign w:val="center"/>
          </w:tcPr>
          <w:p>
            <w:pPr>
              <w:widowControl/>
              <w:spacing w:line="240" w:lineRule="exact"/>
              <w:jc w:val="center"/>
              <w:rPr>
                <w:b/>
              </w:rPr>
            </w:pPr>
            <w:r>
              <w:rPr>
                <w:rFonts w:hint="eastAsia" w:ascii="仿宋_GB2312" w:hAnsi="新宋体" w:eastAsia="仿宋_GB2312" w:cs="仿宋_GB2312"/>
                <w:b/>
                <w:kern w:val="0"/>
                <w:sz w:val="24"/>
                <w:szCs w:val="24"/>
              </w:rPr>
              <w:t>指标名称</w:t>
            </w:r>
          </w:p>
        </w:tc>
        <w:tc>
          <w:tcPr>
            <w:tcW w:w="3436" w:type="dxa"/>
            <w:tcBorders>
              <w:left w:val="single" w:color="auto" w:sz="4" w:space="0"/>
              <w:right w:val="single" w:color="auto" w:sz="4" w:space="0"/>
            </w:tcBorders>
            <w:vAlign w:val="center"/>
          </w:tcPr>
          <w:p>
            <w:pPr>
              <w:widowControl/>
              <w:spacing w:line="240" w:lineRule="exact"/>
              <w:jc w:val="center"/>
              <w:rPr>
                <w:b/>
              </w:rPr>
            </w:pPr>
            <w:r>
              <w:rPr>
                <w:rFonts w:hint="eastAsia" w:ascii="仿宋_GB2312" w:hAnsi="新宋体" w:eastAsia="仿宋_GB2312" w:cs="仿宋_GB2312"/>
                <w:b/>
                <w:kern w:val="0"/>
                <w:sz w:val="24"/>
                <w:szCs w:val="24"/>
              </w:rPr>
              <w:t>指标解释说明</w:t>
            </w:r>
          </w:p>
        </w:tc>
        <w:tc>
          <w:tcPr>
            <w:tcW w:w="2373" w:type="dxa"/>
            <w:vMerge w:val="continue"/>
            <w:tcBorders>
              <w:left w:val="single" w:color="auto" w:sz="4" w:space="0"/>
              <w:right w:val="single" w:color="auto" w:sz="4" w:space="0"/>
            </w:tcBorders>
            <w:vAlign w:val="center"/>
          </w:tcPr>
          <w:p>
            <w:pPr>
              <w:rPr>
                <w:rFonts w:ascii="宋体"/>
                <w:szCs w:val="21"/>
              </w:rPr>
            </w:pPr>
          </w:p>
        </w:tc>
        <w:tc>
          <w:tcPr>
            <w:tcW w:w="764" w:type="dxa"/>
            <w:vMerge w:val="continue"/>
            <w:tcBorders>
              <w:left w:val="single" w:color="auto"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vAlign w:val="center"/>
          </w:tcPr>
          <w:p>
            <w:pPr>
              <w:widowControl/>
              <w:spacing w:line="240" w:lineRule="exact"/>
              <w:jc w:val="left"/>
              <w:rPr>
                <w:szCs w:val="21"/>
              </w:rPr>
            </w:pPr>
            <w:r>
              <w:rPr>
                <w:rFonts w:hint="eastAsia" w:ascii="仿宋_GB2312" w:hAnsi="新宋体" w:eastAsia="仿宋_GB2312" w:cs="仿宋_GB2312"/>
                <w:kern w:val="0"/>
                <w:szCs w:val="21"/>
              </w:rPr>
              <w:t>投入（</w:t>
            </w:r>
            <w:r>
              <w:rPr>
                <w:rFonts w:ascii="仿宋_GB2312" w:hAnsi="新宋体" w:eastAsia="仿宋_GB2312" w:cs="仿宋_GB2312"/>
                <w:kern w:val="0"/>
                <w:szCs w:val="21"/>
              </w:rPr>
              <w:t>10</w:t>
            </w:r>
            <w:r>
              <w:rPr>
                <w:rFonts w:hint="eastAsia" w:ascii="仿宋_GB2312" w:hAnsi="新宋体" w:eastAsia="仿宋_GB2312" w:cs="仿宋_GB2312"/>
                <w:kern w:val="0"/>
                <w:szCs w:val="21"/>
              </w:rPr>
              <w:t>）</w:t>
            </w:r>
          </w:p>
        </w:tc>
        <w:tc>
          <w:tcPr>
            <w:tcW w:w="743" w:type="dxa"/>
            <w:vMerge w:val="restart"/>
            <w:vAlign w:val="center"/>
          </w:tcPr>
          <w:p>
            <w:pPr>
              <w:widowControl/>
              <w:spacing w:line="240" w:lineRule="exact"/>
              <w:jc w:val="left"/>
              <w:rPr>
                <w:szCs w:val="21"/>
              </w:rPr>
            </w:pPr>
            <w:r>
              <w:rPr>
                <w:rFonts w:hint="eastAsia" w:ascii="仿宋_GB2312" w:hAnsi="新宋体" w:eastAsia="仿宋_GB2312" w:cs="仿宋_GB2312"/>
                <w:kern w:val="0"/>
                <w:szCs w:val="21"/>
              </w:rPr>
              <w:t>绩效目标设定情况</w:t>
            </w:r>
          </w:p>
          <w:p>
            <w:pPr>
              <w:widowControl/>
              <w:spacing w:line="240" w:lineRule="exact"/>
              <w:jc w:val="left"/>
              <w:rPr>
                <w:color w:val="FF0000"/>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1275" w:type="dxa"/>
            <w:tcBorders>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职责明确</w:t>
            </w:r>
            <w:r>
              <w:rPr>
                <w:rFonts w:ascii="仿宋_GB2312" w:hAnsi="新宋体" w:eastAsia="仿宋_GB2312" w:cs="仿宋_GB2312"/>
                <w:kern w:val="0"/>
                <w:szCs w:val="21"/>
              </w:rPr>
              <w:t xml:space="preserve"> </w:t>
            </w:r>
            <w:r>
              <w:rPr>
                <w:rFonts w:hint="eastAsia" w:ascii="仿宋_GB2312" w:hAnsi="新宋体" w:eastAsia="仿宋_GB2312" w:cs="仿宋_GB2312"/>
                <w:kern w:val="0"/>
                <w:szCs w:val="21"/>
              </w:rPr>
              <w:t>（</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left w:val="single" w:color="auto"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符合（</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pPr>
              <w:widowControl/>
              <w:spacing w:line="240" w:lineRule="exact"/>
              <w:jc w:val="left"/>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vAlign w:val="center"/>
          </w:tcPr>
          <w:p>
            <w:pPr>
              <w:spacing w:line="240" w:lineRule="exact"/>
              <w:rPr>
                <w:rFonts w:ascii="宋体"/>
                <w:szCs w:val="21"/>
              </w:rPr>
            </w:pPr>
          </w:p>
        </w:tc>
        <w:tc>
          <w:tcPr>
            <w:tcW w:w="743" w:type="dxa"/>
            <w:vMerge w:val="continue"/>
            <w:vAlign w:val="center"/>
          </w:tcPr>
          <w:p>
            <w:pPr>
              <w:spacing w:line="240" w:lineRule="exact"/>
              <w:rPr>
                <w:rFonts w:ascii="宋体"/>
                <w:szCs w:val="21"/>
              </w:rPr>
            </w:pPr>
          </w:p>
        </w:tc>
        <w:tc>
          <w:tcPr>
            <w:tcW w:w="1275" w:type="dxa"/>
            <w:tcBorders>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活动合规性（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hint="eastAsia"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部门活动符合市委、市政府的发展规划及本部门的年度工作安排与发展规划。</w:t>
            </w:r>
          </w:p>
        </w:tc>
        <w:tc>
          <w:tcPr>
            <w:tcW w:w="2373" w:type="dxa"/>
            <w:tcBorders>
              <w:left w:val="single" w:color="auto"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其中一项不符合（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pPr>
              <w:widowControl/>
              <w:spacing w:line="240" w:lineRule="exact"/>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rPr>
                <w:rFonts w:ascii="宋体"/>
                <w:szCs w:val="21"/>
              </w:rPr>
            </w:pPr>
          </w:p>
        </w:tc>
        <w:tc>
          <w:tcPr>
            <w:tcW w:w="743" w:type="dxa"/>
            <w:vMerge w:val="continue"/>
            <w:vAlign w:val="center"/>
          </w:tcPr>
          <w:p>
            <w:pPr>
              <w:spacing w:line="240" w:lineRule="exact"/>
              <w:rPr>
                <w:rFonts w:ascii="宋体"/>
                <w:szCs w:val="21"/>
              </w:rPr>
            </w:pPr>
          </w:p>
        </w:tc>
        <w:tc>
          <w:tcPr>
            <w:tcW w:w="1275" w:type="dxa"/>
            <w:tcBorders>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活动合理性（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left"/>
              <w:rPr>
                <w:szCs w:val="21"/>
              </w:rPr>
            </w:pPr>
            <w:r>
              <w:rPr>
                <w:rFonts w:hint="eastAsia"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在活动目标设定时，将关键指标明细分解为具体的达成目标与工作任务。</w:t>
            </w:r>
          </w:p>
        </w:tc>
        <w:tc>
          <w:tcPr>
            <w:tcW w:w="2373" w:type="dxa"/>
            <w:tcBorders>
              <w:left w:val="single" w:color="auto"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其中一项不符合（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pPr>
              <w:widowControl/>
              <w:spacing w:line="240" w:lineRule="exact"/>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vAlign w:val="center"/>
          </w:tcPr>
          <w:p>
            <w:pPr>
              <w:spacing w:line="240" w:lineRule="exact"/>
              <w:rPr>
                <w:rFonts w:ascii="宋体"/>
                <w:szCs w:val="21"/>
              </w:rPr>
            </w:pPr>
          </w:p>
        </w:tc>
        <w:tc>
          <w:tcPr>
            <w:tcW w:w="743" w:type="dxa"/>
            <w:vMerge w:val="restart"/>
            <w:vAlign w:val="center"/>
          </w:tcPr>
          <w:p>
            <w:pPr>
              <w:widowControl/>
              <w:spacing w:line="240" w:lineRule="exact"/>
              <w:jc w:val="left"/>
              <w:rPr>
                <w:szCs w:val="21"/>
              </w:rPr>
            </w:pPr>
            <w:r>
              <w:rPr>
                <w:rFonts w:hint="eastAsia" w:ascii="仿宋_GB2312" w:hAnsi="新宋体" w:eastAsia="仿宋_GB2312" w:cs="仿宋_GB2312"/>
                <w:kern w:val="0"/>
                <w:szCs w:val="21"/>
              </w:rPr>
              <w:t>预算配置情况</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部门本年度实际在职人员数与编制数的比率，用以反映和评价部门对人员成本的控制程度。</w:t>
            </w:r>
          </w:p>
          <w:p>
            <w:pPr>
              <w:widowControl/>
              <w:spacing w:line="240" w:lineRule="exact"/>
              <w:jc w:val="left"/>
              <w:rPr>
                <w:szCs w:val="21"/>
              </w:rPr>
            </w:pP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（在职人员数</w:t>
            </w:r>
            <w:r>
              <w:rPr>
                <w:rFonts w:ascii="仿宋_GB2312" w:hAnsi="新宋体" w:eastAsia="仿宋_GB2312" w:cs="仿宋_GB2312"/>
                <w:kern w:val="0"/>
                <w:szCs w:val="21"/>
              </w:rPr>
              <w:t>/</w:t>
            </w:r>
            <w:r>
              <w:rPr>
                <w:rFonts w:hint="eastAsia" w:ascii="仿宋_GB2312" w:hAnsi="新宋体" w:eastAsia="仿宋_GB2312" w:cs="仿宋_GB2312"/>
                <w:kern w:val="0"/>
                <w:szCs w:val="21"/>
              </w:rPr>
              <w:t>编制数）×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spacing w:line="240" w:lineRule="exact"/>
              <w:jc w:val="left"/>
              <w:rPr>
                <w:szCs w:val="21"/>
              </w:rPr>
            </w:pPr>
            <w:r>
              <w:rPr>
                <w:rFonts w:hint="eastAsia"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在职人员控制率小于或等于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在职人员控制率大于或等于</w:t>
            </w:r>
            <w:r>
              <w:rPr>
                <w:rFonts w:ascii="仿宋_GB2312" w:hAnsi="新宋体" w:eastAsia="仿宋_GB2312" w:cs="仿宋_GB2312"/>
                <w:kern w:val="0"/>
                <w:szCs w:val="21"/>
              </w:rPr>
              <w:t>115%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在职人员控制率在</w:t>
            </w:r>
            <w:r>
              <w:rPr>
                <w:rFonts w:ascii="仿宋_GB2312" w:hAnsi="新宋体" w:eastAsia="仿宋_GB2312" w:cs="仿宋_GB2312"/>
                <w:kern w:val="0"/>
                <w:szCs w:val="21"/>
              </w:rPr>
              <w:t>100%-115%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pPr>
              <w:widowControl/>
              <w:spacing w:line="240" w:lineRule="exact"/>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（在职人员控制率）－某部门在职人员控制率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pPr>
              <w:widowControl/>
              <w:spacing w:line="240" w:lineRule="exact"/>
              <w:jc w:val="left"/>
              <w:rPr>
                <w:szCs w:val="21"/>
              </w:rPr>
            </w:pPr>
            <w:r>
              <w:rPr>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vAlign w:val="center"/>
          </w:tcPr>
          <w:p>
            <w:pPr>
              <w:spacing w:line="240" w:lineRule="exact"/>
              <w:rPr>
                <w:rFonts w:ascii="宋体"/>
                <w:szCs w:val="21"/>
              </w:rPr>
            </w:pPr>
          </w:p>
        </w:tc>
        <w:tc>
          <w:tcPr>
            <w:tcW w:w="743" w:type="dxa"/>
            <w:vMerge w:val="continue"/>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w:t>
            </w:r>
            <w:r>
              <w:rPr>
                <w:rFonts w:ascii="仿宋" w:hAnsi="仿宋" w:eastAsia="仿宋" w:cs="仿宋"/>
                <w:color w:val="000000"/>
                <w:kern w:val="0"/>
                <w:szCs w:val="21"/>
              </w:rPr>
              <w:t>2</w:t>
            </w:r>
            <w:r>
              <w:rPr>
                <w:rFonts w:hint="eastAsia" w:ascii="仿宋" w:hAnsi="仿宋" w:eastAsia="仿宋" w:cs="仿宋"/>
                <w:color w:val="000000"/>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w:t>
            </w:r>
            <w:r>
              <w:rPr>
                <w:rFonts w:ascii="仿宋" w:hAnsi="仿宋" w:eastAsia="仿宋" w:cs="仿宋"/>
                <w:color w:val="000000"/>
                <w:kern w:val="0"/>
                <w:szCs w:val="21"/>
              </w:rPr>
              <w:t>=[</w:t>
            </w:r>
            <w:r>
              <w:rPr>
                <w:rFonts w:hint="eastAsia" w:ascii="仿宋" w:hAnsi="仿宋" w:eastAsia="仿宋" w:cs="仿宋"/>
                <w:color w:val="000000"/>
                <w:kern w:val="0"/>
                <w:szCs w:val="21"/>
              </w:rPr>
              <w:t>（本年度“三公经费”总额</w:t>
            </w:r>
            <w:r>
              <w:rPr>
                <w:rFonts w:ascii="仿宋" w:hAnsi="仿宋" w:eastAsia="仿宋" w:cs="仿宋"/>
                <w:color w:val="000000"/>
                <w:kern w:val="0"/>
                <w:szCs w:val="21"/>
              </w:rPr>
              <w:t>-</w:t>
            </w:r>
            <w:r>
              <w:rPr>
                <w:rFonts w:hint="eastAsia" w:ascii="仿宋" w:hAnsi="仿宋" w:eastAsia="仿宋" w:cs="仿宋"/>
                <w:color w:val="000000"/>
                <w:kern w:val="0"/>
                <w:szCs w:val="21"/>
              </w:rPr>
              <w:t>上年度“三公经费”总额）</w:t>
            </w:r>
            <w:r>
              <w:rPr>
                <w:rFonts w:ascii="仿宋" w:hAnsi="仿宋" w:eastAsia="仿宋" w:cs="仿宋"/>
                <w:color w:val="000000"/>
                <w:kern w:val="0"/>
                <w:szCs w:val="21"/>
              </w:rPr>
              <w:t>/</w:t>
            </w:r>
            <w:r>
              <w:rPr>
                <w:rFonts w:hint="eastAsia" w:ascii="仿宋" w:hAnsi="仿宋" w:eastAsia="仿宋" w:cs="仿宋"/>
                <w:color w:val="000000"/>
                <w:kern w:val="0"/>
                <w:szCs w:val="21"/>
              </w:rPr>
              <w:t>上年度“三公经费”总额</w:t>
            </w:r>
            <w:r>
              <w:rPr>
                <w:rFonts w:ascii="仿宋" w:hAnsi="仿宋" w:eastAsia="仿宋" w:cs="仿宋"/>
                <w:color w:val="000000"/>
                <w:kern w:val="0"/>
                <w:szCs w:val="21"/>
              </w:rPr>
              <w:t>]</w:t>
            </w:r>
            <w:r>
              <w:rPr>
                <w:rFonts w:hint="eastAsia" w:ascii="仿宋" w:hAnsi="仿宋" w:eastAsia="仿宋" w:cs="仿宋"/>
                <w:color w:val="000000"/>
                <w:kern w:val="0"/>
                <w:szCs w:val="21"/>
              </w:rPr>
              <w:t>×</w:t>
            </w:r>
            <w:r>
              <w:rPr>
                <w:rFonts w:ascii="仿宋" w:hAnsi="仿宋" w:eastAsia="仿宋" w:cs="仿宋"/>
                <w:color w:val="000000"/>
                <w:kern w:val="0"/>
                <w:szCs w:val="21"/>
              </w:rPr>
              <w:t>100%</w:t>
            </w:r>
            <w:r>
              <w:rPr>
                <w:rFonts w:hint="eastAsia" w:ascii="仿宋" w:hAnsi="仿宋" w:eastAsia="仿宋" w:cs="仿宋"/>
                <w:color w:val="000000"/>
                <w:kern w:val="0"/>
                <w:szCs w:val="21"/>
              </w:rPr>
              <w:t>。</w:t>
            </w:r>
            <w:r>
              <w:rPr>
                <w:rFonts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小于或等于</w:t>
            </w:r>
            <w:r>
              <w:rPr>
                <w:rFonts w:ascii="仿宋_GB2312" w:hAnsi="新宋体" w:eastAsia="仿宋_GB2312" w:cs="仿宋_GB2312"/>
                <w:kern w:val="0"/>
                <w:szCs w:val="21"/>
              </w:rPr>
              <w:t>-5%</w:t>
            </w:r>
            <w:r>
              <w:rPr>
                <w:rFonts w:hint="eastAsia" w:ascii="仿宋_GB2312" w:hAnsi="新宋体" w:eastAsia="仿宋_GB2312" w:cs="仿宋_GB2312"/>
                <w:kern w:val="0"/>
                <w:szCs w:val="21"/>
              </w:rPr>
              <w:t>的，得满分；</w:t>
            </w:r>
          </w:p>
          <w:p>
            <w:pPr>
              <w:widowControl/>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大于或等于</w:t>
            </w:r>
            <w:r>
              <w:rPr>
                <w:rFonts w:ascii="仿宋_GB2312" w:hAnsi="新宋体" w:eastAsia="仿宋_GB2312" w:cs="仿宋_GB2312"/>
                <w:kern w:val="0"/>
                <w:szCs w:val="21"/>
              </w:rPr>
              <w:t>10%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在职人员控制率在</w:t>
            </w:r>
            <w:r>
              <w:rPr>
                <w:rFonts w:ascii="仿宋_GB2312" w:hAnsi="新宋体" w:eastAsia="仿宋_GB2312" w:cs="仿宋_GB2312"/>
                <w:kern w:val="0"/>
                <w:szCs w:val="21"/>
              </w:rPr>
              <w:t>-5%-10%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pPr>
              <w:widowControl/>
              <w:spacing w:line="240" w:lineRule="exact"/>
              <w:jc w:val="left"/>
              <w:textAlignment w:val="center"/>
              <w:rPr>
                <w:rFonts w:ascii="仿宋" w:hAnsi="仿宋" w:eastAsia="仿宋" w:cs="仿宋"/>
                <w:kern w:val="0"/>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pPr>
              <w:widowControl/>
              <w:spacing w:line="240" w:lineRule="exact"/>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vAlign w:val="center"/>
          </w:tcPr>
          <w:p>
            <w:pPr>
              <w:spacing w:line="240" w:lineRule="exact"/>
              <w:rPr>
                <w:rFonts w:ascii="宋体"/>
                <w:szCs w:val="21"/>
              </w:rPr>
            </w:pPr>
          </w:p>
        </w:tc>
        <w:tc>
          <w:tcPr>
            <w:tcW w:w="743" w:type="dxa"/>
            <w:vMerge w:val="continue"/>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w:t>
            </w:r>
            <w:r>
              <w:rPr>
                <w:rFonts w:ascii="仿宋" w:hAnsi="仿宋" w:eastAsia="仿宋" w:cs="仿宋"/>
                <w:color w:val="000000"/>
                <w:kern w:val="0"/>
                <w:szCs w:val="21"/>
              </w:rPr>
              <w:t>2</w:t>
            </w:r>
            <w:r>
              <w:rPr>
                <w:rFonts w:hint="eastAsia" w:ascii="仿宋" w:hAnsi="仿宋" w:eastAsia="仿宋" w:cs="仿宋"/>
                <w:color w:val="000000"/>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w:t>
            </w:r>
            <w:r>
              <w:rPr>
                <w:rFonts w:ascii="仿宋" w:hAnsi="仿宋" w:eastAsia="仿宋" w:cs="仿宋"/>
                <w:color w:val="000000"/>
                <w:kern w:val="0"/>
                <w:szCs w:val="21"/>
              </w:rPr>
              <w:t>=</w:t>
            </w:r>
            <w:r>
              <w:rPr>
                <w:rFonts w:hint="eastAsia" w:ascii="仿宋" w:hAnsi="仿宋" w:eastAsia="仿宋" w:cs="仿宋"/>
                <w:color w:val="000000"/>
                <w:kern w:val="0"/>
                <w:szCs w:val="21"/>
              </w:rPr>
              <w:t>（重点项目支出</w:t>
            </w:r>
            <w:r>
              <w:rPr>
                <w:rFonts w:ascii="仿宋" w:hAnsi="仿宋" w:eastAsia="仿宋" w:cs="仿宋"/>
                <w:color w:val="000000"/>
                <w:kern w:val="0"/>
                <w:szCs w:val="21"/>
              </w:rPr>
              <w:t>/</w:t>
            </w:r>
            <w:r>
              <w:rPr>
                <w:rFonts w:hint="eastAsia" w:ascii="仿宋" w:hAnsi="仿宋" w:eastAsia="仿宋" w:cs="仿宋"/>
                <w:color w:val="000000"/>
                <w:kern w:val="0"/>
                <w:szCs w:val="21"/>
              </w:rPr>
              <w:t>项目总支出）×</w:t>
            </w:r>
            <w:r>
              <w:rPr>
                <w:rFonts w:ascii="仿宋" w:hAnsi="仿宋" w:eastAsia="仿宋" w:cs="仿宋"/>
                <w:color w:val="000000"/>
                <w:kern w:val="0"/>
                <w:szCs w:val="21"/>
              </w:rPr>
              <w:t>100%</w:t>
            </w:r>
            <w:r>
              <w:rPr>
                <w:rFonts w:hint="eastAsia" w:ascii="仿宋" w:hAnsi="仿宋" w:eastAsia="仿宋" w:cs="仿宋"/>
                <w:color w:val="000000"/>
                <w:kern w:val="0"/>
                <w:szCs w:val="21"/>
              </w:rPr>
              <w:t>。</w:t>
            </w:r>
            <w:r>
              <w:rPr>
                <w:rFonts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pPr>
              <w:widowControl/>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pPr>
              <w:widowControl/>
              <w:spacing w:line="240" w:lineRule="exact"/>
              <w:jc w:val="left"/>
              <w:textAlignment w:val="center"/>
              <w:rPr>
                <w:rFonts w:ascii="仿宋" w:hAnsi="仿宋" w:eastAsia="仿宋" w:cs="仿宋"/>
                <w:kern w:val="0"/>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pPr>
              <w:widowControl/>
              <w:spacing w:line="240" w:lineRule="exact"/>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pPr>
              <w:widowControl/>
              <w:spacing w:line="240" w:lineRule="exact"/>
              <w:jc w:val="left"/>
              <w:rPr>
                <w:szCs w:val="21"/>
              </w:rPr>
            </w:pPr>
            <w:r>
              <w:rPr>
                <w:rFonts w:hint="eastAsia" w:ascii="仿宋_GB2312" w:hAnsi="新宋体" w:eastAsia="仿宋_GB2312" w:cs="仿宋_GB2312"/>
                <w:kern w:val="0"/>
                <w:szCs w:val="21"/>
              </w:rPr>
              <w:t>过程</w:t>
            </w:r>
            <w:r>
              <w:rPr>
                <w:rFonts w:ascii="仿宋_GB2312" w:hAnsi="新宋体" w:eastAsia="仿宋_GB2312" w:cs="仿宋_GB2312"/>
                <w:kern w:val="0"/>
                <w:szCs w:val="21"/>
              </w:rPr>
              <w:t>(45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vAlign w:val="center"/>
          </w:tcPr>
          <w:p>
            <w:pPr>
              <w:widowControl/>
              <w:spacing w:line="240" w:lineRule="exact"/>
              <w:jc w:val="left"/>
              <w:rPr>
                <w:szCs w:val="21"/>
              </w:rPr>
            </w:pPr>
            <w:r>
              <w:rPr>
                <w:rFonts w:hint="eastAsia" w:ascii="仿宋_GB2312" w:hAnsi="新宋体" w:eastAsia="仿宋_GB2312" w:cs="仿宋_GB2312"/>
                <w:kern w:val="0"/>
                <w:szCs w:val="21"/>
              </w:rPr>
              <w:t>预算执行情况</w:t>
            </w:r>
            <w:r>
              <w:rPr>
                <w:rFonts w:ascii="仿宋_GB2312" w:hAnsi="新宋体" w:eastAsia="仿宋_GB2312" w:cs="仿宋_GB2312"/>
                <w:kern w:val="0"/>
                <w:szCs w:val="21"/>
              </w:rPr>
              <w:t>(25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通过对部门本年度预算完成数与预算数的比较，反映和评价部门预算的完成程度。</w:t>
            </w:r>
          </w:p>
          <w:p>
            <w:pPr>
              <w:widowControl/>
              <w:spacing w:line="240" w:lineRule="exact"/>
              <w:jc w:val="left"/>
              <w:rPr>
                <w:szCs w:val="21"/>
              </w:rPr>
            </w:pP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（预算完成数</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预算完成率大于或等于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预算完成率小于或等于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预算完成率在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pPr>
              <w:widowControl/>
              <w:spacing w:line="240" w:lineRule="exact"/>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某部门预算完成率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left w:val="single" w:color="auto" w:sz="4" w:space="0"/>
            </w:tcBorders>
            <w:vAlign w:val="center"/>
          </w:tcPr>
          <w:p>
            <w:pPr>
              <w:widowControl/>
              <w:spacing w:line="240" w:lineRule="exact"/>
              <w:jc w:val="left"/>
              <w:rPr>
                <w:szCs w:val="21"/>
              </w:rPr>
            </w:pPr>
            <w:r>
              <w:rPr>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rPr>
                <w:rFonts w:ascii="宋体"/>
                <w:szCs w:val="21"/>
              </w:rPr>
            </w:pPr>
          </w:p>
        </w:tc>
        <w:tc>
          <w:tcPr>
            <w:tcW w:w="743" w:type="dxa"/>
            <w:vMerge w:val="continue"/>
            <w:vAlign w:val="center"/>
          </w:tcPr>
          <w:p>
            <w:pPr>
              <w:spacing w:line="240" w:lineRule="exact"/>
              <w:rPr>
                <w:rFonts w:ascii="宋体"/>
                <w:szCs w:val="21"/>
              </w:rPr>
            </w:pPr>
          </w:p>
        </w:tc>
        <w:tc>
          <w:tcPr>
            <w:tcW w:w="1275" w:type="dxa"/>
            <w:tcBorders>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left"/>
              <w:rPr>
                <w:szCs w:val="21"/>
              </w:rPr>
            </w:pP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（预算调整数</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预算调整率等于</w:t>
            </w:r>
            <w:r>
              <w:rPr>
                <w:rFonts w:ascii="仿宋_GB2312" w:hAnsi="新宋体" w:eastAsia="仿宋_GB2312" w:cs="仿宋_GB2312"/>
                <w:kern w:val="0"/>
                <w:szCs w:val="21"/>
              </w:rPr>
              <w:t>0</w:t>
            </w:r>
            <w:r>
              <w:rPr>
                <w:rFonts w:hint="eastAsia" w:ascii="仿宋_GB2312" w:hAnsi="新宋体" w:eastAsia="仿宋_GB2312" w:cs="仿宋_GB2312"/>
                <w:kern w:val="0"/>
                <w:szCs w:val="21"/>
              </w:rPr>
              <w:t>的，得满分；</w:t>
            </w:r>
            <w:r>
              <w:rPr>
                <w:rFonts w:ascii="仿宋_GB2312" w:hAnsi="新宋体" w:eastAsia="仿宋_GB2312" w:cs="仿宋_GB2312"/>
                <w:kern w:val="0"/>
                <w:szCs w:val="21"/>
              </w:rPr>
              <w:t xml:space="preserve"> </w:t>
            </w:r>
          </w:p>
          <w:p>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预算调整率大于或等于</w:t>
            </w:r>
            <w:r>
              <w:rPr>
                <w:rFonts w:ascii="仿宋_GB2312" w:hAnsi="新宋体" w:eastAsia="仿宋_GB2312" w:cs="仿宋_GB2312"/>
                <w:kern w:val="0"/>
                <w:szCs w:val="21"/>
              </w:rPr>
              <w:t>10%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预算调整率在</w:t>
            </w:r>
            <w:r>
              <w:rPr>
                <w:rFonts w:ascii="仿宋_GB2312" w:hAnsi="新宋体" w:eastAsia="仿宋_GB2312" w:cs="仿宋_GB2312"/>
                <w:kern w:val="0"/>
                <w:szCs w:val="21"/>
              </w:rPr>
              <w:t>0-10%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分和满分之间确定：</w:t>
            </w:r>
          </w:p>
          <w:p>
            <w:pPr>
              <w:widowControl/>
              <w:spacing w:line="240" w:lineRule="exact"/>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（预算调整率）］×该指标分值。</w:t>
            </w:r>
          </w:p>
        </w:tc>
        <w:tc>
          <w:tcPr>
            <w:tcW w:w="764" w:type="dxa"/>
            <w:tcBorders>
              <w:left w:val="single" w:color="auto" w:sz="4" w:space="0"/>
            </w:tcBorders>
            <w:vAlign w:val="center"/>
          </w:tcPr>
          <w:p>
            <w:pPr>
              <w:widowControl/>
              <w:spacing w:line="240" w:lineRule="exact"/>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vAlign w:val="center"/>
          </w:tcPr>
          <w:p>
            <w:pPr>
              <w:spacing w:line="240" w:lineRule="exact"/>
              <w:rPr>
                <w:rFonts w:ascii="宋体"/>
                <w:szCs w:val="21"/>
              </w:rPr>
            </w:pPr>
          </w:p>
        </w:tc>
        <w:tc>
          <w:tcPr>
            <w:tcW w:w="743" w:type="dxa"/>
            <w:vMerge w:val="continue"/>
            <w:vAlign w:val="center"/>
          </w:tcPr>
          <w:p>
            <w:pPr>
              <w:spacing w:line="240" w:lineRule="exact"/>
              <w:rPr>
                <w:rFonts w:ascii="宋体"/>
                <w:szCs w:val="21"/>
              </w:rPr>
            </w:pPr>
          </w:p>
        </w:tc>
        <w:tc>
          <w:tcPr>
            <w:tcW w:w="1275" w:type="dxa"/>
            <w:tcBorders>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支付进度率</w:t>
            </w: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部门年度支付数与年度任务数的比率，用以反映和评价部门预算执行的及时和均衡程度。</w:t>
            </w:r>
          </w:p>
          <w:p>
            <w:pPr>
              <w:widowControl/>
              <w:spacing w:line="240" w:lineRule="exact"/>
              <w:jc w:val="left"/>
              <w:rPr>
                <w:szCs w:val="21"/>
              </w:rPr>
            </w:pPr>
            <w:r>
              <w:rPr>
                <w:rFonts w:hint="eastAsia" w:ascii="仿宋_GB2312" w:hAnsi="新宋体" w:eastAsia="仿宋_GB2312" w:cs="仿宋_GB2312"/>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（年度支付数</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年度任务数）×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按年度的执行情况进行打分。得分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年度支付数</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年度任务数×该指标分值。</w:t>
            </w:r>
          </w:p>
          <w:p>
            <w:pPr>
              <w:widowControl/>
              <w:spacing w:line="240" w:lineRule="exact"/>
              <w:jc w:val="left"/>
              <w:rPr>
                <w:szCs w:val="21"/>
              </w:rPr>
            </w:pPr>
          </w:p>
        </w:tc>
        <w:tc>
          <w:tcPr>
            <w:tcW w:w="764" w:type="dxa"/>
            <w:tcBorders>
              <w:left w:val="single" w:color="auto" w:sz="4" w:space="0"/>
            </w:tcBorders>
            <w:vAlign w:val="center"/>
          </w:tcPr>
          <w:p>
            <w:pPr>
              <w:widowControl/>
              <w:spacing w:line="240" w:lineRule="exact"/>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vAlign w:val="center"/>
          </w:tcPr>
          <w:p>
            <w:pPr>
              <w:spacing w:line="240" w:lineRule="exact"/>
              <w:rPr>
                <w:rFonts w:ascii="宋体"/>
                <w:szCs w:val="21"/>
              </w:rPr>
            </w:pPr>
          </w:p>
        </w:tc>
        <w:tc>
          <w:tcPr>
            <w:tcW w:w="743" w:type="dxa"/>
            <w:vMerge w:val="continue"/>
            <w:vAlign w:val="center"/>
          </w:tcPr>
          <w:p>
            <w:pPr>
              <w:spacing w:line="240" w:lineRule="exact"/>
              <w:rPr>
                <w:rFonts w:ascii="宋体"/>
                <w:szCs w:val="21"/>
              </w:rPr>
            </w:pPr>
          </w:p>
        </w:tc>
        <w:tc>
          <w:tcPr>
            <w:tcW w:w="1275" w:type="dxa"/>
            <w:tcBorders>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left"/>
              <w:rPr>
                <w:szCs w:val="21"/>
              </w:rPr>
            </w:pP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w:t>
            </w:r>
            <w:r>
              <w:rPr>
                <w:rFonts w:hint="eastAsia" w:ascii="仿宋_GB2312" w:hAnsi="新宋体" w:eastAsia="仿宋_GB2312" w:cs="仿宋_GB2312"/>
                <w:kern w:val="0"/>
                <w:szCs w:val="21"/>
              </w:rPr>
              <w:t>（结转结余总额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支出预算数）×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结转结余率等于</w:t>
            </w:r>
            <w:r>
              <w:rPr>
                <w:rFonts w:ascii="仿宋_GB2312" w:hAnsi="新宋体" w:eastAsia="仿宋_GB2312" w:cs="仿宋_GB2312"/>
                <w:kern w:val="0"/>
                <w:szCs w:val="21"/>
              </w:rPr>
              <w:t>0</w:t>
            </w:r>
            <w:r>
              <w:rPr>
                <w:rFonts w:hint="eastAsia" w:ascii="仿宋_GB2312" w:hAnsi="新宋体" w:eastAsia="仿宋_GB2312" w:cs="仿宋_GB2312"/>
                <w:kern w:val="0"/>
                <w:szCs w:val="21"/>
              </w:rPr>
              <w:t>的，得满分；</w:t>
            </w:r>
          </w:p>
          <w:p>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结转结余率大于或等于</w:t>
            </w:r>
            <w:r>
              <w:rPr>
                <w:rFonts w:ascii="仿宋_GB2312" w:hAnsi="新宋体" w:eastAsia="仿宋_GB2312" w:cs="仿宋_GB2312"/>
                <w:kern w:val="0"/>
                <w:szCs w:val="21"/>
              </w:rPr>
              <w:t>50%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结转结余率在</w:t>
            </w:r>
            <w:r>
              <w:rPr>
                <w:rFonts w:ascii="仿宋_GB2312" w:hAnsi="新宋体" w:eastAsia="仿宋_GB2312" w:cs="仿宋_GB2312"/>
                <w:kern w:val="0"/>
                <w:szCs w:val="21"/>
              </w:rPr>
              <w:t>0-50%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（结转结余率）－某部门结转结余率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left w:val="single" w:color="auto" w:sz="4" w:space="0"/>
            </w:tcBorders>
            <w:vAlign w:val="center"/>
          </w:tcPr>
          <w:p>
            <w:pPr>
              <w:widowControl/>
              <w:spacing w:line="240" w:lineRule="exact"/>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vAlign w:val="center"/>
          </w:tcPr>
          <w:p>
            <w:pPr>
              <w:spacing w:line="240" w:lineRule="exact"/>
              <w:rPr>
                <w:rFonts w:ascii="宋体"/>
                <w:szCs w:val="21"/>
              </w:rPr>
            </w:pPr>
          </w:p>
        </w:tc>
        <w:tc>
          <w:tcPr>
            <w:tcW w:w="743" w:type="dxa"/>
            <w:vMerge w:val="continue"/>
            <w:vAlign w:val="center"/>
          </w:tcPr>
          <w:p>
            <w:pPr>
              <w:spacing w:line="240" w:lineRule="exact"/>
              <w:rPr>
                <w:rFonts w:ascii="宋体"/>
                <w:szCs w:val="21"/>
              </w:rPr>
            </w:pPr>
          </w:p>
        </w:tc>
        <w:tc>
          <w:tcPr>
            <w:tcW w:w="1275" w:type="dxa"/>
            <w:tcBorders>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spacing w:line="240" w:lineRule="exact"/>
              <w:jc w:val="left"/>
              <w:rPr>
                <w:szCs w:val="21"/>
              </w:rPr>
            </w:pP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（实际支出公用经费总额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预算安排公用经费总额）×</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公用经费控制率小于或等于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公用经费控制率大于或等于</w:t>
            </w:r>
            <w:r>
              <w:rPr>
                <w:rFonts w:ascii="仿宋_GB2312" w:hAnsi="新宋体" w:eastAsia="仿宋_GB2312" w:cs="仿宋_GB2312"/>
                <w:kern w:val="0"/>
                <w:szCs w:val="21"/>
              </w:rPr>
              <w:t>105%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公用经费控制率在</w:t>
            </w:r>
            <w:r>
              <w:rPr>
                <w:rFonts w:ascii="仿宋_GB2312" w:hAnsi="新宋体" w:eastAsia="仿宋_GB2312" w:cs="仿宋_GB2312"/>
                <w:kern w:val="0"/>
                <w:szCs w:val="21"/>
              </w:rPr>
              <w:t>100%-105%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（公用经费控制率）］×该指标分值。</w:t>
            </w:r>
          </w:p>
        </w:tc>
        <w:tc>
          <w:tcPr>
            <w:tcW w:w="764" w:type="dxa"/>
            <w:tcBorders>
              <w:left w:val="single" w:color="auto" w:sz="4" w:space="0"/>
            </w:tcBorders>
            <w:vAlign w:val="center"/>
          </w:tcPr>
          <w:p>
            <w:pPr>
              <w:widowControl/>
              <w:spacing w:line="240" w:lineRule="exact"/>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vAlign w:val="center"/>
          </w:tcPr>
          <w:p>
            <w:pPr>
              <w:spacing w:line="240" w:lineRule="exact"/>
              <w:rPr>
                <w:rFonts w:ascii="宋体"/>
                <w:szCs w:val="21"/>
              </w:rPr>
            </w:pPr>
          </w:p>
        </w:tc>
        <w:tc>
          <w:tcPr>
            <w:tcW w:w="743" w:type="dxa"/>
            <w:vMerge w:val="continue"/>
            <w:vAlign w:val="center"/>
          </w:tcPr>
          <w:p>
            <w:pPr>
              <w:spacing w:line="240" w:lineRule="exact"/>
              <w:rPr>
                <w:rFonts w:ascii="宋体"/>
                <w:szCs w:val="21"/>
              </w:rPr>
            </w:pPr>
          </w:p>
        </w:tc>
        <w:tc>
          <w:tcPr>
            <w:tcW w:w="1275" w:type="dxa"/>
            <w:tcBorders>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spacing w:line="240" w:lineRule="exact"/>
              <w:jc w:val="left"/>
              <w:rPr>
                <w:szCs w:val="21"/>
              </w:rPr>
            </w:pP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（实际政府采购预算项目个数</w:t>
            </w:r>
            <w:r>
              <w:rPr>
                <w:rFonts w:ascii="仿宋_GB2312" w:hAnsi="新宋体" w:eastAsia="仿宋_GB2312" w:cs="仿宋_GB2312"/>
                <w:kern w:val="0"/>
                <w:szCs w:val="21"/>
              </w:rPr>
              <w:t>/</w:t>
            </w:r>
            <w:r>
              <w:rPr>
                <w:rFonts w:hint="eastAsia" w:ascii="仿宋_GB2312" w:hAnsi="新宋体" w:eastAsia="仿宋_GB2312" w:cs="仿宋_GB2312"/>
                <w:kern w:val="0"/>
                <w:szCs w:val="21"/>
              </w:rPr>
              <w:t>政府采购预算项目个数）×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政府采购项目中非预算内安排的项目除外。</w:t>
            </w:r>
          </w:p>
        </w:tc>
        <w:tc>
          <w:tcPr>
            <w:tcW w:w="2373" w:type="dxa"/>
            <w:tcBorders>
              <w:left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政府采购执行率等于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政府采购执行率小于或等于</w:t>
            </w:r>
            <w:r>
              <w:rPr>
                <w:rFonts w:ascii="仿宋_GB2312" w:hAnsi="新宋体" w:eastAsia="仿宋_GB2312" w:cs="仿宋_GB2312"/>
                <w:kern w:val="0"/>
                <w:szCs w:val="21"/>
              </w:rPr>
              <w:t>90%</w:t>
            </w:r>
            <w:r>
              <w:rPr>
                <w:rFonts w:hint="eastAsia" w:ascii="仿宋_GB2312" w:hAnsi="新宋体" w:eastAsia="仿宋_GB2312" w:cs="仿宋_GB2312"/>
                <w:kern w:val="0"/>
                <w:szCs w:val="21"/>
              </w:rPr>
              <w:t>的，</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政府采购执行率在</w:t>
            </w:r>
            <w:r>
              <w:rPr>
                <w:rFonts w:ascii="仿宋_GB2312" w:hAnsi="新宋体" w:eastAsia="仿宋_GB2312" w:cs="仿宋_GB2312"/>
                <w:kern w:val="0"/>
                <w:szCs w:val="21"/>
              </w:rPr>
              <w:t>90%-100%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［某部门政府采购执行率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（政府采购执行率）］×该指标分值。</w:t>
            </w:r>
          </w:p>
        </w:tc>
        <w:tc>
          <w:tcPr>
            <w:tcW w:w="764" w:type="dxa"/>
            <w:tcBorders>
              <w:left w:val="single" w:color="auto" w:sz="4" w:space="0"/>
            </w:tcBorders>
            <w:vAlign w:val="center"/>
          </w:tcPr>
          <w:p>
            <w:pPr>
              <w:widowControl/>
              <w:spacing w:line="240" w:lineRule="exact"/>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rPr>
                <w:rFonts w:ascii="宋体"/>
                <w:szCs w:val="21"/>
              </w:rPr>
            </w:pPr>
          </w:p>
        </w:tc>
        <w:tc>
          <w:tcPr>
            <w:tcW w:w="743" w:type="dxa"/>
            <w:vMerge w:val="restart"/>
            <w:vAlign w:val="center"/>
          </w:tcPr>
          <w:p>
            <w:pPr>
              <w:widowControl/>
              <w:spacing w:line="240" w:lineRule="exact"/>
              <w:jc w:val="left"/>
              <w:rPr>
                <w:szCs w:val="21"/>
              </w:rPr>
            </w:pPr>
            <w:r>
              <w:rPr>
                <w:rFonts w:hint="eastAsia" w:ascii="仿宋_GB2312" w:hAnsi="新宋体" w:eastAsia="仿宋_GB2312" w:cs="仿宋_GB2312"/>
                <w:kern w:val="0"/>
                <w:szCs w:val="21"/>
              </w:rPr>
              <w:t>预算管理情况</w:t>
            </w:r>
          </w:p>
          <w:p>
            <w:pPr>
              <w:widowControl/>
              <w:spacing w:line="240" w:lineRule="exact"/>
              <w:jc w:val="left"/>
              <w:rPr>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15</w:t>
            </w:r>
            <w:r>
              <w:rPr>
                <w:rFonts w:hint="eastAsia" w:ascii="仿宋_GB2312" w:hAnsi="新宋体" w:eastAsia="仿宋_GB2312" w:cs="仿宋_GB2312"/>
                <w:kern w:val="0"/>
                <w:szCs w:val="21"/>
              </w:rPr>
              <w:t>）</w:t>
            </w:r>
          </w:p>
        </w:tc>
        <w:tc>
          <w:tcPr>
            <w:tcW w:w="1275" w:type="dxa"/>
            <w:tcBorders>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资金使用合规性（</w:t>
            </w:r>
            <w:r>
              <w:rPr>
                <w:rFonts w:ascii="仿宋_GB2312" w:hAnsi="新宋体" w:eastAsia="仿宋_GB2312" w:cs="仿宋_GB2312"/>
                <w:kern w:val="0"/>
                <w:szCs w:val="21"/>
              </w:rPr>
              <w:t>8</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left"/>
              <w:rPr>
                <w:szCs w:val="21"/>
              </w:rPr>
            </w:pPr>
            <w:r>
              <w:rPr>
                <w:rFonts w:hint="eastAsia"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资金的拨付有完整的审批过程和手续；</w:t>
            </w:r>
          </w:p>
          <w:p>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项目的重大开支经过评估论证；</w:t>
            </w:r>
          </w:p>
          <w:p>
            <w:pPr>
              <w:widowControl/>
              <w:spacing w:line="240" w:lineRule="exact"/>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符合部门预算批复的用途；</w:t>
            </w:r>
          </w:p>
          <w:p>
            <w:pPr>
              <w:widowControl/>
              <w:spacing w:line="240" w:lineRule="exact"/>
              <w:jc w:val="left"/>
              <w:rPr>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不存在截留情况；</w:t>
            </w:r>
          </w:p>
          <w:p>
            <w:pPr>
              <w:widowControl/>
              <w:spacing w:line="240" w:lineRule="exact"/>
              <w:jc w:val="left"/>
              <w:rPr>
                <w:szCs w:val="21"/>
              </w:rPr>
            </w:pPr>
            <w:r>
              <w:rPr>
                <w:rFonts w:ascii="仿宋_GB2312" w:hAnsi="新宋体" w:eastAsia="仿宋_GB2312" w:cs="仿宋_GB2312"/>
                <w:kern w:val="0"/>
                <w:szCs w:val="21"/>
              </w:rPr>
              <w:t>6.</w:t>
            </w:r>
            <w:r>
              <w:rPr>
                <w:rFonts w:hint="eastAsia" w:ascii="仿宋_GB2312" w:hAnsi="新宋体" w:eastAsia="仿宋_GB2312" w:cs="仿宋_GB2312"/>
                <w:kern w:val="0"/>
                <w:szCs w:val="21"/>
              </w:rPr>
              <w:t>不存在挤占情况；</w:t>
            </w:r>
          </w:p>
          <w:p>
            <w:pPr>
              <w:widowControl/>
              <w:spacing w:line="240" w:lineRule="exact"/>
              <w:jc w:val="left"/>
              <w:rPr>
                <w:szCs w:val="21"/>
              </w:rPr>
            </w:pPr>
            <w:r>
              <w:rPr>
                <w:rFonts w:ascii="仿宋_GB2312" w:hAnsi="新宋体" w:eastAsia="仿宋_GB2312" w:cs="仿宋_GB2312"/>
                <w:kern w:val="0"/>
                <w:szCs w:val="21"/>
              </w:rPr>
              <w:t>7.</w:t>
            </w:r>
            <w:r>
              <w:rPr>
                <w:rFonts w:hint="eastAsia" w:ascii="仿宋_GB2312" w:hAnsi="新宋体" w:eastAsia="仿宋_GB2312" w:cs="仿宋_GB2312"/>
                <w:kern w:val="0"/>
                <w:szCs w:val="21"/>
              </w:rPr>
              <w:t>不存在挪用情况；</w:t>
            </w:r>
          </w:p>
          <w:p>
            <w:pPr>
              <w:widowControl/>
              <w:spacing w:line="240" w:lineRule="exact"/>
              <w:jc w:val="left"/>
              <w:rPr>
                <w:szCs w:val="21"/>
              </w:rPr>
            </w:pPr>
            <w:r>
              <w:rPr>
                <w:rFonts w:ascii="仿宋_GB2312" w:hAnsi="新宋体" w:eastAsia="仿宋_GB2312" w:cs="仿宋_GB2312"/>
                <w:kern w:val="0"/>
                <w:szCs w:val="21"/>
              </w:rPr>
              <w:t>8.</w:t>
            </w:r>
            <w:r>
              <w:rPr>
                <w:rFonts w:hint="eastAsia" w:ascii="仿宋_GB2312" w:hAnsi="新宋体" w:eastAsia="仿宋_GB2312" w:cs="仿宋_GB2312"/>
                <w:kern w:val="0"/>
                <w:szCs w:val="21"/>
              </w:rPr>
              <w:t>不存在虚列支出情况。</w:t>
            </w:r>
          </w:p>
        </w:tc>
        <w:tc>
          <w:tcPr>
            <w:tcW w:w="2373" w:type="dxa"/>
            <w:tcBorders>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8</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符合其中七项（</w:t>
            </w:r>
            <w:r>
              <w:rPr>
                <w:rFonts w:ascii="仿宋_GB2312" w:hAnsi="新宋体" w:eastAsia="仿宋_GB2312" w:cs="仿宋_GB2312"/>
                <w:kern w:val="0"/>
                <w:szCs w:val="21"/>
              </w:rPr>
              <w:t>6</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符合其中六项（</w:t>
            </w:r>
            <w:r>
              <w:rPr>
                <w:rFonts w:ascii="仿宋_GB2312" w:hAnsi="新宋体" w:eastAsia="仿宋_GB2312" w:cs="仿宋_GB2312"/>
                <w:kern w:val="0"/>
                <w:szCs w:val="21"/>
              </w:rPr>
              <w:t>4</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符合其中五项（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符合其中四项及以下（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pPr>
              <w:widowControl/>
              <w:spacing w:line="240" w:lineRule="exact"/>
              <w:jc w:val="left"/>
              <w:rPr>
                <w:szCs w:val="21"/>
              </w:rPr>
            </w:pPr>
            <w:r>
              <w:rPr>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rPr>
                <w:rFonts w:ascii="宋体"/>
                <w:szCs w:val="21"/>
              </w:rPr>
            </w:pPr>
          </w:p>
        </w:tc>
        <w:tc>
          <w:tcPr>
            <w:tcW w:w="743" w:type="dxa"/>
            <w:vMerge w:val="continue"/>
            <w:vAlign w:val="center"/>
          </w:tcPr>
          <w:p>
            <w:pPr>
              <w:spacing w:line="240" w:lineRule="exact"/>
              <w:rPr>
                <w:rFonts w:ascii="宋体"/>
                <w:szCs w:val="21"/>
              </w:rPr>
            </w:pPr>
          </w:p>
        </w:tc>
        <w:tc>
          <w:tcPr>
            <w:tcW w:w="1275" w:type="dxa"/>
            <w:tcBorders>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预决算信息公开性（</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left"/>
              <w:rPr>
                <w:szCs w:val="21"/>
              </w:rPr>
            </w:pPr>
            <w:r>
              <w:rPr>
                <w:rFonts w:hint="eastAsia" w:ascii="仿宋_GB2312" w:hAnsi="新宋体" w:eastAsia="仿宋_GB2312" w:cs="仿宋_GB2312"/>
                <w:kern w:val="0"/>
                <w:szCs w:val="21"/>
              </w:rPr>
              <w:t>预决算信息是指与部门预算、执行、决算、监督、绩效等管理相关的信息。</w:t>
            </w:r>
          </w:p>
          <w:p>
            <w:pPr>
              <w:widowControl/>
              <w:spacing w:line="240" w:lineRule="exact"/>
              <w:jc w:val="left"/>
              <w:rPr>
                <w:szCs w:val="21"/>
              </w:rPr>
            </w:pPr>
            <w:r>
              <w:rPr>
                <w:rFonts w:hint="eastAsia"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公开预决算信息；</w:t>
            </w:r>
          </w:p>
          <w:p>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按规定内容公开预决算信息；</w:t>
            </w:r>
          </w:p>
          <w:p>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按规定时限公开预决算信息。</w:t>
            </w:r>
          </w:p>
        </w:tc>
        <w:tc>
          <w:tcPr>
            <w:tcW w:w="2373" w:type="dxa"/>
            <w:tcBorders>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3</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符合其中一项及以下（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pPr>
              <w:widowControl/>
              <w:spacing w:line="240" w:lineRule="exact"/>
              <w:jc w:val="left"/>
              <w:rPr>
                <w:szCs w:val="21"/>
              </w:rPr>
            </w:pPr>
            <w:r>
              <w:rPr>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rPr>
                <w:rFonts w:ascii="宋体"/>
                <w:szCs w:val="21"/>
              </w:rPr>
            </w:pPr>
          </w:p>
        </w:tc>
        <w:tc>
          <w:tcPr>
            <w:tcW w:w="743" w:type="dxa"/>
            <w:vMerge w:val="continue"/>
            <w:vAlign w:val="center"/>
          </w:tcPr>
          <w:p>
            <w:pPr>
              <w:spacing w:line="240" w:lineRule="exact"/>
              <w:rPr>
                <w:rFonts w:ascii="宋体"/>
                <w:szCs w:val="21"/>
              </w:rPr>
            </w:pPr>
          </w:p>
        </w:tc>
        <w:tc>
          <w:tcPr>
            <w:tcW w:w="1275" w:type="dxa"/>
            <w:tcBorders>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基础信息完善性</w:t>
            </w:r>
            <w:r>
              <w:rPr>
                <w:rFonts w:hint="eastAsia" w:ascii="仿宋_GB2312" w:hAnsi="新宋体" w:eastAsia="仿宋_GB2312" w:cs="仿宋_GB2312"/>
                <w:kern w:val="0"/>
                <w:szCs w:val="21"/>
              </w:rPr>
              <w:t>（</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left"/>
              <w:rPr>
                <w:szCs w:val="21"/>
              </w:rPr>
            </w:pPr>
            <w:r>
              <w:rPr>
                <w:rFonts w:hint="eastAsia"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基本财务管理制度健全；</w:t>
            </w:r>
          </w:p>
          <w:p>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基础数据信息和会计信息资料真实；</w:t>
            </w:r>
          </w:p>
          <w:p>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基础数据信息和会计信息资料完整；</w:t>
            </w:r>
          </w:p>
          <w:p>
            <w:pPr>
              <w:widowControl/>
              <w:spacing w:line="240" w:lineRule="exact"/>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基础数据信息和会计信息资料准确。</w:t>
            </w:r>
          </w:p>
        </w:tc>
        <w:tc>
          <w:tcPr>
            <w:tcW w:w="2373" w:type="dxa"/>
            <w:tcBorders>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符合全部四项（</w:t>
            </w:r>
            <w:r>
              <w:rPr>
                <w:rFonts w:ascii="仿宋_GB2312" w:hAnsi="新宋体" w:eastAsia="仿宋_GB2312" w:cs="仿宋_GB2312"/>
                <w:kern w:val="0"/>
                <w:szCs w:val="21"/>
              </w:rPr>
              <w:t>4</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符合其中三项（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符合其中一项及以下（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pPr>
              <w:widowControl/>
              <w:spacing w:line="240" w:lineRule="exact"/>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rPr>
                <w:rFonts w:ascii="宋体"/>
                <w:szCs w:val="21"/>
              </w:rPr>
            </w:pPr>
          </w:p>
        </w:tc>
        <w:tc>
          <w:tcPr>
            <w:tcW w:w="743" w:type="dxa"/>
            <w:vMerge w:val="restart"/>
            <w:vAlign w:val="center"/>
          </w:tcPr>
          <w:p>
            <w:pPr>
              <w:widowControl/>
              <w:spacing w:line="240" w:lineRule="exact"/>
              <w:jc w:val="left"/>
              <w:rPr>
                <w:szCs w:val="21"/>
              </w:rPr>
            </w:pPr>
            <w:r>
              <w:rPr>
                <w:rFonts w:hint="eastAsia" w:ascii="仿宋_GB2312" w:hAnsi="新宋体" w:eastAsia="仿宋_GB2312" w:cs="仿宋_GB2312"/>
                <w:kern w:val="0"/>
                <w:szCs w:val="21"/>
              </w:rPr>
              <w:t>资产管理情况（</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1275" w:type="dxa"/>
            <w:tcBorders>
              <w:top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资产管理完整性（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left"/>
              <w:rPr>
                <w:szCs w:val="21"/>
              </w:rPr>
            </w:pPr>
            <w:r>
              <w:rPr>
                <w:rFonts w:hint="eastAsia"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资产保存完整；</w:t>
            </w:r>
          </w:p>
          <w:p>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资产账务管理是否合规，</w:t>
            </w:r>
            <w:r>
              <w:rPr>
                <w:rFonts w:hint="eastAsia" w:ascii="仿宋_GB2312" w:hAnsi="新宋体" w:eastAsia="仿宋_GB2312" w:cs="仿宋_GB2312"/>
                <w:kern w:val="0"/>
                <w:szCs w:val="21"/>
                <w:lang w:val="en-US" w:eastAsia="zh-CN"/>
              </w:rPr>
              <w:t>账</w:t>
            </w:r>
            <w:bookmarkStart w:id="6" w:name="_GoBack"/>
            <w:bookmarkEnd w:id="6"/>
            <w:r>
              <w:rPr>
                <w:rFonts w:hint="eastAsia" w:ascii="仿宋_GB2312" w:hAnsi="新宋体" w:eastAsia="仿宋_GB2312" w:cs="仿宋_GB2312"/>
                <w:kern w:val="0"/>
                <w:szCs w:val="21"/>
              </w:rPr>
              <w:t>实相符；</w:t>
            </w:r>
          </w:p>
          <w:p>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资产有偿使用及处置收入及时足额上缴。</w:t>
            </w:r>
          </w:p>
        </w:tc>
        <w:tc>
          <w:tcPr>
            <w:tcW w:w="2373" w:type="dxa"/>
            <w:tcBorders>
              <w:top w:val="single" w:color="auto" w:sz="4" w:space="0"/>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符合全部三项（</w:t>
            </w:r>
            <w:r>
              <w:rPr>
                <w:rFonts w:ascii="仿宋_GB2312" w:hAnsi="新宋体" w:eastAsia="仿宋_GB2312" w:cs="仿宋_GB2312"/>
                <w:kern w:val="0"/>
                <w:szCs w:val="21"/>
              </w:rPr>
              <w:t>3</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符合其中一项（</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符合零项（</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top w:val="single" w:color="auto" w:sz="4" w:space="0"/>
              <w:left w:val="single" w:color="auto" w:sz="4" w:space="0"/>
            </w:tcBorders>
            <w:vAlign w:val="center"/>
          </w:tcPr>
          <w:p>
            <w:pPr>
              <w:widowControl/>
              <w:spacing w:line="240" w:lineRule="exact"/>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rPr>
                <w:rFonts w:ascii="宋体"/>
                <w:szCs w:val="21"/>
              </w:rPr>
            </w:pPr>
          </w:p>
        </w:tc>
        <w:tc>
          <w:tcPr>
            <w:tcW w:w="743" w:type="dxa"/>
            <w:vMerge w:val="continue"/>
            <w:vAlign w:val="center"/>
          </w:tcPr>
          <w:p>
            <w:pPr>
              <w:spacing w:line="240" w:lineRule="exact"/>
              <w:rPr>
                <w:rFonts w:ascii="宋体"/>
                <w:szCs w:val="21"/>
              </w:rPr>
            </w:pPr>
          </w:p>
        </w:tc>
        <w:tc>
          <w:tcPr>
            <w:tcW w:w="1275" w:type="dxa"/>
            <w:tcBorders>
              <w:top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left"/>
              <w:rPr>
                <w:szCs w:val="21"/>
              </w:rPr>
            </w:pP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（实际在用固定资产总额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所有固定资产总额）×</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top w:val="single" w:color="auto" w:sz="4" w:space="0"/>
              <w:left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固定资产利用率大于或等于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固定资产利用率小于或等于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固定资产利用率在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［某部门固定资产利用率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（固定资产利用率）］×该指标分值。</w:t>
            </w:r>
          </w:p>
        </w:tc>
        <w:tc>
          <w:tcPr>
            <w:tcW w:w="764" w:type="dxa"/>
            <w:tcBorders>
              <w:top w:val="single" w:color="auto" w:sz="4" w:space="0"/>
              <w:left w:val="single" w:color="auto" w:sz="4" w:space="0"/>
            </w:tcBorders>
            <w:vAlign w:val="center"/>
          </w:tcPr>
          <w:p>
            <w:pPr>
              <w:widowControl/>
              <w:spacing w:line="240" w:lineRule="exact"/>
              <w:jc w:val="left"/>
              <w:rPr>
                <w:szCs w:val="21"/>
              </w:rPr>
            </w:pPr>
            <w:r>
              <w:rPr>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pPr>
              <w:widowControl/>
              <w:spacing w:line="240" w:lineRule="exact"/>
              <w:jc w:val="left"/>
              <w:rPr>
                <w:szCs w:val="21"/>
              </w:rPr>
            </w:pPr>
            <w:r>
              <w:rPr>
                <w:rFonts w:hint="eastAsia" w:ascii="仿宋_GB2312" w:hAnsi="新宋体" w:eastAsia="仿宋_GB2312" w:cs="仿宋_GB2312"/>
                <w:kern w:val="0"/>
                <w:szCs w:val="21"/>
              </w:rPr>
              <w:t>产出</w:t>
            </w:r>
            <w:r>
              <w:rPr>
                <w:rFonts w:ascii="仿宋_GB2312" w:hAnsi="新宋体" w:eastAsia="仿宋_GB2312" w:cs="仿宋_GB2312"/>
                <w:kern w:val="0"/>
                <w:szCs w:val="21"/>
              </w:rPr>
              <w:t>(25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vAlign w:val="center"/>
          </w:tcPr>
          <w:p>
            <w:pPr>
              <w:widowControl/>
              <w:spacing w:line="240" w:lineRule="exact"/>
              <w:jc w:val="left"/>
              <w:rPr>
                <w:szCs w:val="21"/>
              </w:rPr>
            </w:pPr>
            <w:r>
              <w:rPr>
                <w:rFonts w:hint="eastAsia" w:ascii="仿宋_GB2312" w:hAnsi="新宋体" w:eastAsia="仿宋_GB2312" w:cs="仿宋_GB2312"/>
                <w:kern w:val="0"/>
                <w:szCs w:val="21"/>
              </w:rPr>
              <w:t>职责履行情况（</w:t>
            </w:r>
            <w:r>
              <w:rPr>
                <w:rFonts w:ascii="仿宋_GB2312" w:hAnsi="新宋体" w:eastAsia="仿宋_GB2312" w:cs="仿宋_GB2312"/>
                <w:kern w:val="0"/>
                <w:szCs w:val="21"/>
              </w:rPr>
              <w:t>25</w:t>
            </w:r>
            <w:r>
              <w:rPr>
                <w:rFonts w:hint="eastAsia" w:ascii="仿宋_GB2312" w:hAnsi="新宋体" w:eastAsia="仿宋_GB2312" w:cs="仿宋_GB2312"/>
                <w:kern w:val="0"/>
                <w:szCs w:val="21"/>
              </w:rPr>
              <w:t>）</w:t>
            </w:r>
          </w:p>
        </w:tc>
        <w:tc>
          <w:tcPr>
            <w:tcW w:w="1275" w:type="dxa"/>
            <w:tcBorders>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10</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根据年度主要任务分解表的具体任务，逐项评价任务量化指标完成情况、实施效果和责任制建立情况。用以反映和考核部门（单位）履职工作任务目标的完成情况。评价要点：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每项任务是否已制定了明确、具体、可量化、可衡量的绩效指标；</w:t>
            </w:r>
            <w:r>
              <w:rPr>
                <w:rFonts w:ascii="仿宋" w:hAnsi="仿宋" w:eastAsia="仿宋" w:cs="仿宋"/>
                <w:color w:val="000000"/>
                <w:kern w:val="0"/>
                <w:szCs w:val="21"/>
              </w:rPr>
              <w:t xml:space="preserve">           </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每项任务绩效指标的完成情况，是全部完成、基本完成、未完成，还是未实施；</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每项任务实施效果情况，是优秀、良好、一般，还是无效果；</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每项任务是否建立了目标责任制，是否落实到具体部门和人员负责。</w:t>
            </w:r>
          </w:p>
        </w:tc>
        <w:tc>
          <w:tcPr>
            <w:tcW w:w="2373" w:type="dxa"/>
            <w:tcBorders>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left w:val="single" w:color="auto" w:sz="4" w:space="0"/>
              <w:bottom w:val="single" w:color="auto" w:sz="4" w:space="0"/>
            </w:tcBorders>
            <w:vAlign w:val="center"/>
          </w:tcPr>
          <w:p>
            <w:pPr>
              <w:widowControl/>
              <w:spacing w:line="240" w:lineRule="exact"/>
              <w:jc w:val="left"/>
              <w:rPr>
                <w:szCs w:val="21"/>
              </w:rPr>
            </w:pPr>
            <w:r>
              <w:rPr>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vAlign w:val="center"/>
          </w:tcPr>
          <w:p>
            <w:pPr>
              <w:spacing w:line="240" w:lineRule="exact"/>
              <w:rPr>
                <w:rFonts w:ascii="宋体"/>
                <w:szCs w:val="21"/>
              </w:rPr>
            </w:pPr>
          </w:p>
        </w:tc>
        <w:tc>
          <w:tcPr>
            <w:tcW w:w="743" w:type="dxa"/>
            <w:vMerge w:val="continue"/>
            <w:vAlign w:val="center"/>
          </w:tcPr>
          <w:p>
            <w:pPr>
              <w:spacing w:line="240" w:lineRule="exact"/>
              <w:rPr>
                <w:rFonts w:ascii="宋体"/>
                <w:szCs w:val="21"/>
              </w:rPr>
            </w:pPr>
          </w:p>
        </w:tc>
        <w:tc>
          <w:tcPr>
            <w:tcW w:w="1275" w:type="dxa"/>
            <w:tcBorders>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项目完成质量达标率（</w:t>
            </w:r>
            <w:r>
              <w:rPr>
                <w:rFonts w:ascii="仿宋_GB2312" w:hAnsi="新宋体" w:eastAsia="仿宋_GB2312" w:cs="仿宋_GB2312"/>
                <w:kern w:val="0"/>
                <w:szCs w:val="21"/>
              </w:rPr>
              <w:t>15</w:t>
            </w:r>
            <w:r>
              <w:rPr>
                <w:rFonts w:hint="eastAsia" w:ascii="仿宋_GB2312" w:hAnsi="新宋体" w:eastAsia="仿宋_GB2312" w:cs="仿宋_GB2312"/>
                <w:kern w:val="0"/>
                <w:szCs w:val="21"/>
              </w:rPr>
              <w:t>）</w:t>
            </w:r>
          </w:p>
        </w:tc>
        <w:tc>
          <w:tcPr>
            <w:tcW w:w="3436" w:type="dxa"/>
            <w:tcBorders>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部门已完成项目中质量达标项目个数占已完成项目个数的比率</w:t>
            </w:r>
            <w:r>
              <w:rPr>
                <w:rFonts w:ascii="仿宋_GB2312" w:hAnsi="新宋体" w:eastAsia="仿宋_GB2312" w:cs="仿宋_GB2312"/>
                <w:kern w:val="0"/>
                <w:szCs w:val="21"/>
              </w:rPr>
              <w:t>,</w:t>
            </w:r>
            <w:r>
              <w:rPr>
                <w:rFonts w:hint="eastAsia" w:ascii="仿宋_GB2312" w:hAnsi="新宋体" w:eastAsia="仿宋_GB2312" w:cs="仿宋_GB2312"/>
                <w:kern w:val="0"/>
                <w:szCs w:val="21"/>
              </w:rPr>
              <w:t>用以反映和评价部门履职质量目标的实现程度。</w:t>
            </w:r>
          </w:p>
          <w:p>
            <w:pPr>
              <w:widowControl/>
              <w:spacing w:line="240" w:lineRule="exact"/>
              <w:jc w:val="left"/>
              <w:rPr>
                <w:szCs w:val="21"/>
              </w:rPr>
            </w:pP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w:t>
            </w:r>
            <w:r>
              <w:rPr>
                <w:rFonts w:hint="eastAsia" w:ascii="仿宋_GB2312" w:hAnsi="新宋体" w:eastAsia="仿宋_GB2312" w:cs="仿宋_GB2312"/>
                <w:kern w:val="0"/>
                <w:szCs w:val="21"/>
              </w:rPr>
              <w:t>（已完成项目中质量达标项目个数</w:t>
            </w:r>
            <w:r>
              <w:rPr>
                <w:rFonts w:ascii="仿宋_GB2312" w:hAnsi="新宋体" w:eastAsia="仿宋_GB2312" w:cs="仿宋_GB2312"/>
                <w:kern w:val="0"/>
                <w:szCs w:val="21"/>
              </w:rPr>
              <w:t>/</w:t>
            </w:r>
            <w:r>
              <w:rPr>
                <w:rFonts w:hint="eastAsia" w:ascii="仿宋_GB2312" w:hAnsi="新宋体" w:eastAsia="仿宋_GB2312" w:cs="仿宋_GB2312"/>
                <w:kern w:val="0"/>
                <w:szCs w:val="21"/>
              </w:rPr>
              <w:t>已完成项目个数）×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pPr>
              <w:widowControl/>
              <w:spacing w:line="240" w:lineRule="exact"/>
              <w:jc w:val="left"/>
              <w:rPr>
                <w:szCs w:val="21"/>
              </w:rPr>
            </w:pPr>
            <w:r>
              <w:rPr>
                <w:rFonts w:hint="eastAsia" w:ascii="仿宋_GB2312" w:hAnsi="新宋体" w:eastAsia="仿宋_GB2312" w:cs="仿宋_GB2312"/>
                <w:kern w:val="0"/>
                <w:szCs w:val="21"/>
              </w:rPr>
              <w:t>项目质量达标是指项目决算验收合格。</w:t>
            </w:r>
          </w:p>
        </w:tc>
        <w:tc>
          <w:tcPr>
            <w:tcW w:w="2373" w:type="dxa"/>
            <w:tcBorders>
              <w:left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项目质量达标率等于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pPr>
              <w:widowControl/>
              <w:spacing w:line="240" w:lineRule="exact"/>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项目质量达标率小于或等于</w:t>
            </w:r>
            <w:r>
              <w:rPr>
                <w:rFonts w:ascii="仿宋_GB2312" w:hAnsi="新宋体" w:eastAsia="仿宋_GB2312" w:cs="仿宋_GB2312"/>
                <w:kern w:val="0"/>
                <w:szCs w:val="21"/>
              </w:rPr>
              <w:t>99%</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项目质量达标率在</w:t>
            </w:r>
            <w:r>
              <w:rPr>
                <w:rFonts w:ascii="仿宋_GB2312" w:hAnsi="新宋体" w:eastAsia="仿宋_GB2312" w:cs="仿宋_GB2312"/>
                <w:kern w:val="0"/>
                <w:szCs w:val="21"/>
              </w:rPr>
              <w:t>99%-100%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r>
              <w:rPr>
                <w:rFonts w:ascii="仿宋_GB2312" w:hAnsi="新宋体" w:eastAsia="仿宋_GB2312" w:cs="仿宋_GB2312"/>
                <w:kern w:val="0"/>
                <w:szCs w:val="21"/>
              </w:rPr>
              <w:t xml:space="preserve"> </w:t>
            </w:r>
          </w:p>
          <w:p>
            <w:pPr>
              <w:widowControl/>
              <w:spacing w:line="240" w:lineRule="exact"/>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［某部门项目质量达标率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（项目质量达标率）］×该指标分值。</w:t>
            </w:r>
          </w:p>
        </w:tc>
        <w:tc>
          <w:tcPr>
            <w:tcW w:w="764" w:type="dxa"/>
            <w:tcBorders>
              <w:left w:val="single" w:color="auto" w:sz="4" w:space="0"/>
              <w:bottom w:val="single" w:color="auto" w:sz="4" w:space="0"/>
            </w:tcBorders>
            <w:vAlign w:val="center"/>
          </w:tcPr>
          <w:p>
            <w:pPr>
              <w:widowControl/>
              <w:spacing w:line="240" w:lineRule="exact"/>
              <w:jc w:val="left"/>
              <w:rPr>
                <w:szCs w:val="21"/>
              </w:rPr>
            </w:pPr>
            <w:r>
              <w:rPr>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pPr>
              <w:widowControl/>
              <w:spacing w:line="240" w:lineRule="exact"/>
              <w:jc w:val="left"/>
              <w:rPr>
                <w:szCs w:val="21"/>
              </w:rPr>
            </w:pPr>
            <w:r>
              <w:rPr>
                <w:rFonts w:hint="eastAsia" w:ascii="仿宋_GB2312" w:hAnsi="新宋体" w:eastAsia="仿宋_GB2312" w:cs="仿宋_GB2312"/>
                <w:kern w:val="0"/>
                <w:szCs w:val="21"/>
              </w:rPr>
              <w:t>效果（</w:t>
            </w:r>
            <w:r>
              <w:rPr>
                <w:rFonts w:ascii="仿宋_GB2312" w:hAnsi="新宋体" w:eastAsia="仿宋_GB2312" w:cs="仿宋_GB2312"/>
                <w:kern w:val="0"/>
                <w:szCs w:val="21"/>
              </w:rPr>
              <w:t>20</w:t>
            </w:r>
            <w:r>
              <w:rPr>
                <w:rFonts w:hint="eastAsia" w:ascii="仿宋_GB2312" w:hAnsi="新宋体" w:eastAsia="仿宋_GB2312" w:cs="仿宋_GB2312"/>
                <w:kern w:val="0"/>
                <w:szCs w:val="21"/>
              </w:rPr>
              <w:t>分）</w:t>
            </w:r>
          </w:p>
        </w:tc>
        <w:tc>
          <w:tcPr>
            <w:tcW w:w="743" w:type="dxa"/>
            <w:vMerge w:val="restart"/>
            <w:tcBorders>
              <w:top w:val="single" w:color="auto" w:sz="4" w:space="0"/>
            </w:tcBorders>
            <w:vAlign w:val="center"/>
          </w:tcPr>
          <w:p>
            <w:pPr>
              <w:widowControl/>
              <w:spacing w:line="240" w:lineRule="exact"/>
              <w:jc w:val="left"/>
              <w:rPr>
                <w:rFonts w:ascii="仿宋_GB2312" w:hAnsi="新宋体" w:eastAsia="仿宋_GB2312" w:cs="仿宋_GB2312"/>
                <w:kern w:val="0"/>
                <w:szCs w:val="21"/>
              </w:rPr>
            </w:pP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20</w:t>
            </w:r>
            <w:r>
              <w:rPr>
                <w:rFonts w:hint="eastAsia" w:ascii="仿宋_GB2312" w:hAnsi="新宋体" w:eastAsia="仿宋_GB2312" w:cs="仿宋_GB2312"/>
                <w:kern w:val="0"/>
                <w:szCs w:val="21"/>
              </w:rPr>
              <w:t>分）</w:t>
            </w:r>
          </w:p>
        </w:tc>
        <w:tc>
          <w:tcPr>
            <w:tcW w:w="1275" w:type="dxa"/>
            <w:tcBorders>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通过部门所属企事业单位改革，促进了企事业单位效益增长情况；</w:t>
            </w:r>
            <w:r>
              <w:rPr>
                <w:rFonts w:ascii="仿宋" w:hAnsi="仿宋" w:eastAsia="仿宋" w:cs="仿宋"/>
                <w:color w:val="000000"/>
                <w:kern w:val="0"/>
                <w:szCs w:val="21"/>
              </w:rPr>
              <w:t xml:space="preserve">          </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通过预算支出项目的实施，促进了行业生产能力增长，从而带动行业经济效益增长；</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通过预算支出项目的实施，有效提高劳动效率，节约成本费用；</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通过预算支出项目的实施，降低了损耗，从而提高了生产效益；</w:t>
            </w:r>
            <w:r>
              <w:rPr>
                <w:rFonts w:ascii="仿宋" w:hAnsi="仿宋" w:eastAsia="仿宋" w:cs="仿宋"/>
                <w:color w:val="000000"/>
                <w:kern w:val="0"/>
                <w:szCs w:val="21"/>
              </w:rPr>
              <w:br w:type="textWrapping"/>
            </w:r>
            <w:r>
              <w:rPr>
                <w:rFonts w:ascii="仿宋" w:hAnsi="仿宋" w:eastAsia="仿宋" w:cs="仿宋"/>
                <w:color w:val="000000"/>
                <w:kern w:val="0"/>
                <w:szCs w:val="21"/>
              </w:rPr>
              <w:t>5.</w:t>
            </w:r>
            <w:r>
              <w:rPr>
                <w:rFonts w:hint="eastAsia" w:ascii="仿宋" w:hAnsi="仿宋" w:eastAsia="仿宋" w:cs="仿宋"/>
                <w:color w:val="000000"/>
                <w:kern w:val="0"/>
                <w:szCs w:val="21"/>
              </w:rPr>
              <w:t>通过预算支出项目的实施，完善了突发情况的监测预警，保障了生产安全，降低了生产损失。</w:t>
            </w:r>
          </w:p>
        </w:tc>
        <w:tc>
          <w:tcPr>
            <w:tcW w:w="2373" w:type="dxa"/>
            <w:tcBorders>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left w:val="single" w:color="auto" w:sz="4" w:space="0"/>
            </w:tcBorders>
            <w:vAlign w:val="center"/>
          </w:tcPr>
          <w:p>
            <w:pPr>
              <w:widowControl/>
              <w:spacing w:line="240" w:lineRule="exact"/>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widowControl/>
              <w:spacing w:line="240" w:lineRule="exact"/>
              <w:jc w:val="left"/>
              <w:rPr>
                <w:rFonts w:ascii="仿宋_GB2312" w:hAnsi="新宋体" w:eastAsia="仿宋_GB2312" w:cs="仿宋_GB2312"/>
                <w:kern w:val="0"/>
                <w:szCs w:val="21"/>
              </w:rPr>
            </w:pPr>
          </w:p>
        </w:tc>
        <w:tc>
          <w:tcPr>
            <w:tcW w:w="743" w:type="dxa"/>
            <w:vMerge w:val="continue"/>
            <w:vAlign w:val="center"/>
          </w:tcPr>
          <w:p>
            <w:pPr>
              <w:widowControl/>
              <w:spacing w:line="240" w:lineRule="exact"/>
              <w:jc w:val="left"/>
              <w:rPr>
                <w:rFonts w:ascii="仿宋_GB2312" w:hAnsi="新宋体" w:eastAsia="仿宋_GB2312" w:cs="仿宋_GB2312"/>
                <w:kern w:val="0"/>
                <w:szCs w:val="21"/>
              </w:rPr>
            </w:pPr>
          </w:p>
        </w:tc>
        <w:tc>
          <w:tcPr>
            <w:tcW w:w="1275" w:type="dxa"/>
            <w:tcBorders>
              <w:right w:val="single" w:color="auto" w:sz="4" w:space="0"/>
            </w:tcBorders>
            <w:vAlign w:val="center"/>
          </w:tcPr>
          <w:p>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w:t>
            </w:r>
            <w:r>
              <w:rPr>
                <w:rFonts w:ascii="仿宋_GB2312" w:hAnsi="新宋体" w:eastAsia="仿宋_GB2312" w:cs="仿宋_GB2312"/>
                <w:color w:val="000000"/>
                <w:kern w:val="0"/>
                <w:szCs w:val="21"/>
              </w:rPr>
              <w:t>5</w:t>
            </w:r>
            <w:r>
              <w:rPr>
                <w:rFonts w:hint="eastAsia" w:ascii="仿宋_GB2312" w:hAnsi="新宋体" w:eastAsia="仿宋_GB2312" w:cs="仿宋_GB2312"/>
                <w:color w:val="000000"/>
                <w:kern w:val="0"/>
                <w:szCs w:val="21"/>
              </w:rPr>
              <w:t>分）</w:t>
            </w:r>
          </w:p>
        </w:tc>
        <w:tc>
          <w:tcPr>
            <w:tcW w:w="3436" w:type="dxa"/>
            <w:tcBorders>
              <w:left w:val="single" w:color="auto"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通过部门所属企事业单位的改革，促进了企事业单位可持续发展，带动就业增长情况；</w:t>
            </w:r>
            <w:r>
              <w:rPr>
                <w:rFonts w:ascii="仿宋" w:hAnsi="仿宋" w:eastAsia="仿宋" w:cs="仿宋"/>
                <w:color w:val="000000"/>
                <w:kern w:val="0"/>
                <w:szCs w:val="21"/>
              </w:rPr>
              <w:t xml:space="preserve">          </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通过预算支出项目的实施，是否明显促进了行业精神文明建设；</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通过部门履职是否明显提高城乡居民生活水平，满足了人们日益增长的物质与文化生活需求；</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通过预算项目的实施，是否提高了劳动生产率，降低了劳动强度，促进了劳动人民的身心健康；</w:t>
            </w:r>
            <w:r>
              <w:rPr>
                <w:rFonts w:ascii="仿宋" w:hAnsi="仿宋" w:eastAsia="仿宋" w:cs="仿宋"/>
                <w:color w:val="000000"/>
                <w:kern w:val="0"/>
                <w:szCs w:val="21"/>
              </w:rPr>
              <w:br w:type="textWrapping"/>
            </w:r>
            <w:r>
              <w:rPr>
                <w:rFonts w:ascii="仿宋" w:hAnsi="仿宋" w:eastAsia="仿宋" w:cs="仿宋"/>
                <w:color w:val="000000"/>
                <w:kern w:val="0"/>
                <w:szCs w:val="21"/>
              </w:rPr>
              <w:t>5.</w:t>
            </w:r>
            <w:r>
              <w:rPr>
                <w:rFonts w:hint="eastAsia" w:ascii="仿宋" w:hAnsi="仿宋" w:eastAsia="仿宋" w:cs="仿宋"/>
                <w:color w:val="000000"/>
                <w:kern w:val="0"/>
                <w:szCs w:val="21"/>
              </w:rPr>
              <w:t>通过部门履职行业形象是否得到了大大提升了，增强了部门影响力。</w:t>
            </w:r>
          </w:p>
        </w:tc>
        <w:tc>
          <w:tcPr>
            <w:tcW w:w="2373" w:type="dxa"/>
            <w:tcBorders>
              <w:left w:val="single" w:color="auto"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left w:val="single" w:color="auto" w:sz="4" w:space="0"/>
            </w:tcBorders>
            <w:vAlign w:val="center"/>
          </w:tcPr>
          <w:p>
            <w:pPr>
              <w:widowControl/>
              <w:spacing w:line="240" w:lineRule="exact"/>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widowControl/>
              <w:spacing w:line="240" w:lineRule="exact"/>
              <w:jc w:val="left"/>
              <w:rPr>
                <w:rFonts w:ascii="仿宋_GB2312" w:hAnsi="新宋体" w:eastAsia="仿宋_GB2312" w:cs="仿宋_GB2312"/>
                <w:kern w:val="0"/>
                <w:szCs w:val="21"/>
              </w:rPr>
            </w:pPr>
          </w:p>
        </w:tc>
        <w:tc>
          <w:tcPr>
            <w:tcW w:w="743" w:type="dxa"/>
            <w:vMerge w:val="continue"/>
            <w:vAlign w:val="center"/>
          </w:tcPr>
          <w:p>
            <w:pPr>
              <w:widowControl/>
              <w:spacing w:line="240" w:lineRule="exact"/>
              <w:jc w:val="left"/>
              <w:rPr>
                <w:rFonts w:ascii="仿宋_GB2312" w:hAnsi="新宋体" w:eastAsia="仿宋_GB2312" w:cs="仿宋_GB2312"/>
                <w:kern w:val="0"/>
                <w:szCs w:val="21"/>
              </w:rPr>
            </w:pPr>
          </w:p>
        </w:tc>
        <w:tc>
          <w:tcPr>
            <w:tcW w:w="1275" w:type="dxa"/>
            <w:tcBorders>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w:t>
            </w:r>
            <w:r>
              <w:rPr>
                <w:rFonts w:ascii="仿宋_GB2312" w:hAnsi="新宋体" w:eastAsia="仿宋_GB2312" w:cs="仿宋_GB2312"/>
                <w:color w:val="000000"/>
                <w:kern w:val="0"/>
                <w:szCs w:val="21"/>
              </w:rPr>
              <w:t>5</w:t>
            </w:r>
            <w:r>
              <w:rPr>
                <w:rFonts w:hint="eastAsia" w:ascii="仿宋_GB2312" w:hAnsi="新宋体" w:eastAsia="仿宋_GB2312" w:cs="仿宋_GB2312"/>
                <w:color w:val="000000"/>
                <w:kern w:val="0"/>
                <w:szCs w:val="21"/>
              </w:rPr>
              <w:t>分）</w:t>
            </w:r>
          </w:p>
        </w:tc>
        <w:tc>
          <w:tcPr>
            <w:tcW w:w="3436" w:type="dxa"/>
            <w:tcBorders>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通过预算支出项目的实施，绿色、节能环保新技术的应用和推广，明显带动各环节的节能减排，也具有一定的环境效益；</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通过履职有效地控制虚假、伪劣、霉变等劣质产品进入市场，影响了人民生活质量，净化地市场环境；</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通过预算支出项目的实施，是否达到减少污染物排放；</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通过预算支出项目的实施，周围环境得到了整治，面貌得到了改善。</w:t>
            </w:r>
          </w:p>
        </w:tc>
        <w:tc>
          <w:tcPr>
            <w:tcW w:w="2373" w:type="dxa"/>
            <w:tcBorders>
              <w:left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left w:val="single" w:color="auto" w:sz="4" w:space="0"/>
            </w:tcBorders>
            <w:vAlign w:val="center"/>
          </w:tcPr>
          <w:p>
            <w:pPr>
              <w:widowControl/>
              <w:spacing w:line="240" w:lineRule="exact"/>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rPr>
                <w:rFonts w:ascii="宋体"/>
                <w:szCs w:val="21"/>
              </w:rPr>
            </w:pPr>
          </w:p>
        </w:tc>
        <w:tc>
          <w:tcPr>
            <w:tcW w:w="743" w:type="dxa"/>
            <w:vMerge w:val="continue"/>
            <w:vAlign w:val="center"/>
          </w:tcPr>
          <w:p>
            <w:pPr>
              <w:widowControl/>
              <w:spacing w:line="240" w:lineRule="exact"/>
              <w:jc w:val="left"/>
              <w:rPr>
                <w:szCs w:val="21"/>
              </w:rPr>
            </w:pPr>
          </w:p>
        </w:tc>
        <w:tc>
          <w:tcPr>
            <w:tcW w:w="1275" w:type="dxa"/>
            <w:tcBorders>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服务对象满意度（</w:t>
            </w:r>
            <w:r>
              <w:rPr>
                <w:rFonts w:ascii="仿宋_GB2312" w:hAnsi="新宋体" w:eastAsia="仿宋_GB2312" w:cs="仿宋_GB2312"/>
                <w:kern w:val="0"/>
                <w:szCs w:val="21"/>
              </w:rPr>
              <w:t>5</w:t>
            </w:r>
            <w:r>
              <w:rPr>
                <w:rFonts w:hint="eastAsia" w:ascii="仿宋_GB2312" w:hAnsi="新宋体" w:eastAsia="仿宋_GB2312" w:cs="仿宋_GB2312"/>
                <w:kern w:val="0"/>
                <w:szCs w:val="21"/>
              </w:rPr>
              <w:t>）</w:t>
            </w:r>
          </w:p>
        </w:tc>
        <w:tc>
          <w:tcPr>
            <w:tcW w:w="3436" w:type="dxa"/>
            <w:tcBorders>
              <w:left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left w:val="single" w:color="auto" w:sz="4" w:space="0"/>
              <w:right w:val="single" w:color="auto" w:sz="4" w:space="0"/>
            </w:tcBorders>
            <w:vAlign w:val="center"/>
          </w:tcPr>
          <w:p>
            <w:pPr>
              <w:widowControl/>
              <w:spacing w:line="240" w:lineRule="exact"/>
              <w:rPr>
                <w:rFonts w:ascii="仿宋" w:hAnsi="仿宋" w:eastAsia="仿宋" w:cs="宋体"/>
                <w:kern w:val="0"/>
                <w:szCs w:val="21"/>
              </w:rPr>
            </w:pPr>
            <w:r>
              <w:rPr>
                <w:rFonts w:hint="eastAsia" w:ascii="仿宋" w:hAnsi="仿宋" w:eastAsia="仿宋" w:cs="Arial"/>
                <w:kern w:val="0"/>
                <w:szCs w:val="21"/>
              </w:rPr>
              <w:t>按照满意度调查的优秀、良好、合格、不合格给予该项指标打分：</w:t>
            </w:r>
          </w:p>
          <w:p>
            <w:pPr>
              <w:widowControl/>
              <w:spacing w:line="240" w:lineRule="exact"/>
              <w:rPr>
                <w:szCs w:val="21"/>
              </w:rPr>
            </w:pPr>
            <w:r>
              <w:rPr>
                <w:rFonts w:hint="eastAsia" w:ascii="仿宋" w:hAnsi="仿宋" w:eastAsia="仿宋" w:cs="Arial"/>
                <w:kern w:val="0"/>
                <w:szCs w:val="21"/>
              </w:rPr>
              <w:t>优秀（</w:t>
            </w:r>
            <w:r>
              <w:rPr>
                <w:rFonts w:ascii="仿宋" w:hAnsi="仿宋" w:eastAsia="仿宋" w:cs="Arial"/>
                <w:kern w:val="0"/>
                <w:szCs w:val="21"/>
              </w:rPr>
              <w:t>5</w:t>
            </w:r>
            <w:r>
              <w:rPr>
                <w:rFonts w:hint="eastAsia" w:ascii="仿宋" w:hAnsi="仿宋" w:eastAsia="仿宋" w:cs="Arial"/>
                <w:kern w:val="0"/>
                <w:szCs w:val="21"/>
              </w:rPr>
              <w:t>）；良好（</w:t>
            </w:r>
            <w:r>
              <w:rPr>
                <w:rFonts w:ascii="仿宋" w:hAnsi="仿宋" w:eastAsia="仿宋" w:cs="Arial"/>
                <w:kern w:val="0"/>
                <w:szCs w:val="21"/>
              </w:rPr>
              <w:t>3</w:t>
            </w:r>
            <w:r>
              <w:rPr>
                <w:rFonts w:hint="eastAsia" w:ascii="仿宋" w:hAnsi="仿宋" w:eastAsia="仿宋" w:cs="Arial"/>
                <w:kern w:val="0"/>
                <w:szCs w:val="21"/>
              </w:rPr>
              <w:t>）；合格（</w:t>
            </w:r>
            <w:r>
              <w:rPr>
                <w:rFonts w:ascii="仿宋" w:hAnsi="仿宋" w:eastAsia="仿宋" w:cs="Arial"/>
                <w:kern w:val="0"/>
                <w:szCs w:val="21"/>
              </w:rPr>
              <w:t>1</w:t>
            </w:r>
            <w:r>
              <w:rPr>
                <w:rFonts w:hint="eastAsia" w:ascii="仿宋" w:hAnsi="仿宋" w:eastAsia="仿宋" w:cs="Arial"/>
                <w:kern w:val="0"/>
                <w:szCs w:val="21"/>
              </w:rPr>
              <w:t>）；不合格（</w:t>
            </w:r>
            <w:r>
              <w:rPr>
                <w:rFonts w:ascii="仿宋" w:hAnsi="仿宋" w:eastAsia="仿宋" w:cs="Arial"/>
                <w:kern w:val="0"/>
                <w:szCs w:val="21"/>
              </w:rPr>
              <w:t>0</w:t>
            </w:r>
            <w:r>
              <w:rPr>
                <w:rFonts w:hint="eastAsia" w:ascii="仿宋" w:hAnsi="仿宋" w:eastAsia="仿宋" w:cs="Arial"/>
                <w:kern w:val="0"/>
                <w:szCs w:val="21"/>
              </w:rPr>
              <w:t>）。</w:t>
            </w:r>
          </w:p>
        </w:tc>
        <w:tc>
          <w:tcPr>
            <w:tcW w:w="764" w:type="dxa"/>
            <w:tcBorders>
              <w:left w:val="single" w:color="auto" w:sz="4" w:space="0"/>
            </w:tcBorders>
            <w:vAlign w:val="center"/>
          </w:tcPr>
          <w:p>
            <w:pPr>
              <w:widowControl/>
              <w:spacing w:line="240" w:lineRule="exact"/>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vAlign w:val="center"/>
          </w:tcPr>
          <w:p>
            <w:pPr>
              <w:spacing w:line="240" w:lineRule="exact"/>
              <w:rPr>
                <w:rFonts w:ascii="宋体"/>
                <w:szCs w:val="21"/>
              </w:rPr>
            </w:pPr>
            <w:r>
              <w:rPr>
                <w:rFonts w:hint="eastAsia" w:ascii="宋体"/>
                <w:szCs w:val="21"/>
              </w:rPr>
              <w:t>合计</w:t>
            </w:r>
          </w:p>
        </w:tc>
        <w:tc>
          <w:tcPr>
            <w:tcW w:w="743" w:type="dxa"/>
            <w:tcBorders>
              <w:bottom w:val="single" w:color="auto" w:sz="4" w:space="0"/>
            </w:tcBorders>
            <w:vAlign w:val="center"/>
          </w:tcPr>
          <w:p>
            <w:pPr>
              <w:widowControl/>
              <w:spacing w:line="240" w:lineRule="exact"/>
              <w:jc w:val="left"/>
              <w:rPr>
                <w:szCs w:val="21"/>
              </w:rPr>
            </w:pPr>
          </w:p>
        </w:tc>
        <w:tc>
          <w:tcPr>
            <w:tcW w:w="1275" w:type="dxa"/>
            <w:tcBorders>
              <w:right w:val="single" w:color="auto" w:sz="4" w:space="0"/>
            </w:tcBorders>
            <w:vAlign w:val="center"/>
          </w:tcPr>
          <w:p>
            <w:pPr>
              <w:widowControl/>
              <w:spacing w:line="240" w:lineRule="exact"/>
              <w:jc w:val="left"/>
              <w:rPr>
                <w:rFonts w:ascii="仿宋_GB2312" w:hAnsi="新宋体" w:eastAsia="仿宋_GB2312" w:cs="仿宋_GB2312"/>
                <w:kern w:val="0"/>
                <w:szCs w:val="21"/>
              </w:rPr>
            </w:pPr>
          </w:p>
        </w:tc>
        <w:tc>
          <w:tcPr>
            <w:tcW w:w="3436" w:type="dxa"/>
            <w:tcBorders>
              <w:left w:val="single" w:color="auto" w:sz="4" w:space="0"/>
              <w:right w:val="single" w:color="auto" w:sz="4" w:space="0"/>
            </w:tcBorders>
            <w:vAlign w:val="center"/>
          </w:tcPr>
          <w:p>
            <w:pPr>
              <w:widowControl/>
              <w:spacing w:line="240" w:lineRule="exact"/>
              <w:jc w:val="left"/>
              <w:rPr>
                <w:rFonts w:ascii="仿宋_GB2312" w:hAnsi="新宋体" w:eastAsia="仿宋_GB2312" w:cs="仿宋_GB2312"/>
                <w:kern w:val="0"/>
                <w:szCs w:val="21"/>
              </w:rPr>
            </w:pPr>
          </w:p>
        </w:tc>
        <w:tc>
          <w:tcPr>
            <w:tcW w:w="2373" w:type="dxa"/>
            <w:tcBorders>
              <w:left w:val="single" w:color="auto" w:sz="4" w:space="0"/>
              <w:right w:val="single" w:color="auto" w:sz="4" w:space="0"/>
            </w:tcBorders>
            <w:vAlign w:val="center"/>
          </w:tcPr>
          <w:p>
            <w:pPr>
              <w:widowControl/>
              <w:spacing w:line="240" w:lineRule="exact"/>
              <w:rPr>
                <w:rFonts w:ascii="仿宋" w:hAnsi="仿宋" w:eastAsia="仿宋" w:cs="Arial"/>
                <w:kern w:val="0"/>
                <w:szCs w:val="21"/>
              </w:rPr>
            </w:pPr>
          </w:p>
        </w:tc>
        <w:tc>
          <w:tcPr>
            <w:tcW w:w="764" w:type="dxa"/>
            <w:tcBorders>
              <w:left w:val="single" w:color="auto" w:sz="4" w:space="0"/>
            </w:tcBorders>
            <w:vAlign w:val="center"/>
          </w:tcPr>
          <w:p>
            <w:pPr>
              <w:widowControl/>
              <w:spacing w:line="240" w:lineRule="exact"/>
              <w:jc w:val="left"/>
              <w:rPr>
                <w:szCs w:val="21"/>
              </w:rPr>
            </w:pPr>
            <w:r>
              <w:rPr>
                <w:szCs w:val="21"/>
              </w:rPr>
              <w:t>92</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
    <w:altName w:val="Tahoma"/>
    <w:panose1 w:val="00000000000000000000"/>
    <w:charset w:val="B1"/>
    <w:family w:val="auto"/>
    <w:pitch w:val="default"/>
    <w:sig w:usb0="00000000" w:usb1="00000000" w:usb2="00000000" w:usb3="00000000" w:csb0="0000002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sz w:val="28"/>
        <w:szCs w:val="28"/>
      </w:rPr>
    </w:pPr>
    <w:r>
      <w:rPr>
        <w:rStyle w:val="11"/>
        <w:rFonts w:asci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4</w:t>
    </w:r>
    <w:r>
      <w:rPr>
        <w:rStyle w:val="11"/>
        <w:rFonts w:ascii="宋体" w:hAnsi="宋体"/>
        <w:sz w:val="28"/>
        <w:szCs w:val="28"/>
      </w:rPr>
      <w:fldChar w:fldCharType="end"/>
    </w:r>
    <w:r>
      <w:rPr>
        <w:rStyle w:val="11"/>
        <w:rFonts w:ascii="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3784D"/>
    <w:multiLevelType w:val="multilevel"/>
    <w:tmpl w:val="3C13784D"/>
    <w:lvl w:ilvl="0" w:tentative="0">
      <w:start w:val="1"/>
      <w:numFmt w:val="decimal"/>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ViOWIwNWYwOTViZTU5MDA5MDBmMmJmMjBmNmVhMDgifQ=="/>
  </w:docVars>
  <w:rsids>
    <w:rsidRoot w:val="00042933"/>
    <w:rsid w:val="00000B50"/>
    <w:rsid w:val="00002F2C"/>
    <w:rsid w:val="000070A8"/>
    <w:rsid w:val="00007E14"/>
    <w:rsid w:val="00016CA4"/>
    <w:rsid w:val="000324AE"/>
    <w:rsid w:val="00036C89"/>
    <w:rsid w:val="00042933"/>
    <w:rsid w:val="0008033E"/>
    <w:rsid w:val="0008759D"/>
    <w:rsid w:val="00094F2B"/>
    <w:rsid w:val="000B0A83"/>
    <w:rsid w:val="000B6322"/>
    <w:rsid w:val="000C2CC1"/>
    <w:rsid w:val="000C673D"/>
    <w:rsid w:val="000C68D7"/>
    <w:rsid w:val="000D378D"/>
    <w:rsid w:val="000E4A5A"/>
    <w:rsid w:val="00103547"/>
    <w:rsid w:val="0017068B"/>
    <w:rsid w:val="00185A3C"/>
    <w:rsid w:val="00192D5A"/>
    <w:rsid w:val="001C4D79"/>
    <w:rsid w:val="001C59B3"/>
    <w:rsid w:val="001E0886"/>
    <w:rsid w:val="001F7E31"/>
    <w:rsid w:val="002071BC"/>
    <w:rsid w:val="00225AE6"/>
    <w:rsid w:val="00235F0F"/>
    <w:rsid w:val="00255783"/>
    <w:rsid w:val="00290BA1"/>
    <w:rsid w:val="002A6AEA"/>
    <w:rsid w:val="002C1A51"/>
    <w:rsid w:val="002C7CBF"/>
    <w:rsid w:val="002F2268"/>
    <w:rsid w:val="003C50C2"/>
    <w:rsid w:val="0041099F"/>
    <w:rsid w:val="00436A1D"/>
    <w:rsid w:val="004379D7"/>
    <w:rsid w:val="00462F31"/>
    <w:rsid w:val="004A68B1"/>
    <w:rsid w:val="004B3DE1"/>
    <w:rsid w:val="004B64F3"/>
    <w:rsid w:val="004E3B64"/>
    <w:rsid w:val="005020C5"/>
    <w:rsid w:val="00567FE6"/>
    <w:rsid w:val="0058162A"/>
    <w:rsid w:val="005B3616"/>
    <w:rsid w:val="005E12FA"/>
    <w:rsid w:val="00683167"/>
    <w:rsid w:val="006A5056"/>
    <w:rsid w:val="006B67F7"/>
    <w:rsid w:val="006E2EB3"/>
    <w:rsid w:val="006E64C9"/>
    <w:rsid w:val="007048FF"/>
    <w:rsid w:val="00707628"/>
    <w:rsid w:val="00712100"/>
    <w:rsid w:val="0071700D"/>
    <w:rsid w:val="00742652"/>
    <w:rsid w:val="007714F5"/>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03145"/>
    <w:rsid w:val="00A11BF8"/>
    <w:rsid w:val="00A14A33"/>
    <w:rsid w:val="00A6449D"/>
    <w:rsid w:val="00A768DB"/>
    <w:rsid w:val="00AA09C8"/>
    <w:rsid w:val="00AC60FC"/>
    <w:rsid w:val="00AD5F30"/>
    <w:rsid w:val="00AD7689"/>
    <w:rsid w:val="00B021DF"/>
    <w:rsid w:val="00B0681D"/>
    <w:rsid w:val="00B34CCF"/>
    <w:rsid w:val="00B55D78"/>
    <w:rsid w:val="00B9023F"/>
    <w:rsid w:val="00BC1FDC"/>
    <w:rsid w:val="00BD0FD8"/>
    <w:rsid w:val="00BF33A5"/>
    <w:rsid w:val="00C44804"/>
    <w:rsid w:val="00C6362A"/>
    <w:rsid w:val="00C81363"/>
    <w:rsid w:val="00CB27A5"/>
    <w:rsid w:val="00CD55ED"/>
    <w:rsid w:val="00CD63C0"/>
    <w:rsid w:val="00CE62A0"/>
    <w:rsid w:val="00D10860"/>
    <w:rsid w:val="00D21F0C"/>
    <w:rsid w:val="00D366C1"/>
    <w:rsid w:val="00D877F7"/>
    <w:rsid w:val="00D905B6"/>
    <w:rsid w:val="00DB2D43"/>
    <w:rsid w:val="00DD2668"/>
    <w:rsid w:val="00E266F1"/>
    <w:rsid w:val="00EB16A8"/>
    <w:rsid w:val="00EC7904"/>
    <w:rsid w:val="00EE73FA"/>
    <w:rsid w:val="00EF2A1C"/>
    <w:rsid w:val="00F72E93"/>
    <w:rsid w:val="00F87A11"/>
    <w:rsid w:val="00F95734"/>
    <w:rsid w:val="00FB7E01"/>
    <w:rsid w:val="00FE5F4C"/>
    <w:rsid w:val="00FF39F6"/>
    <w:rsid w:val="05374814"/>
    <w:rsid w:val="0C8F0285"/>
    <w:rsid w:val="0F8F6BFC"/>
    <w:rsid w:val="107166F3"/>
    <w:rsid w:val="109E053A"/>
    <w:rsid w:val="1C841DE7"/>
    <w:rsid w:val="1F4E7BED"/>
    <w:rsid w:val="3791647A"/>
    <w:rsid w:val="455969D8"/>
    <w:rsid w:val="48725571"/>
    <w:rsid w:val="4BDB04ED"/>
    <w:rsid w:val="526A3656"/>
    <w:rsid w:val="53CD5365"/>
    <w:rsid w:val="5D643D56"/>
    <w:rsid w:val="5E1756A9"/>
    <w:rsid w:val="64283056"/>
    <w:rsid w:val="69BD0A47"/>
    <w:rsid w:val="71A911C9"/>
    <w:rsid w:val="7793669D"/>
    <w:rsid w:val="7A124575"/>
    <w:rsid w:val="7CCC21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spacing w:before="100" w:beforeAutospacing="1" w:after="100" w:afterAutospacing="1"/>
      <w:jc w:val="left"/>
      <w:outlineLvl w:val="0"/>
    </w:pPr>
    <w:rPr>
      <w:rFonts w:ascii="宋体" w:hAnsi="宋体" w:cs="宋体"/>
      <w:b/>
      <w:kern w:val="44"/>
      <w:sz w:val="48"/>
      <w:szCs w:val="48"/>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99"/>
    <w:rPr>
      <w:rFonts w:ascii="宋体" w:hAnsi="Courier New" w:cs="Courier New"/>
      <w:szCs w:val="21"/>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rFonts w:cs="Times New Roman"/>
      <w:b/>
      <w:bCs/>
    </w:rPr>
  </w:style>
  <w:style w:type="character" w:styleId="11">
    <w:name w:val="page number"/>
    <w:basedOn w:val="9"/>
    <w:semiHidden/>
    <w:qFormat/>
    <w:uiPriority w:val="99"/>
    <w:rPr>
      <w:rFonts w:cs="Times New Roman"/>
    </w:rPr>
  </w:style>
  <w:style w:type="character" w:customStyle="1" w:styleId="12">
    <w:name w:val="Heading 1 Char"/>
    <w:basedOn w:val="9"/>
    <w:link w:val="2"/>
    <w:qFormat/>
    <w:locked/>
    <w:uiPriority w:val="99"/>
    <w:rPr>
      <w:rFonts w:ascii="宋体" w:hAnsi="宋体" w:eastAsia="宋体" w:cs="宋体"/>
      <w:b/>
      <w:kern w:val="44"/>
      <w:sz w:val="48"/>
      <w:szCs w:val="48"/>
    </w:rPr>
  </w:style>
  <w:style w:type="character" w:customStyle="1" w:styleId="13">
    <w:name w:val="Body Text Char"/>
    <w:basedOn w:val="9"/>
    <w:link w:val="3"/>
    <w:semiHidden/>
    <w:qFormat/>
    <w:locked/>
    <w:uiPriority w:val="99"/>
    <w:rPr>
      <w:rFonts w:ascii="Calibri" w:hAnsi="Calibri" w:cs="Times New Roman"/>
    </w:rPr>
  </w:style>
  <w:style w:type="character" w:customStyle="1" w:styleId="14">
    <w:name w:val="Plain Text Char"/>
    <w:basedOn w:val="9"/>
    <w:link w:val="4"/>
    <w:qFormat/>
    <w:locked/>
    <w:uiPriority w:val="99"/>
    <w:rPr>
      <w:rFonts w:ascii="宋体" w:hAnsi="Courier New" w:eastAsia="宋体" w:cs="Courier New"/>
      <w:sz w:val="21"/>
      <w:szCs w:val="21"/>
    </w:rPr>
  </w:style>
  <w:style w:type="character" w:customStyle="1" w:styleId="15">
    <w:name w:val="Footer Char"/>
    <w:basedOn w:val="9"/>
    <w:link w:val="5"/>
    <w:qFormat/>
    <w:locked/>
    <w:uiPriority w:val="99"/>
    <w:rPr>
      <w:rFonts w:cs="Times New Roman"/>
      <w:sz w:val="18"/>
      <w:szCs w:val="18"/>
    </w:rPr>
  </w:style>
  <w:style w:type="character" w:customStyle="1" w:styleId="16">
    <w:name w:val="Header Char"/>
    <w:basedOn w:val="9"/>
    <w:link w:val="6"/>
    <w:qFormat/>
    <w:locked/>
    <w:uiPriority w:val="99"/>
    <w:rPr>
      <w:rFonts w:cs="Times New Roman"/>
      <w:sz w:val="18"/>
      <w:szCs w:val="18"/>
    </w:rPr>
  </w:style>
  <w:style w:type="character" w:customStyle="1" w:styleId="17">
    <w:name w:val="font31"/>
    <w:basedOn w:val="9"/>
    <w:qFormat/>
    <w:uiPriority w:val="99"/>
    <w:rPr>
      <w:rFonts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16</Pages>
  <Words>1566</Words>
  <Characters>8929</Characters>
  <Lines>0</Lines>
  <Paragraphs>0</Paragraphs>
  <TotalTime>1</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2022-09-19T02:57:00Z</dcterms:created>
  <dc:creator>Administrator</dc:creator>
  <cp:lastModifiedBy>Administrator</cp:lastModifiedBy>
  <cp:lastPrinted>2018-11-29T03:23:00Z</cp:lastPrinted>
  <dcterms:modified xsi:type="dcterms:W3CDTF">2024-04-10T03:17:15Z</dcterms:modified>
  <dc:title>沙河市交通运输局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180820BCCA9B429A92A3744F22CCE087_12</vt:lpwstr>
  </property>
</Properties>
</file>