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仿宋" w:hAnsi="仿宋" w:eastAsia="仿宋" w:cs="Times New Roman"/>
          <w:sz w:val="32"/>
          <w:szCs w:val="32"/>
        </w:rPr>
      </w:pPr>
      <w:r>
        <w:rPr>
          <w:rFonts w:hint="eastAsia" w:ascii="宋体" w:hAnsi="宋体" w:cs="宋体"/>
          <w:b/>
          <w:bCs/>
          <w:sz w:val="44"/>
          <w:szCs w:val="44"/>
        </w:rPr>
        <w:t>部门整体支出绩效评价</w:t>
      </w:r>
      <w:r>
        <w:rPr>
          <w:rFonts w:hint="eastAsia" w:ascii="宋体" w:hAnsi="宋体" w:cs="宋体"/>
          <w:b/>
          <w:bCs/>
          <w:color w:val="000000"/>
          <w:kern w:val="0"/>
          <w:sz w:val="44"/>
          <w:szCs w:val="44"/>
          <w:shd w:val="clear" w:color="auto" w:fill="FFFFFF"/>
        </w:rPr>
        <w:t>指标体系评分表</w:t>
      </w:r>
    </w:p>
    <w:tbl>
      <w:tblPr>
        <w:tblStyle w:val="8"/>
        <w:tblW w:w="984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765"/>
        <w:gridCol w:w="990"/>
        <w:gridCol w:w="3975"/>
        <w:gridCol w:w="2550"/>
        <w:gridCol w:w="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95" w:type="dxa"/>
            <w:vMerge w:val="restart"/>
            <w:vAlign w:val="center"/>
          </w:tcPr>
          <w:p>
            <w:pPr>
              <w:widowControl/>
              <w:spacing w:line="240" w:lineRule="exact"/>
              <w:jc w:val="center"/>
              <w:rPr>
                <w:rFonts w:cs="Times New Roman"/>
                <w:b/>
                <w:bCs/>
              </w:rPr>
            </w:pPr>
            <w:r>
              <w:rPr>
                <w:rFonts w:hint="eastAsia" w:ascii="仿宋_GB2312" w:hAnsi="新宋体" w:eastAsia="仿宋_GB2312" w:cs="仿宋_GB2312"/>
                <w:b/>
                <w:bCs/>
                <w:kern w:val="0"/>
                <w:sz w:val="24"/>
                <w:szCs w:val="24"/>
              </w:rPr>
              <w:t>一级指标</w:t>
            </w:r>
          </w:p>
        </w:tc>
        <w:tc>
          <w:tcPr>
            <w:tcW w:w="765" w:type="dxa"/>
            <w:vMerge w:val="restart"/>
            <w:vAlign w:val="center"/>
          </w:tcPr>
          <w:p>
            <w:pPr>
              <w:widowControl/>
              <w:spacing w:line="240" w:lineRule="exact"/>
              <w:jc w:val="center"/>
              <w:rPr>
                <w:rFonts w:cs="Times New Roman"/>
                <w:b/>
                <w:bCs/>
              </w:rPr>
            </w:pPr>
            <w:r>
              <w:rPr>
                <w:rFonts w:hint="eastAsia" w:ascii="仿宋_GB2312" w:hAnsi="新宋体" w:eastAsia="仿宋_GB2312" w:cs="仿宋_GB2312"/>
                <w:b/>
                <w:bCs/>
                <w:kern w:val="0"/>
                <w:sz w:val="24"/>
                <w:szCs w:val="24"/>
              </w:rPr>
              <w:t>二级指标</w:t>
            </w:r>
          </w:p>
        </w:tc>
        <w:tc>
          <w:tcPr>
            <w:tcW w:w="4965" w:type="dxa"/>
            <w:gridSpan w:val="2"/>
            <w:tcBorders>
              <w:right w:val="single" w:color="auto" w:sz="4" w:space="0"/>
            </w:tcBorders>
            <w:vAlign w:val="center"/>
          </w:tcPr>
          <w:p>
            <w:pPr>
              <w:widowControl/>
              <w:spacing w:line="240" w:lineRule="exact"/>
              <w:jc w:val="center"/>
              <w:rPr>
                <w:rFonts w:cs="Times New Roman"/>
                <w:b/>
                <w:bCs/>
              </w:rPr>
            </w:pPr>
            <w:r>
              <w:rPr>
                <w:rFonts w:hint="eastAsia" w:ascii="仿宋_GB2312" w:hAnsi="新宋体" w:eastAsia="仿宋_GB2312" w:cs="仿宋_GB2312"/>
                <w:b/>
                <w:bCs/>
                <w:kern w:val="0"/>
                <w:sz w:val="24"/>
                <w:szCs w:val="24"/>
              </w:rPr>
              <w:t>三级指标</w:t>
            </w:r>
          </w:p>
        </w:tc>
        <w:tc>
          <w:tcPr>
            <w:tcW w:w="2550" w:type="dxa"/>
            <w:vMerge w:val="restart"/>
            <w:tcBorders>
              <w:left w:val="single" w:color="auto" w:sz="4" w:space="0"/>
              <w:right w:val="single" w:color="auto" w:sz="4" w:space="0"/>
            </w:tcBorders>
            <w:vAlign w:val="center"/>
          </w:tcPr>
          <w:p>
            <w:pPr>
              <w:widowControl/>
              <w:spacing w:line="240" w:lineRule="exact"/>
              <w:jc w:val="center"/>
              <w:rPr>
                <w:rFonts w:cs="Times New Roman"/>
                <w:b/>
                <w:bCs/>
              </w:rPr>
            </w:pPr>
            <w:r>
              <w:rPr>
                <w:rFonts w:hint="eastAsia" w:ascii="仿宋_GB2312" w:hAnsi="新宋体" w:eastAsia="仿宋_GB2312" w:cs="仿宋_GB2312"/>
                <w:b/>
                <w:bCs/>
                <w:kern w:val="0"/>
                <w:sz w:val="24"/>
                <w:szCs w:val="24"/>
              </w:rPr>
              <w:t>评分标准</w:t>
            </w:r>
          </w:p>
        </w:tc>
        <w:tc>
          <w:tcPr>
            <w:tcW w:w="765" w:type="dxa"/>
            <w:vMerge w:val="restart"/>
            <w:tcBorders>
              <w:left w:val="single" w:color="auto" w:sz="4" w:space="0"/>
              <w:right w:val="single" w:color="auto" w:sz="4" w:space="0"/>
            </w:tcBorders>
            <w:vAlign w:val="center"/>
          </w:tcPr>
          <w:p>
            <w:pPr>
              <w:widowControl/>
              <w:spacing w:line="240" w:lineRule="exact"/>
              <w:jc w:val="left"/>
              <w:rPr>
                <w:rFonts w:cs="Times New Roman"/>
                <w:b/>
                <w:bCs/>
              </w:rPr>
            </w:pPr>
            <w:r>
              <w:rPr>
                <w:rFonts w:hint="eastAsia" w:ascii="仿宋_GB2312" w:hAnsi="新宋体" w:eastAsia="仿宋_GB2312" w:cs="仿宋_GB2312"/>
                <w:b/>
                <w:bCs/>
                <w:kern w:val="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95" w:type="dxa"/>
            <w:vMerge w:val="continue"/>
            <w:vAlign w:val="center"/>
          </w:tcPr>
          <w:p>
            <w:pPr>
              <w:rPr>
                <w:rFonts w:ascii="宋体" w:cs="Times New Roman"/>
              </w:rPr>
            </w:pPr>
          </w:p>
        </w:tc>
        <w:tc>
          <w:tcPr>
            <w:tcW w:w="765" w:type="dxa"/>
            <w:vMerge w:val="continue"/>
            <w:vAlign w:val="center"/>
          </w:tcPr>
          <w:p>
            <w:pPr>
              <w:rPr>
                <w:rFonts w:ascii="宋体" w:cs="Times New Roman"/>
              </w:rPr>
            </w:pPr>
          </w:p>
        </w:tc>
        <w:tc>
          <w:tcPr>
            <w:tcW w:w="990" w:type="dxa"/>
            <w:tcBorders>
              <w:right w:val="single" w:color="auto" w:sz="4" w:space="0"/>
            </w:tcBorders>
            <w:vAlign w:val="center"/>
          </w:tcPr>
          <w:p>
            <w:pPr>
              <w:widowControl/>
              <w:spacing w:line="240" w:lineRule="exact"/>
              <w:jc w:val="center"/>
              <w:rPr>
                <w:rFonts w:cs="Times New Roman"/>
                <w:b/>
                <w:bCs/>
              </w:rPr>
            </w:pPr>
            <w:r>
              <w:rPr>
                <w:rFonts w:hint="eastAsia" w:ascii="仿宋_GB2312" w:hAnsi="新宋体" w:eastAsia="仿宋_GB2312" w:cs="仿宋_GB2312"/>
                <w:b/>
                <w:bCs/>
                <w:kern w:val="0"/>
                <w:sz w:val="24"/>
                <w:szCs w:val="24"/>
              </w:rPr>
              <w:t>指标名称</w:t>
            </w:r>
          </w:p>
        </w:tc>
        <w:tc>
          <w:tcPr>
            <w:tcW w:w="3975" w:type="dxa"/>
            <w:tcBorders>
              <w:left w:val="single" w:color="auto" w:sz="4" w:space="0"/>
              <w:right w:val="single" w:color="auto" w:sz="4" w:space="0"/>
            </w:tcBorders>
            <w:vAlign w:val="center"/>
          </w:tcPr>
          <w:p>
            <w:pPr>
              <w:widowControl/>
              <w:spacing w:line="240" w:lineRule="exact"/>
              <w:jc w:val="center"/>
              <w:rPr>
                <w:rFonts w:cs="Times New Roman"/>
                <w:b/>
                <w:bCs/>
              </w:rPr>
            </w:pPr>
            <w:r>
              <w:rPr>
                <w:rFonts w:hint="eastAsia" w:ascii="仿宋_GB2312" w:hAnsi="新宋体" w:eastAsia="仿宋_GB2312" w:cs="仿宋_GB2312"/>
                <w:b/>
                <w:bCs/>
                <w:kern w:val="0"/>
                <w:sz w:val="24"/>
                <w:szCs w:val="24"/>
              </w:rPr>
              <w:t>指标解释说明</w:t>
            </w:r>
          </w:p>
        </w:tc>
        <w:tc>
          <w:tcPr>
            <w:tcW w:w="2550" w:type="dxa"/>
            <w:vMerge w:val="continue"/>
            <w:tcBorders>
              <w:left w:val="single" w:color="auto" w:sz="4" w:space="0"/>
              <w:right w:val="single" w:color="auto" w:sz="4" w:space="0"/>
            </w:tcBorders>
            <w:vAlign w:val="center"/>
          </w:tcPr>
          <w:p>
            <w:pPr>
              <w:rPr>
                <w:rFonts w:ascii="宋体" w:cs="Times New Roman"/>
              </w:rPr>
            </w:pPr>
          </w:p>
        </w:tc>
        <w:tc>
          <w:tcPr>
            <w:tcW w:w="765" w:type="dxa"/>
            <w:vMerge w:val="continue"/>
            <w:tcBorders>
              <w:left w:val="single" w:color="auto" w:sz="4" w:space="0"/>
              <w:right w:val="single" w:color="auto" w:sz="4" w:space="0"/>
            </w:tcBorders>
            <w:vAlign w:val="center"/>
          </w:tcPr>
          <w:p>
            <w:pPr>
              <w:rPr>
                <w:rFonts w:ascii="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795" w:type="dxa"/>
            <w:vMerge w:val="restart"/>
            <w:vAlign w:val="center"/>
          </w:tcPr>
          <w:p>
            <w:pPr>
              <w:widowControl/>
              <w:spacing w:line="240" w:lineRule="exact"/>
              <w:jc w:val="left"/>
              <w:rPr>
                <w:rFonts w:cs="Times New Roman"/>
              </w:rPr>
            </w:pPr>
            <w:r>
              <w:rPr>
                <w:rFonts w:hint="eastAsia" w:ascii="仿宋_GB2312" w:hAnsi="新宋体" w:eastAsia="仿宋_GB2312" w:cs="仿宋_GB2312"/>
                <w:kern w:val="0"/>
              </w:rPr>
              <w:t>投入（</w:t>
            </w:r>
            <w:r>
              <w:rPr>
                <w:rFonts w:ascii="仿宋_GB2312" w:hAnsi="新宋体" w:eastAsia="仿宋_GB2312" w:cs="仿宋_GB2312"/>
                <w:kern w:val="0"/>
              </w:rPr>
              <w:t>10</w:t>
            </w:r>
            <w:r>
              <w:rPr>
                <w:rFonts w:hint="eastAsia" w:ascii="仿宋_GB2312" w:hAnsi="新宋体" w:eastAsia="仿宋_GB2312" w:cs="仿宋_GB2312"/>
                <w:kern w:val="0"/>
              </w:rPr>
              <w:t>）</w:t>
            </w:r>
          </w:p>
        </w:tc>
        <w:tc>
          <w:tcPr>
            <w:tcW w:w="765" w:type="dxa"/>
            <w:vMerge w:val="restart"/>
            <w:vAlign w:val="center"/>
          </w:tcPr>
          <w:p>
            <w:pPr>
              <w:widowControl/>
              <w:spacing w:line="240" w:lineRule="exact"/>
              <w:jc w:val="left"/>
              <w:rPr>
                <w:rFonts w:cs="Times New Roman"/>
              </w:rPr>
            </w:pPr>
            <w:r>
              <w:rPr>
                <w:rFonts w:hint="eastAsia" w:ascii="仿宋_GB2312" w:hAnsi="新宋体" w:eastAsia="仿宋_GB2312" w:cs="仿宋_GB2312"/>
                <w:kern w:val="0"/>
              </w:rPr>
              <w:t>绩效目标设定情况</w:t>
            </w:r>
          </w:p>
          <w:p>
            <w:pPr>
              <w:widowControl/>
              <w:spacing w:line="240" w:lineRule="exact"/>
              <w:jc w:val="left"/>
              <w:rPr>
                <w:rFonts w:cs="Times New Roman"/>
                <w:color w:val="FF0000"/>
              </w:rPr>
            </w:pPr>
            <w:r>
              <w:rPr>
                <w:rFonts w:hint="eastAsia" w:ascii="仿宋_GB2312" w:hAnsi="新宋体" w:eastAsia="仿宋_GB2312" w:cs="仿宋_GB2312"/>
                <w:kern w:val="0"/>
              </w:rPr>
              <w:t>（</w:t>
            </w:r>
            <w:r>
              <w:rPr>
                <w:rFonts w:ascii="仿宋_GB2312" w:hAnsi="新宋体" w:eastAsia="仿宋_GB2312" w:cs="仿宋_GB2312"/>
                <w:kern w:val="0"/>
              </w:rPr>
              <w:t>5</w:t>
            </w:r>
            <w:r>
              <w:rPr>
                <w:rFonts w:hint="eastAsia" w:ascii="仿宋_GB2312" w:hAnsi="新宋体" w:eastAsia="仿宋_GB2312" w:cs="仿宋_GB2312"/>
                <w:kern w:val="0"/>
              </w:rPr>
              <w:t>分）</w:t>
            </w:r>
          </w:p>
        </w:tc>
        <w:tc>
          <w:tcPr>
            <w:tcW w:w="990" w:type="dxa"/>
            <w:tcBorders>
              <w:bottom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职责明确（</w:t>
            </w:r>
            <w:r>
              <w:rPr>
                <w:rFonts w:ascii="仿宋_GB2312" w:hAnsi="新宋体" w:eastAsia="仿宋_GB2312" w:cs="仿宋_GB2312"/>
                <w:kern w:val="0"/>
              </w:rPr>
              <w:t>1</w:t>
            </w:r>
            <w:r>
              <w:rPr>
                <w:rFonts w:hint="eastAsia" w:ascii="仿宋_GB2312" w:hAnsi="新宋体" w:eastAsia="仿宋_GB2312" w:cs="仿宋_GB2312"/>
                <w:kern w:val="0"/>
              </w:rPr>
              <w:t>分）</w:t>
            </w:r>
          </w:p>
        </w:tc>
        <w:tc>
          <w:tcPr>
            <w:tcW w:w="3975" w:type="dxa"/>
            <w:tcBorders>
              <w:left w:val="single" w:color="auto" w:sz="4" w:space="0"/>
              <w:bottom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部门的职责设定是否符合“三定”方案中所赋予的职责，用以反映和评价部门工作的目的性与计划性。</w:t>
            </w:r>
          </w:p>
        </w:tc>
        <w:tc>
          <w:tcPr>
            <w:tcW w:w="2550" w:type="dxa"/>
            <w:tcBorders>
              <w:left w:val="single" w:color="auto" w:sz="4" w:space="0"/>
              <w:bottom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符合（</w:t>
            </w:r>
            <w:r>
              <w:rPr>
                <w:rFonts w:ascii="仿宋_GB2312" w:hAnsi="新宋体" w:eastAsia="仿宋_GB2312" w:cs="仿宋_GB2312"/>
                <w:kern w:val="0"/>
              </w:rPr>
              <w:t>1</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不符合（</w:t>
            </w:r>
            <w:r>
              <w:rPr>
                <w:rFonts w:ascii="仿宋_GB2312" w:hAnsi="新宋体" w:eastAsia="仿宋_GB2312" w:cs="仿宋_GB2312"/>
                <w:kern w:val="0"/>
              </w:rPr>
              <w:t>0</w:t>
            </w:r>
            <w:r>
              <w:rPr>
                <w:rFonts w:hint="eastAsia" w:ascii="仿宋_GB2312" w:hAnsi="新宋体" w:eastAsia="仿宋_GB2312" w:cs="仿宋_GB2312"/>
                <w:kern w:val="0"/>
              </w:rPr>
              <w:t>）。</w:t>
            </w:r>
          </w:p>
        </w:tc>
        <w:tc>
          <w:tcPr>
            <w:tcW w:w="765" w:type="dxa"/>
            <w:tcBorders>
              <w:left w:val="single" w:color="auto" w:sz="4" w:space="0"/>
              <w:bottom w:val="single" w:color="auto" w:sz="4" w:space="0"/>
            </w:tcBorders>
            <w:vAlign w:val="center"/>
          </w:tcPr>
          <w:p>
            <w:pPr>
              <w:widowControl/>
              <w:spacing w:line="240" w:lineRule="exact"/>
              <w:jc w:val="center"/>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5" w:hRule="atLeast"/>
        </w:trPr>
        <w:tc>
          <w:tcPr>
            <w:tcW w:w="795" w:type="dxa"/>
            <w:vMerge w:val="continue"/>
            <w:vAlign w:val="center"/>
          </w:tcPr>
          <w:p>
            <w:pPr>
              <w:spacing w:line="240" w:lineRule="exact"/>
              <w:rPr>
                <w:rFonts w:ascii="宋体" w:cs="Times New Roman"/>
              </w:rPr>
            </w:pPr>
          </w:p>
        </w:tc>
        <w:tc>
          <w:tcPr>
            <w:tcW w:w="765" w:type="dxa"/>
            <w:vMerge w:val="continue"/>
            <w:vAlign w:val="center"/>
          </w:tcPr>
          <w:p>
            <w:pPr>
              <w:spacing w:line="240" w:lineRule="exact"/>
              <w:rPr>
                <w:rFonts w:ascii="宋体" w:cs="Times New Roman"/>
              </w:rPr>
            </w:pPr>
          </w:p>
        </w:tc>
        <w:tc>
          <w:tcPr>
            <w:tcW w:w="990" w:type="dxa"/>
            <w:tcBorders>
              <w:bottom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活动合规性（</w:t>
            </w:r>
            <w:r>
              <w:rPr>
                <w:rFonts w:ascii="仿宋_GB2312" w:hAnsi="新宋体" w:eastAsia="仿宋_GB2312" w:cs="仿宋_GB2312"/>
                <w:kern w:val="0"/>
              </w:rPr>
              <w:t>2</w:t>
            </w:r>
            <w:r>
              <w:rPr>
                <w:rFonts w:hint="eastAsia" w:ascii="仿宋_GB2312" w:hAnsi="新宋体" w:eastAsia="仿宋_GB2312" w:cs="仿宋_GB2312"/>
                <w:kern w:val="0"/>
              </w:rPr>
              <w:t>分）</w:t>
            </w:r>
          </w:p>
        </w:tc>
        <w:tc>
          <w:tcPr>
            <w:tcW w:w="3975" w:type="dxa"/>
            <w:tcBorders>
              <w:left w:val="single" w:color="auto" w:sz="4" w:space="0"/>
              <w:bottom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部门的活动是否在职责范围之内并符合部门中长期规划，用以反映和评价部门活动目标与部门履职、年度工作任务的相符性情况。</w:t>
            </w:r>
          </w:p>
          <w:p>
            <w:pPr>
              <w:widowControl/>
              <w:spacing w:line="240" w:lineRule="exact"/>
              <w:jc w:val="left"/>
              <w:rPr>
                <w:rFonts w:cs="Times New Roman"/>
              </w:rPr>
            </w:pPr>
            <w:r>
              <w:rPr>
                <w:rFonts w:hint="eastAsia" w:ascii="仿宋_GB2312" w:hAnsi="新宋体" w:eastAsia="仿宋_GB2312" w:cs="仿宋_GB2312"/>
                <w:kern w:val="0"/>
              </w:rPr>
              <w:t>评价要点：</w:t>
            </w:r>
          </w:p>
          <w:p>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部门活动的设定在部门所确定的职责范围之内；</w:t>
            </w:r>
          </w:p>
          <w:p>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部门活动符合市委、市政府的发展规划及本部门的年度工作安排与发展规划。</w:t>
            </w:r>
          </w:p>
        </w:tc>
        <w:tc>
          <w:tcPr>
            <w:tcW w:w="2550" w:type="dxa"/>
            <w:tcBorders>
              <w:left w:val="single" w:color="auto" w:sz="4" w:space="0"/>
              <w:bottom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全部符合（</w:t>
            </w:r>
            <w:r>
              <w:rPr>
                <w:rFonts w:ascii="仿宋_GB2312" w:hAnsi="新宋体" w:eastAsia="仿宋_GB2312" w:cs="仿宋_GB2312"/>
                <w:kern w:val="0"/>
              </w:rPr>
              <w:t>2</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其中一项不符合（</w:t>
            </w:r>
            <w:r>
              <w:rPr>
                <w:rFonts w:ascii="仿宋_GB2312" w:hAnsi="新宋体" w:eastAsia="仿宋_GB2312" w:cs="仿宋_GB2312"/>
                <w:kern w:val="0"/>
              </w:rPr>
              <w:t>0</w:t>
            </w:r>
            <w:r>
              <w:rPr>
                <w:rFonts w:hint="eastAsia" w:ascii="仿宋_GB2312" w:hAnsi="新宋体" w:eastAsia="仿宋_GB2312" w:cs="仿宋_GB2312"/>
                <w:kern w:val="0"/>
              </w:rPr>
              <w:t>）。</w:t>
            </w:r>
          </w:p>
        </w:tc>
        <w:tc>
          <w:tcPr>
            <w:tcW w:w="765" w:type="dxa"/>
            <w:tcBorders>
              <w:left w:val="single" w:color="auto" w:sz="4" w:space="0"/>
              <w:bottom w:val="single" w:color="auto" w:sz="4" w:space="0"/>
            </w:tcBorders>
            <w:vAlign w:val="center"/>
          </w:tcPr>
          <w:p>
            <w:pPr>
              <w:widowControl/>
              <w:spacing w:line="240" w:lineRule="exact"/>
              <w:jc w:val="center"/>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5" w:hRule="atLeast"/>
        </w:trPr>
        <w:tc>
          <w:tcPr>
            <w:tcW w:w="795" w:type="dxa"/>
            <w:vMerge w:val="continue"/>
            <w:vAlign w:val="center"/>
          </w:tcPr>
          <w:p>
            <w:pPr>
              <w:spacing w:line="240" w:lineRule="exact"/>
              <w:rPr>
                <w:rFonts w:ascii="宋体" w:cs="Times New Roman"/>
              </w:rPr>
            </w:pPr>
          </w:p>
        </w:tc>
        <w:tc>
          <w:tcPr>
            <w:tcW w:w="765" w:type="dxa"/>
            <w:vMerge w:val="continue"/>
            <w:vAlign w:val="center"/>
          </w:tcPr>
          <w:p>
            <w:pPr>
              <w:spacing w:line="240" w:lineRule="exact"/>
              <w:rPr>
                <w:rFonts w:ascii="宋体" w:cs="Times New Roman"/>
              </w:rPr>
            </w:pPr>
          </w:p>
        </w:tc>
        <w:tc>
          <w:tcPr>
            <w:tcW w:w="990" w:type="dxa"/>
            <w:tcBorders>
              <w:bottom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活动合理性（</w:t>
            </w:r>
            <w:r>
              <w:rPr>
                <w:rFonts w:ascii="仿宋_GB2312" w:hAnsi="新宋体" w:eastAsia="仿宋_GB2312" w:cs="仿宋_GB2312"/>
                <w:kern w:val="0"/>
              </w:rPr>
              <w:t>2</w:t>
            </w:r>
            <w:r>
              <w:rPr>
                <w:rFonts w:hint="eastAsia" w:ascii="仿宋_GB2312" w:hAnsi="新宋体" w:eastAsia="仿宋_GB2312" w:cs="仿宋_GB2312"/>
                <w:kern w:val="0"/>
              </w:rPr>
              <w:t>分）</w:t>
            </w:r>
          </w:p>
        </w:tc>
        <w:tc>
          <w:tcPr>
            <w:tcW w:w="3975" w:type="dxa"/>
            <w:tcBorders>
              <w:left w:val="single" w:color="auto" w:sz="4" w:space="0"/>
              <w:bottom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部门所设立的活动是否明确合理、活动的关键性指标设置是否可衡量，用以反映和评价部门活动目标设定的合理性。</w:t>
            </w:r>
          </w:p>
          <w:p>
            <w:pPr>
              <w:widowControl/>
              <w:spacing w:line="240" w:lineRule="exact"/>
              <w:jc w:val="left"/>
              <w:rPr>
                <w:rFonts w:cs="Times New Roman"/>
              </w:rPr>
            </w:pPr>
            <w:r>
              <w:rPr>
                <w:rFonts w:hint="eastAsia" w:ascii="仿宋_GB2312" w:hAnsi="新宋体" w:eastAsia="仿宋_GB2312" w:cs="仿宋_GB2312"/>
                <w:kern w:val="0"/>
              </w:rPr>
              <w:t>评价要点：</w:t>
            </w:r>
          </w:p>
          <w:p>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活动目标的设定是可量化的，可通过清晰、可衡量的关键指标值予以体现；</w:t>
            </w:r>
          </w:p>
          <w:p>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在活动目标设定时，将关键指标明细分解为具体的达成目标与工作任务。</w:t>
            </w:r>
          </w:p>
        </w:tc>
        <w:tc>
          <w:tcPr>
            <w:tcW w:w="2550" w:type="dxa"/>
            <w:tcBorders>
              <w:left w:val="single" w:color="auto" w:sz="4" w:space="0"/>
              <w:bottom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全部符合（</w:t>
            </w:r>
            <w:r>
              <w:rPr>
                <w:rFonts w:ascii="仿宋_GB2312" w:hAnsi="新宋体" w:eastAsia="仿宋_GB2312" w:cs="仿宋_GB2312"/>
                <w:kern w:val="0"/>
              </w:rPr>
              <w:t>2</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其中一项不符合（</w:t>
            </w:r>
            <w:r>
              <w:rPr>
                <w:rFonts w:ascii="仿宋_GB2312" w:hAnsi="新宋体" w:eastAsia="仿宋_GB2312" w:cs="仿宋_GB2312"/>
                <w:kern w:val="0"/>
              </w:rPr>
              <w:t>0</w:t>
            </w:r>
            <w:r>
              <w:rPr>
                <w:rFonts w:hint="eastAsia" w:ascii="仿宋_GB2312" w:hAnsi="新宋体" w:eastAsia="仿宋_GB2312" w:cs="仿宋_GB2312"/>
                <w:kern w:val="0"/>
              </w:rPr>
              <w:t>）。</w:t>
            </w:r>
          </w:p>
        </w:tc>
        <w:tc>
          <w:tcPr>
            <w:tcW w:w="765" w:type="dxa"/>
            <w:tcBorders>
              <w:left w:val="single" w:color="auto" w:sz="4" w:space="0"/>
              <w:bottom w:val="single" w:color="auto" w:sz="4" w:space="0"/>
            </w:tcBorders>
            <w:vAlign w:val="center"/>
          </w:tcPr>
          <w:p>
            <w:pPr>
              <w:widowControl/>
              <w:spacing w:line="240" w:lineRule="exact"/>
              <w:jc w:val="center"/>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5" w:hRule="atLeast"/>
        </w:trPr>
        <w:tc>
          <w:tcPr>
            <w:tcW w:w="795" w:type="dxa"/>
            <w:vMerge w:val="continue"/>
            <w:vAlign w:val="center"/>
          </w:tcPr>
          <w:p>
            <w:pPr>
              <w:spacing w:line="240" w:lineRule="exact"/>
              <w:rPr>
                <w:rFonts w:ascii="宋体" w:cs="Times New Roman"/>
              </w:rPr>
            </w:pPr>
          </w:p>
        </w:tc>
        <w:tc>
          <w:tcPr>
            <w:tcW w:w="765" w:type="dxa"/>
            <w:vMerge w:val="restart"/>
            <w:vAlign w:val="center"/>
          </w:tcPr>
          <w:p>
            <w:pPr>
              <w:widowControl/>
              <w:spacing w:line="240" w:lineRule="exact"/>
              <w:jc w:val="left"/>
              <w:rPr>
                <w:rFonts w:cs="Times New Roman"/>
              </w:rPr>
            </w:pPr>
            <w:r>
              <w:rPr>
                <w:rFonts w:hint="eastAsia" w:ascii="仿宋_GB2312" w:hAnsi="新宋体" w:eastAsia="仿宋_GB2312" w:cs="仿宋_GB2312"/>
                <w:kern w:val="0"/>
              </w:rPr>
              <w:t>预算配置情况</w:t>
            </w:r>
            <w:r>
              <w:rPr>
                <w:rFonts w:ascii="仿宋_GB2312" w:hAnsi="新宋体" w:eastAsia="仿宋_GB2312" w:cs="仿宋_GB2312"/>
                <w:kern w:val="0"/>
              </w:rPr>
              <w:t>(5</w:t>
            </w:r>
            <w:r>
              <w:rPr>
                <w:rFonts w:hint="eastAsia" w:ascii="仿宋_GB2312" w:hAnsi="新宋体" w:eastAsia="仿宋_GB2312" w:cs="仿宋_GB2312"/>
                <w:kern w:val="0"/>
              </w:rPr>
              <w:t>分</w:t>
            </w:r>
            <w:r>
              <w:rPr>
                <w:rFonts w:ascii="仿宋_GB2312" w:hAnsi="新宋体" w:eastAsia="仿宋_GB2312" w:cs="仿宋_GB2312"/>
                <w:kern w:val="0"/>
              </w:rPr>
              <w:t>)</w:t>
            </w:r>
          </w:p>
        </w:tc>
        <w:tc>
          <w:tcPr>
            <w:tcW w:w="990" w:type="dxa"/>
            <w:tcBorders>
              <w:top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在职人员控制率（</w:t>
            </w:r>
            <w:r>
              <w:rPr>
                <w:rFonts w:ascii="仿宋_GB2312" w:hAnsi="新宋体" w:eastAsia="仿宋_GB2312" w:cs="仿宋_GB2312"/>
                <w:kern w:val="0"/>
              </w:rPr>
              <w:t>1</w:t>
            </w:r>
            <w:r>
              <w:rPr>
                <w:rFonts w:hint="eastAsia" w:ascii="仿宋_GB2312" w:hAnsi="新宋体" w:eastAsia="仿宋_GB2312" w:cs="仿宋_GB2312"/>
                <w:kern w:val="0"/>
              </w:rPr>
              <w:t>分）</w:t>
            </w:r>
          </w:p>
        </w:tc>
        <w:tc>
          <w:tcPr>
            <w:tcW w:w="3975" w:type="dxa"/>
            <w:tcBorders>
              <w:top w:val="single" w:color="auto" w:sz="4" w:space="0"/>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部门本年度实际在职人员数与编制数的比率，用以反映和评价部门对人员成本的控制程度。</w:t>
            </w:r>
          </w:p>
          <w:p>
            <w:pPr>
              <w:widowControl/>
              <w:spacing w:line="240" w:lineRule="exact"/>
              <w:jc w:val="left"/>
              <w:rPr>
                <w:rFonts w:cs="Times New Roman"/>
              </w:rPr>
            </w:pPr>
            <w:r>
              <w:rPr>
                <w:rFonts w:hint="eastAsia" w:ascii="仿宋_GB2312" w:hAnsi="新宋体" w:eastAsia="仿宋_GB2312" w:cs="仿宋_GB2312"/>
                <w:kern w:val="0"/>
              </w:rPr>
              <w:t>在职人员控制率</w:t>
            </w:r>
            <w:r>
              <w:rPr>
                <w:rFonts w:ascii="仿宋_GB2312" w:hAnsi="新宋体" w:eastAsia="仿宋_GB2312" w:cs="仿宋_GB2312"/>
                <w:kern w:val="0"/>
              </w:rPr>
              <w:t>=</w:t>
            </w:r>
            <w:r>
              <w:rPr>
                <w:rFonts w:hint="eastAsia" w:ascii="仿宋_GB2312" w:hAnsi="新宋体" w:eastAsia="仿宋_GB2312" w:cs="仿宋_GB2312"/>
                <w:kern w:val="0"/>
              </w:rPr>
              <w:t>（在职人员数</w:t>
            </w:r>
            <w:r>
              <w:rPr>
                <w:rFonts w:ascii="仿宋_GB2312" w:hAnsi="新宋体" w:eastAsia="仿宋_GB2312" w:cs="仿宋_GB2312"/>
                <w:kern w:val="0"/>
              </w:rPr>
              <w:t>/</w:t>
            </w:r>
            <w:r>
              <w:rPr>
                <w:rFonts w:hint="eastAsia" w:ascii="仿宋_GB2312" w:hAnsi="新宋体" w:eastAsia="仿宋_GB2312" w:cs="仿宋_GB2312"/>
                <w:kern w:val="0"/>
              </w:rPr>
              <w:t>编制数）×</w:t>
            </w:r>
            <w:r>
              <w:rPr>
                <w:rFonts w:ascii="仿宋_GB2312" w:hAnsi="新宋体" w:eastAsia="仿宋_GB2312" w:cs="仿宋_GB2312"/>
                <w:kern w:val="0"/>
              </w:rPr>
              <w:t>100%</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在职人员数：部门实际在职人数，以财政部确定的部门决算编制口径为准，由编制部门和人劳部门批复同意的临聘人员除外。</w:t>
            </w:r>
          </w:p>
          <w:p>
            <w:pPr>
              <w:widowControl/>
              <w:spacing w:line="240" w:lineRule="exact"/>
              <w:jc w:val="left"/>
              <w:rPr>
                <w:rFonts w:cs="Times New Roman"/>
              </w:rPr>
            </w:pPr>
            <w:r>
              <w:rPr>
                <w:rFonts w:hint="eastAsia" w:ascii="仿宋_GB2312" w:hAnsi="新宋体" w:eastAsia="仿宋_GB2312" w:cs="仿宋_GB2312"/>
                <w:kern w:val="0"/>
              </w:rPr>
              <w:t>编制数：机构编制部门核定批复的部门人员编制数。</w:t>
            </w:r>
          </w:p>
        </w:tc>
        <w:tc>
          <w:tcPr>
            <w:tcW w:w="2550" w:type="dxa"/>
            <w:tcBorders>
              <w:top w:val="single" w:color="auto" w:sz="4" w:space="0"/>
              <w:left w:val="single" w:color="auto" w:sz="4" w:space="0"/>
              <w:right w:val="single" w:color="auto" w:sz="4" w:space="0"/>
            </w:tcBorders>
            <w:vAlign w:val="center"/>
          </w:tcPr>
          <w:p>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在职人员控制率小于或等于</w:t>
            </w:r>
            <w:r>
              <w:rPr>
                <w:rFonts w:ascii="仿宋_GB2312" w:hAnsi="新宋体" w:eastAsia="仿宋_GB2312" w:cs="仿宋_GB2312"/>
                <w:kern w:val="0"/>
              </w:rPr>
              <w:t>100%</w:t>
            </w:r>
            <w:r>
              <w:rPr>
                <w:rFonts w:hint="eastAsia" w:ascii="仿宋_GB2312" w:hAnsi="新宋体" w:eastAsia="仿宋_GB2312" w:cs="仿宋_GB2312"/>
                <w:kern w:val="0"/>
              </w:rPr>
              <w:t>的，得满分；</w:t>
            </w:r>
          </w:p>
          <w:p>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在职人员控制率大于或等于</w:t>
            </w:r>
            <w:r>
              <w:rPr>
                <w:rFonts w:ascii="仿宋_GB2312" w:hAnsi="新宋体" w:eastAsia="仿宋_GB2312" w:cs="仿宋_GB2312"/>
                <w:kern w:val="0"/>
              </w:rPr>
              <w:t>115%</w:t>
            </w:r>
            <w:r>
              <w:rPr>
                <w:rFonts w:hint="eastAsia" w:ascii="仿宋_GB2312" w:hAnsi="新宋体" w:eastAsia="仿宋_GB2312" w:cs="仿宋_GB2312"/>
                <w:kern w:val="0"/>
              </w:rPr>
              <w:t>的，得</w:t>
            </w:r>
            <w:r>
              <w:rPr>
                <w:rFonts w:ascii="仿宋_GB2312" w:hAnsi="新宋体" w:eastAsia="仿宋_GB2312" w:cs="仿宋_GB2312"/>
                <w:kern w:val="0"/>
              </w:rPr>
              <w:t>0</w:t>
            </w:r>
            <w:r>
              <w:rPr>
                <w:rFonts w:hint="eastAsia" w:ascii="仿宋_GB2312" w:hAnsi="新宋体" w:eastAsia="仿宋_GB2312" w:cs="仿宋_GB2312"/>
                <w:kern w:val="0"/>
              </w:rPr>
              <w:t>分；</w:t>
            </w:r>
          </w:p>
          <w:p>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在职人员控制率在</w:t>
            </w:r>
            <w:r>
              <w:rPr>
                <w:rFonts w:ascii="仿宋_GB2312" w:hAnsi="新宋体" w:eastAsia="仿宋_GB2312" w:cs="仿宋_GB2312"/>
                <w:kern w:val="0"/>
              </w:rPr>
              <w:t>100%-115%</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分和满分之间计算确定：</w:t>
            </w:r>
          </w:p>
          <w:p>
            <w:pPr>
              <w:widowControl/>
              <w:spacing w:line="240" w:lineRule="exact"/>
              <w:jc w:val="left"/>
              <w:rPr>
                <w:rFonts w:cs="Times New Roman"/>
              </w:rPr>
            </w:pPr>
            <w:r>
              <w:rPr>
                <w:rFonts w:hint="eastAsia" w:ascii="仿宋_GB2312" w:hAnsi="新宋体" w:eastAsia="仿宋_GB2312" w:cs="仿宋_GB2312"/>
                <w:kern w:val="0"/>
              </w:rPr>
              <w:t>得分</w:t>
            </w:r>
            <w:r>
              <w:rPr>
                <w:rFonts w:ascii="仿宋_GB2312" w:hAnsi="新宋体" w:eastAsia="仿宋_GB2312" w:cs="仿宋_GB2312"/>
                <w:kern w:val="0"/>
              </w:rPr>
              <w:t>=[max</w:t>
            </w:r>
            <w:r>
              <w:rPr>
                <w:rFonts w:hint="eastAsia" w:ascii="仿宋_GB2312" w:hAnsi="新宋体" w:eastAsia="仿宋_GB2312" w:cs="仿宋_GB2312"/>
                <w:kern w:val="0"/>
              </w:rPr>
              <w:t>（在职人员控制率）－某部门在职人员控制率</w:t>
            </w:r>
            <w:r>
              <w:rPr>
                <w:rFonts w:ascii="仿宋_GB2312" w:hAnsi="新宋体" w:eastAsia="仿宋_GB2312" w:cs="仿宋_GB2312"/>
                <w:kern w:val="0"/>
              </w:rPr>
              <w:t>]/[max</w:t>
            </w:r>
            <w:r>
              <w:rPr>
                <w:rFonts w:hint="eastAsia" w:ascii="仿宋_GB2312" w:hAnsi="新宋体" w:eastAsia="仿宋_GB2312" w:cs="仿宋_GB2312"/>
                <w:kern w:val="0"/>
              </w:rPr>
              <w:t>（在职人员控制率）－</w:t>
            </w:r>
            <w:r>
              <w:rPr>
                <w:rFonts w:ascii="仿宋_GB2312" w:hAnsi="新宋体" w:eastAsia="仿宋_GB2312" w:cs="仿宋_GB2312"/>
                <w:kern w:val="0"/>
              </w:rPr>
              <w:t>min</w:t>
            </w:r>
            <w:r>
              <w:rPr>
                <w:rFonts w:hint="eastAsia" w:ascii="仿宋_GB2312" w:hAnsi="新宋体" w:eastAsia="仿宋_GB2312" w:cs="仿宋_GB2312"/>
                <w:kern w:val="0"/>
              </w:rPr>
              <w:t>（在职人员控制率）</w:t>
            </w:r>
            <w:r>
              <w:rPr>
                <w:rFonts w:ascii="仿宋_GB2312" w:hAnsi="新宋体" w:eastAsia="仿宋_GB2312" w:cs="仿宋_GB2312"/>
                <w:kern w:val="0"/>
              </w:rPr>
              <w:t>]</w:t>
            </w:r>
            <w:r>
              <w:rPr>
                <w:rFonts w:hint="eastAsia" w:ascii="仿宋_GB2312" w:hAnsi="新宋体" w:eastAsia="仿宋_GB2312" w:cs="仿宋_GB2312"/>
                <w:kern w:val="0"/>
              </w:rPr>
              <w:t>×该指标分值。</w:t>
            </w:r>
          </w:p>
        </w:tc>
        <w:tc>
          <w:tcPr>
            <w:tcW w:w="765" w:type="dxa"/>
            <w:tcBorders>
              <w:top w:val="single" w:color="auto" w:sz="4" w:space="0"/>
              <w:left w:val="single" w:color="auto" w:sz="4" w:space="0"/>
            </w:tcBorders>
            <w:vAlign w:val="center"/>
          </w:tcPr>
          <w:p>
            <w:pPr>
              <w:widowControl/>
              <w:spacing w:line="240" w:lineRule="exact"/>
              <w:jc w:val="center"/>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5" w:hRule="atLeast"/>
        </w:trPr>
        <w:tc>
          <w:tcPr>
            <w:tcW w:w="795" w:type="dxa"/>
            <w:vMerge w:val="restart"/>
            <w:vAlign w:val="center"/>
          </w:tcPr>
          <w:p>
            <w:pPr>
              <w:spacing w:line="240" w:lineRule="exact"/>
              <w:rPr>
                <w:rFonts w:ascii="宋体" w:cs="Times New Roman"/>
              </w:rPr>
            </w:pPr>
          </w:p>
        </w:tc>
        <w:tc>
          <w:tcPr>
            <w:tcW w:w="765" w:type="dxa"/>
            <w:vMerge w:val="continue"/>
            <w:vAlign w:val="center"/>
          </w:tcPr>
          <w:p>
            <w:pPr>
              <w:widowControl/>
              <w:spacing w:line="240" w:lineRule="exact"/>
              <w:jc w:val="left"/>
              <w:rPr>
                <w:rFonts w:ascii="仿宋_GB2312" w:hAnsi="新宋体" w:eastAsia="仿宋_GB2312" w:cs="Times New Roman"/>
                <w:kern w:val="0"/>
              </w:rPr>
            </w:pPr>
          </w:p>
        </w:tc>
        <w:tc>
          <w:tcPr>
            <w:tcW w:w="990" w:type="dxa"/>
            <w:tcBorders>
              <w:top w:val="single" w:color="auto" w:sz="4" w:space="0"/>
              <w:right w:val="single" w:color="auto" w:sz="4" w:space="0"/>
            </w:tcBorders>
            <w:vAlign w:val="center"/>
          </w:tcPr>
          <w:p>
            <w:pPr>
              <w:widowControl/>
              <w:spacing w:line="240" w:lineRule="exact"/>
              <w:jc w:val="left"/>
              <w:textAlignment w:val="center"/>
              <w:rPr>
                <w:rFonts w:ascii="仿宋" w:hAnsi="仿宋" w:eastAsia="仿宋" w:cs="Times New Roman"/>
                <w:kern w:val="0"/>
              </w:rPr>
            </w:pPr>
            <w:r>
              <w:rPr>
                <w:rFonts w:hint="eastAsia" w:ascii="仿宋" w:hAnsi="仿宋" w:eastAsia="仿宋" w:cs="仿宋"/>
                <w:color w:val="000000"/>
                <w:kern w:val="0"/>
              </w:rPr>
              <w:t>“三公经费”变动率（</w:t>
            </w:r>
            <w:r>
              <w:rPr>
                <w:rFonts w:ascii="仿宋" w:hAnsi="仿宋" w:eastAsia="仿宋" w:cs="仿宋"/>
                <w:color w:val="000000"/>
                <w:kern w:val="0"/>
              </w:rPr>
              <w:t>2</w:t>
            </w:r>
            <w:r>
              <w:rPr>
                <w:rFonts w:hint="eastAsia" w:ascii="仿宋" w:hAnsi="仿宋" w:eastAsia="仿宋" w:cs="仿宋"/>
                <w:color w:val="000000"/>
                <w:kern w:val="0"/>
              </w:rPr>
              <w:t>分）</w:t>
            </w:r>
          </w:p>
        </w:tc>
        <w:tc>
          <w:tcPr>
            <w:tcW w:w="3975"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Times New Roman"/>
                <w:kern w:val="0"/>
              </w:rPr>
            </w:pPr>
            <w:r>
              <w:rPr>
                <w:rFonts w:hint="eastAsia" w:ascii="仿宋" w:hAnsi="仿宋" w:eastAsia="仿宋" w:cs="仿宋"/>
                <w:color w:val="000000"/>
                <w:kern w:val="0"/>
              </w:rPr>
              <w:t>部门本年度“三公经费”预算数与上年度“三公经费”预算数的变动比率，用以反映和考核部门对控制重点行政成本的努力程度。“三公经费”变动率</w:t>
            </w:r>
            <w:r>
              <w:rPr>
                <w:rFonts w:ascii="仿宋" w:hAnsi="仿宋" w:eastAsia="仿宋" w:cs="仿宋"/>
                <w:color w:val="000000"/>
                <w:kern w:val="0"/>
              </w:rPr>
              <w:t>=[</w:t>
            </w:r>
            <w:r>
              <w:rPr>
                <w:rFonts w:hint="eastAsia" w:ascii="仿宋" w:hAnsi="仿宋" w:eastAsia="仿宋" w:cs="仿宋"/>
                <w:color w:val="000000"/>
                <w:kern w:val="0"/>
              </w:rPr>
              <w:t>（本年度“三公经费”总额</w:t>
            </w:r>
            <w:r>
              <w:rPr>
                <w:rFonts w:ascii="仿宋" w:hAnsi="仿宋" w:eastAsia="仿宋" w:cs="仿宋"/>
                <w:color w:val="000000"/>
                <w:kern w:val="0"/>
              </w:rPr>
              <w:t>-</w:t>
            </w:r>
            <w:r>
              <w:rPr>
                <w:rFonts w:hint="eastAsia" w:ascii="仿宋" w:hAnsi="仿宋" w:eastAsia="仿宋" w:cs="仿宋"/>
                <w:color w:val="000000"/>
                <w:kern w:val="0"/>
              </w:rPr>
              <w:t>上年度“三公经费”总额）</w:t>
            </w:r>
            <w:r>
              <w:rPr>
                <w:rFonts w:ascii="仿宋" w:hAnsi="仿宋" w:eastAsia="仿宋" w:cs="仿宋"/>
                <w:color w:val="000000"/>
                <w:kern w:val="0"/>
              </w:rPr>
              <w:t>/</w:t>
            </w:r>
            <w:r>
              <w:rPr>
                <w:rFonts w:hint="eastAsia" w:ascii="仿宋" w:hAnsi="仿宋" w:eastAsia="仿宋" w:cs="仿宋"/>
                <w:color w:val="000000"/>
                <w:kern w:val="0"/>
              </w:rPr>
              <w:t>上年度“三公经费”总额</w:t>
            </w:r>
            <w:r>
              <w:rPr>
                <w:rFonts w:ascii="仿宋" w:hAnsi="仿宋" w:eastAsia="仿宋" w:cs="仿宋"/>
                <w:color w:val="000000"/>
                <w:kern w:val="0"/>
              </w:rPr>
              <w:t>]</w:t>
            </w:r>
            <w:r>
              <w:rPr>
                <w:rFonts w:hint="eastAsia" w:ascii="仿宋" w:hAnsi="仿宋" w:eastAsia="仿宋" w:cs="仿宋"/>
                <w:color w:val="000000"/>
                <w:kern w:val="0"/>
              </w:rPr>
              <w:t>×</w:t>
            </w:r>
            <w:r>
              <w:rPr>
                <w:rFonts w:ascii="仿宋" w:hAnsi="仿宋" w:eastAsia="仿宋" w:cs="仿宋"/>
                <w:color w:val="000000"/>
                <w:kern w:val="0"/>
              </w:rPr>
              <w:t>100%</w:t>
            </w:r>
            <w:r>
              <w:rPr>
                <w:rFonts w:hint="eastAsia" w:ascii="仿宋" w:hAnsi="仿宋" w:eastAsia="仿宋" w:cs="仿宋"/>
                <w:color w:val="000000"/>
                <w:kern w:val="0"/>
              </w:rPr>
              <w:t>。</w:t>
            </w:r>
            <w:r>
              <w:rPr>
                <w:rFonts w:ascii="仿宋" w:hAnsi="仿宋" w:eastAsia="仿宋" w:cs="Times New Roman"/>
                <w:color w:val="000000"/>
                <w:kern w:val="0"/>
              </w:rPr>
              <w:br w:type="textWrapping"/>
            </w:r>
            <w:r>
              <w:rPr>
                <w:rFonts w:hint="eastAsia" w:ascii="仿宋" w:hAnsi="仿宋" w:eastAsia="仿宋" w:cs="仿宋"/>
                <w:color w:val="000000"/>
                <w:kern w:val="0"/>
              </w:rPr>
              <w:t>“三公经费”：年度预算安排的因公出国（境）费、公务车辆购置及运行费和公务招待费。</w:t>
            </w:r>
          </w:p>
        </w:tc>
        <w:tc>
          <w:tcPr>
            <w:tcW w:w="2550" w:type="dxa"/>
            <w:tcBorders>
              <w:top w:val="single" w:color="auto" w:sz="4" w:space="0"/>
              <w:left w:val="single" w:color="auto" w:sz="4" w:space="0"/>
              <w:right w:val="single" w:color="auto" w:sz="4" w:space="0"/>
            </w:tcBorders>
            <w:vAlign w:val="center"/>
          </w:tcPr>
          <w:p>
            <w:pPr>
              <w:widowControl/>
              <w:spacing w:line="240" w:lineRule="exact"/>
              <w:jc w:val="left"/>
              <w:rPr>
                <w:rFonts w:cs="Times New Roman"/>
              </w:rPr>
            </w:pPr>
            <w:r>
              <w:rPr>
                <w:rFonts w:ascii="仿宋_GB2312" w:hAnsi="新宋体" w:eastAsia="仿宋_GB2312" w:cs="仿宋_GB2312"/>
                <w:kern w:val="0"/>
              </w:rPr>
              <w:t>1.</w:t>
            </w:r>
            <w:r>
              <w:rPr>
                <w:rFonts w:hint="eastAsia" w:ascii="仿宋" w:hAnsi="仿宋" w:eastAsia="仿宋" w:cs="仿宋"/>
                <w:color w:val="000000"/>
                <w:kern w:val="0"/>
              </w:rPr>
              <w:t>“三公经费”变动率</w:t>
            </w:r>
            <w:r>
              <w:rPr>
                <w:rFonts w:hint="eastAsia" w:ascii="仿宋_GB2312" w:hAnsi="新宋体" w:eastAsia="仿宋_GB2312" w:cs="仿宋_GB2312"/>
                <w:kern w:val="0"/>
              </w:rPr>
              <w:t>小于或等于</w:t>
            </w:r>
            <w:r>
              <w:rPr>
                <w:rFonts w:ascii="仿宋_GB2312" w:hAnsi="新宋体" w:eastAsia="仿宋_GB2312" w:cs="仿宋_GB2312"/>
                <w:kern w:val="0"/>
              </w:rPr>
              <w:t>-5%</w:t>
            </w:r>
            <w:r>
              <w:rPr>
                <w:rFonts w:hint="eastAsia" w:ascii="仿宋_GB2312" w:hAnsi="新宋体" w:eastAsia="仿宋_GB2312" w:cs="仿宋_GB2312"/>
                <w:kern w:val="0"/>
              </w:rPr>
              <w:t>的，得满分；</w:t>
            </w:r>
          </w:p>
          <w:p>
            <w:pPr>
              <w:widowControl/>
              <w:spacing w:line="240" w:lineRule="exact"/>
              <w:jc w:val="left"/>
              <w:rPr>
                <w:rFonts w:cs="Times New Roman"/>
              </w:rPr>
            </w:pPr>
            <w:r>
              <w:rPr>
                <w:rFonts w:ascii="仿宋_GB2312" w:hAnsi="新宋体" w:eastAsia="仿宋_GB2312" w:cs="仿宋_GB2312"/>
                <w:kern w:val="0"/>
              </w:rPr>
              <w:t>2.</w:t>
            </w:r>
            <w:r>
              <w:rPr>
                <w:rFonts w:hint="eastAsia" w:ascii="仿宋" w:hAnsi="仿宋" w:eastAsia="仿宋" w:cs="仿宋"/>
                <w:color w:val="000000"/>
                <w:kern w:val="0"/>
              </w:rPr>
              <w:t>“三公经费”变动率</w:t>
            </w:r>
            <w:r>
              <w:rPr>
                <w:rFonts w:hint="eastAsia" w:ascii="仿宋_GB2312" w:hAnsi="新宋体" w:eastAsia="仿宋_GB2312" w:cs="仿宋_GB2312"/>
                <w:kern w:val="0"/>
              </w:rPr>
              <w:t>大于或等于</w:t>
            </w:r>
            <w:r>
              <w:rPr>
                <w:rFonts w:ascii="仿宋_GB2312" w:hAnsi="新宋体" w:eastAsia="仿宋_GB2312" w:cs="仿宋_GB2312"/>
                <w:kern w:val="0"/>
              </w:rPr>
              <w:t>10%</w:t>
            </w:r>
            <w:r>
              <w:rPr>
                <w:rFonts w:hint="eastAsia" w:ascii="仿宋_GB2312" w:hAnsi="新宋体" w:eastAsia="仿宋_GB2312" w:cs="仿宋_GB2312"/>
                <w:kern w:val="0"/>
              </w:rPr>
              <w:t>的，得</w:t>
            </w:r>
            <w:r>
              <w:rPr>
                <w:rFonts w:ascii="仿宋_GB2312" w:hAnsi="新宋体" w:eastAsia="仿宋_GB2312" w:cs="仿宋_GB2312"/>
                <w:kern w:val="0"/>
              </w:rPr>
              <w:t>0</w:t>
            </w:r>
            <w:r>
              <w:rPr>
                <w:rFonts w:hint="eastAsia" w:ascii="仿宋_GB2312" w:hAnsi="新宋体" w:eastAsia="仿宋_GB2312" w:cs="仿宋_GB2312"/>
                <w:kern w:val="0"/>
              </w:rPr>
              <w:t>分；</w:t>
            </w:r>
          </w:p>
          <w:p>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在职人员控制率在</w:t>
            </w:r>
            <w:r>
              <w:rPr>
                <w:rFonts w:ascii="仿宋_GB2312" w:hAnsi="新宋体" w:eastAsia="仿宋_GB2312" w:cs="仿宋_GB2312"/>
                <w:kern w:val="0"/>
              </w:rPr>
              <w:t>-5%-10%</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分和满分之间计算确定：</w:t>
            </w:r>
          </w:p>
          <w:p>
            <w:pPr>
              <w:widowControl/>
              <w:spacing w:line="240" w:lineRule="exact"/>
              <w:jc w:val="left"/>
              <w:textAlignment w:val="center"/>
              <w:rPr>
                <w:rFonts w:ascii="仿宋" w:hAnsi="仿宋" w:eastAsia="仿宋" w:cs="Times New Roman"/>
                <w:kern w:val="0"/>
              </w:rPr>
            </w:pPr>
            <w:r>
              <w:rPr>
                <w:rFonts w:hint="eastAsia" w:ascii="仿宋_GB2312" w:hAnsi="新宋体" w:eastAsia="仿宋_GB2312" w:cs="仿宋_GB2312"/>
                <w:kern w:val="0"/>
              </w:rPr>
              <w:t>得分</w:t>
            </w:r>
            <w:r>
              <w:rPr>
                <w:rFonts w:ascii="仿宋_GB2312" w:hAnsi="新宋体" w:eastAsia="仿宋_GB2312" w:cs="仿宋_GB2312"/>
                <w:kern w:val="0"/>
              </w:rPr>
              <w:t>=[max</w:t>
            </w:r>
            <w:r>
              <w:rPr>
                <w:rFonts w:hint="eastAsia" w:ascii="仿宋_GB2312" w:hAnsi="新宋体" w:eastAsia="仿宋_GB2312" w:cs="仿宋_GB2312"/>
                <w:kern w:val="0"/>
              </w:rPr>
              <w:t>（</w:t>
            </w:r>
            <w:r>
              <w:rPr>
                <w:rFonts w:hint="eastAsia" w:ascii="仿宋" w:hAnsi="仿宋" w:eastAsia="仿宋" w:cs="仿宋"/>
                <w:color w:val="000000"/>
                <w:kern w:val="0"/>
              </w:rPr>
              <w:t>“三公经费”变动率</w:t>
            </w:r>
            <w:r>
              <w:rPr>
                <w:rFonts w:hint="eastAsia" w:ascii="仿宋_GB2312" w:hAnsi="新宋体" w:eastAsia="仿宋_GB2312" w:cs="仿宋_GB2312"/>
                <w:kern w:val="0"/>
              </w:rPr>
              <w:t>）－</w:t>
            </w:r>
            <w:r>
              <w:rPr>
                <w:rFonts w:hint="eastAsia" w:ascii="仿宋" w:hAnsi="仿宋" w:eastAsia="仿宋" w:cs="仿宋"/>
                <w:color w:val="000000"/>
                <w:kern w:val="0"/>
              </w:rPr>
              <w:t>“三公经费”变动率</w:t>
            </w:r>
            <w:r>
              <w:rPr>
                <w:rFonts w:ascii="仿宋_GB2312" w:hAnsi="新宋体" w:eastAsia="仿宋_GB2312" w:cs="仿宋_GB2312"/>
                <w:kern w:val="0"/>
              </w:rPr>
              <w:t>]/[max</w:t>
            </w:r>
            <w:r>
              <w:rPr>
                <w:rFonts w:hint="eastAsia" w:ascii="仿宋_GB2312" w:hAnsi="新宋体" w:eastAsia="仿宋_GB2312" w:cs="仿宋_GB2312"/>
                <w:kern w:val="0"/>
              </w:rPr>
              <w:t>（</w:t>
            </w:r>
            <w:r>
              <w:rPr>
                <w:rFonts w:hint="eastAsia" w:ascii="仿宋" w:hAnsi="仿宋" w:eastAsia="仿宋" w:cs="仿宋"/>
                <w:color w:val="000000"/>
                <w:kern w:val="0"/>
              </w:rPr>
              <w:t>“三公经费”变动率</w:t>
            </w:r>
            <w:r>
              <w:rPr>
                <w:rFonts w:hint="eastAsia" w:ascii="仿宋_GB2312" w:hAnsi="新宋体" w:eastAsia="仿宋_GB2312" w:cs="仿宋_GB2312"/>
                <w:kern w:val="0"/>
              </w:rPr>
              <w:t>）－</w:t>
            </w:r>
            <w:r>
              <w:rPr>
                <w:rFonts w:ascii="仿宋_GB2312" w:hAnsi="新宋体" w:eastAsia="仿宋_GB2312" w:cs="仿宋_GB2312"/>
                <w:kern w:val="0"/>
              </w:rPr>
              <w:t>min</w:t>
            </w:r>
            <w:r>
              <w:rPr>
                <w:rFonts w:hint="eastAsia" w:ascii="仿宋_GB2312" w:hAnsi="新宋体" w:eastAsia="仿宋_GB2312" w:cs="仿宋_GB2312"/>
                <w:kern w:val="0"/>
              </w:rPr>
              <w:t>（</w:t>
            </w:r>
            <w:r>
              <w:rPr>
                <w:rFonts w:hint="eastAsia" w:ascii="仿宋" w:hAnsi="仿宋" w:eastAsia="仿宋" w:cs="仿宋"/>
                <w:color w:val="000000"/>
                <w:kern w:val="0"/>
              </w:rPr>
              <w:t>“三公经费”变动率</w:t>
            </w:r>
            <w:r>
              <w:rPr>
                <w:rFonts w:hint="eastAsia" w:ascii="仿宋_GB2312" w:hAnsi="新宋体" w:eastAsia="仿宋_GB2312" w:cs="仿宋_GB2312"/>
                <w:kern w:val="0"/>
              </w:rPr>
              <w:t>）</w:t>
            </w:r>
            <w:r>
              <w:rPr>
                <w:rFonts w:ascii="仿宋_GB2312" w:hAnsi="新宋体" w:eastAsia="仿宋_GB2312" w:cs="仿宋_GB2312"/>
                <w:kern w:val="0"/>
              </w:rPr>
              <w:t>]</w:t>
            </w:r>
            <w:r>
              <w:rPr>
                <w:rFonts w:hint="eastAsia" w:ascii="仿宋_GB2312" w:hAnsi="新宋体" w:eastAsia="仿宋_GB2312" w:cs="仿宋_GB2312"/>
                <w:kern w:val="0"/>
              </w:rPr>
              <w:t>×该指标分值。</w:t>
            </w:r>
          </w:p>
        </w:tc>
        <w:tc>
          <w:tcPr>
            <w:tcW w:w="765" w:type="dxa"/>
            <w:tcBorders>
              <w:top w:val="single" w:color="auto" w:sz="4" w:space="0"/>
              <w:left w:val="single" w:color="auto" w:sz="4" w:space="0"/>
            </w:tcBorders>
            <w:vAlign w:val="center"/>
          </w:tcPr>
          <w:p>
            <w:pPr>
              <w:widowControl/>
              <w:spacing w:line="240" w:lineRule="exact"/>
              <w:jc w:val="center"/>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95" w:type="dxa"/>
            <w:vMerge w:val="continue"/>
            <w:vAlign w:val="center"/>
          </w:tcPr>
          <w:p>
            <w:pPr>
              <w:spacing w:line="240" w:lineRule="exact"/>
              <w:rPr>
                <w:rFonts w:ascii="宋体" w:cs="Times New Roman"/>
              </w:rPr>
            </w:pPr>
          </w:p>
        </w:tc>
        <w:tc>
          <w:tcPr>
            <w:tcW w:w="765" w:type="dxa"/>
            <w:vMerge w:val="continue"/>
            <w:vAlign w:val="center"/>
          </w:tcPr>
          <w:p>
            <w:pPr>
              <w:widowControl/>
              <w:spacing w:line="240" w:lineRule="exact"/>
              <w:jc w:val="left"/>
              <w:rPr>
                <w:rFonts w:ascii="仿宋_GB2312" w:hAnsi="新宋体" w:eastAsia="仿宋_GB2312" w:cs="Times New Roman"/>
                <w:kern w:val="0"/>
              </w:rPr>
            </w:pPr>
          </w:p>
        </w:tc>
        <w:tc>
          <w:tcPr>
            <w:tcW w:w="990" w:type="dxa"/>
            <w:tcBorders>
              <w:top w:val="single" w:color="auto" w:sz="4" w:space="0"/>
              <w:right w:val="single" w:color="auto" w:sz="4" w:space="0"/>
            </w:tcBorders>
            <w:vAlign w:val="center"/>
          </w:tcPr>
          <w:p>
            <w:pPr>
              <w:widowControl/>
              <w:spacing w:line="240" w:lineRule="exact"/>
              <w:jc w:val="left"/>
              <w:textAlignment w:val="center"/>
              <w:rPr>
                <w:rFonts w:ascii="仿宋" w:hAnsi="仿宋" w:eastAsia="仿宋" w:cs="Times New Roman"/>
                <w:kern w:val="0"/>
              </w:rPr>
            </w:pPr>
            <w:r>
              <w:rPr>
                <w:rFonts w:hint="eastAsia" w:ascii="仿宋" w:hAnsi="仿宋" w:eastAsia="仿宋" w:cs="仿宋"/>
                <w:color w:val="000000"/>
                <w:kern w:val="0"/>
              </w:rPr>
              <w:t>重点支出安排率（</w:t>
            </w:r>
            <w:r>
              <w:rPr>
                <w:rFonts w:ascii="仿宋" w:hAnsi="仿宋" w:eastAsia="仿宋" w:cs="仿宋"/>
                <w:color w:val="000000"/>
                <w:kern w:val="0"/>
              </w:rPr>
              <w:t>2</w:t>
            </w:r>
            <w:r>
              <w:rPr>
                <w:rFonts w:hint="eastAsia" w:ascii="仿宋" w:hAnsi="仿宋" w:eastAsia="仿宋" w:cs="仿宋"/>
                <w:color w:val="000000"/>
                <w:kern w:val="0"/>
              </w:rPr>
              <w:t>分）</w:t>
            </w:r>
          </w:p>
        </w:tc>
        <w:tc>
          <w:tcPr>
            <w:tcW w:w="3975"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Times New Roman"/>
                <w:kern w:val="0"/>
              </w:rPr>
            </w:pPr>
            <w:r>
              <w:rPr>
                <w:rFonts w:hint="eastAsia" w:ascii="仿宋" w:hAnsi="仿宋" w:eastAsia="仿宋" w:cs="仿宋"/>
                <w:color w:val="000000"/>
                <w:kern w:val="0"/>
              </w:rPr>
              <w:t>部门本年度预算安排的重点项目支出与部门项目总支出的比率，用以反映和考核部门对履行主要职责或完成重点任务的保障程度。重点支出安排率</w:t>
            </w:r>
            <w:r>
              <w:rPr>
                <w:rFonts w:ascii="仿宋" w:hAnsi="仿宋" w:eastAsia="仿宋" w:cs="仿宋"/>
                <w:color w:val="000000"/>
                <w:kern w:val="0"/>
              </w:rPr>
              <w:t>=</w:t>
            </w:r>
            <w:r>
              <w:rPr>
                <w:rFonts w:hint="eastAsia" w:ascii="仿宋" w:hAnsi="仿宋" w:eastAsia="仿宋" w:cs="仿宋"/>
                <w:color w:val="000000"/>
                <w:kern w:val="0"/>
              </w:rPr>
              <w:t>（重点项目支出</w:t>
            </w:r>
            <w:r>
              <w:rPr>
                <w:rFonts w:ascii="仿宋" w:hAnsi="仿宋" w:eastAsia="仿宋" w:cs="仿宋"/>
                <w:color w:val="000000"/>
                <w:kern w:val="0"/>
              </w:rPr>
              <w:t>/</w:t>
            </w:r>
            <w:r>
              <w:rPr>
                <w:rFonts w:hint="eastAsia" w:ascii="仿宋" w:hAnsi="仿宋" w:eastAsia="仿宋" w:cs="仿宋"/>
                <w:color w:val="000000"/>
                <w:kern w:val="0"/>
              </w:rPr>
              <w:t>项目总支出）×</w:t>
            </w:r>
            <w:r>
              <w:rPr>
                <w:rFonts w:ascii="仿宋" w:hAnsi="仿宋" w:eastAsia="仿宋" w:cs="仿宋"/>
                <w:color w:val="000000"/>
                <w:kern w:val="0"/>
              </w:rPr>
              <w:t>100%</w:t>
            </w:r>
            <w:r>
              <w:rPr>
                <w:rFonts w:hint="eastAsia" w:ascii="仿宋" w:hAnsi="仿宋" w:eastAsia="仿宋" w:cs="仿宋"/>
                <w:color w:val="000000"/>
                <w:kern w:val="0"/>
              </w:rPr>
              <w:t>。</w:t>
            </w:r>
            <w:r>
              <w:rPr>
                <w:rFonts w:ascii="仿宋" w:hAnsi="仿宋" w:eastAsia="仿宋" w:cs="Times New Roman"/>
                <w:color w:val="000000"/>
                <w:kern w:val="0"/>
              </w:rPr>
              <w:br w:type="textWrapping"/>
            </w:r>
            <w:r>
              <w:rPr>
                <w:rFonts w:hint="eastAsia" w:ascii="仿宋" w:hAnsi="仿宋" w:eastAsia="仿宋" w:cs="仿宋"/>
                <w:color w:val="000000"/>
                <w:kern w:val="0"/>
              </w:rPr>
              <w:t>重点项目支出：部门（单位）年度预算安排的，与本部门履职和发展密切相关、具有明显社会和经济影响、党委政府关心或社会比较关注的项目支出总额。</w:t>
            </w:r>
            <w:r>
              <w:rPr>
                <w:rFonts w:ascii="仿宋" w:hAnsi="仿宋" w:eastAsia="仿宋" w:cs="Times New Roman"/>
                <w:color w:val="000000"/>
                <w:kern w:val="0"/>
              </w:rPr>
              <w:br w:type="textWrapping"/>
            </w:r>
            <w:r>
              <w:rPr>
                <w:rFonts w:hint="eastAsia" w:ascii="仿宋" w:hAnsi="仿宋" w:eastAsia="仿宋" w:cs="仿宋"/>
                <w:color w:val="000000"/>
                <w:kern w:val="0"/>
              </w:rPr>
              <w:t>项目总支出：部门（单位）年度预算安排的项目支出总额。</w:t>
            </w:r>
          </w:p>
        </w:tc>
        <w:tc>
          <w:tcPr>
            <w:tcW w:w="2550" w:type="dxa"/>
            <w:tcBorders>
              <w:top w:val="single" w:color="auto" w:sz="4" w:space="0"/>
              <w:left w:val="single" w:color="auto" w:sz="4" w:space="0"/>
              <w:right w:val="single" w:color="auto" w:sz="4" w:space="0"/>
            </w:tcBorders>
            <w:vAlign w:val="center"/>
          </w:tcPr>
          <w:p>
            <w:pPr>
              <w:widowControl/>
              <w:spacing w:line="240" w:lineRule="exact"/>
              <w:jc w:val="left"/>
              <w:rPr>
                <w:rFonts w:cs="Times New Roman"/>
              </w:rPr>
            </w:pPr>
            <w:r>
              <w:rPr>
                <w:rFonts w:ascii="仿宋_GB2312" w:hAnsi="新宋体" w:eastAsia="仿宋_GB2312" w:cs="仿宋_GB2312"/>
                <w:kern w:val="0"/>
              </w:rPr>
              <w:t>1.</w:t>
            </w:r>
            <w:r>
              <w:rPr>
                <w:rFonts w:hint="eastAsia" w:ascii="仿宋" w:hAnsi="仿宋" w:eastAsia="仿宋" w:cs="仿宋"/>
                <w:color w:val="000000"/>
                <w:kern w:val="0"/>
              </w:rPr>
              <w:t>重点支出安排率</w:t>
            </w:r>
            <w:r>
              <w:rPr>
                <w:rFonts w:hint="eastAsia" w:ascii="仿宋_GB2312" w:hAnsi="新宋体" w:eastAsia="仿宋_GB2312" w:cs="仿宋_GB2312"/>
                <w:kern w:val="0"/>
              </w:rPr>
              <w:t>大于或等于</w:t>
            </w:r>
            <w:r>
              <w:rPr>
                <w:rFonts w:ascii="仿宋_GB2312" w:hAnsi="新宋体" w:eastAsia="仿宋_GB2312" w:cs="仿宋_GB2312"/>
                <w:kern w:val="0"/>
              </w:rPr>
              <w:t>95%</w:t>
            </w:r>
            <w:r>
              <w:rPr>
                <w:rFonts w:hint="eastAsia" w:ascii="仿宋_GB2312" w:hAnsi="新宋体" w:eastAsia="仿宋_GB2312" w:cs="仿宋_GB2312"/>
                <w:kern w:val="0"/>
              </w:rPr>
              <w:t>的，得满分；</w:t>
            </w:r>
          </w:p>
          <w:p>
            <w:pPr>
              <w:widowControl/>
              <w:spacing w:line="240" w:lineRule="exact"/>
              <w:jc w:val="left"/>
              <w:rPr>
                <w:rFonts w:cs="Times New Roman"/>
              </w:rPr>
            </w:pPr>
            <w:r>
              <w:rPr>
                <w:rFonts w:ascii="仿宋_GB2312" w:hAnsi="新宋体" w:eastAsia="仿宋_GB2312" w:cs="仿宋_GB2312"/>
                <w:kern w:val="0"/>
              </w:rPr>
              <w:t>2.</w:t>
            </w:r>
            <w:r>
              <w:rPr>
                <w:rFonts w:hint="eastAsia" w:ascii="仿宋" w:hAnsi="仿宋" w:eastAsia="仿宋" w:cs="仿宋"/>
                <w:color w:val="000000"/>
                <w:kern w:val="0"/>
              </w:rPr>
              <w:t>重点支出安排率</w:t>
            </w:r>
            <w:r>
              <w:rPr>
                <w:rFonts w:hint="eastAsia" w:ascii="仿宋_GB2312" w:hAnsi="新宋体" w:eastAsia="仿宋_GB2312" w:cs="仿宋_GB2312"/>
                <w:kern w:val="0"/>
              </w:rPr>
              <w:t>小于或等于</w:t>
            </w:r>
            <w:r>
              <w:rPr>
                <w:rFonts w:ascii="仿宋_GB2312" w:hAnsi="新宋体" w:eastAsia="仿宋_GB2312" w:cs="仿宋_GB2312"/>
                <w:kern w:val="0"/>
              </w:rPr>
              <w:t>85%</w:t>
            </w:r>
            <w:r>
              <w:rPr>
                <w:rFonts w:hint="eastAsia" w:ascii="仿宋_GB2312" w:hAnsi="新宋体" w:eastAsia="仿宋_GB2312" w:cs="仿宋_GB2312"/>
                <w:kern w:val="0"/>
              </w:rPr>
              <w:t>的，得</w:t>
            </w:r>
            <w:r>
              <w:rPr>
                <w:rFonts w:ascii="仿宋_GB2312" w:hAnsi="新宋体" w:eastAsia="仿宋_GB2312" w:cs="仿宋_GB2312"/>
                <w:kern w:val="0"/>
              </w:rPr>
              <w:t>0</w:t>
            </w:r>
            <w:r>
              <w:rPr>
                <w:rFonts w:hint="eastAsia" w:ascii="仿宋_GB2312" w:hAnsi="新宋体" w:eastAsia="仿宋_GB2312" w:cs="仿宋_GB2312"/>
                <w:kern w:val="0"/>
              </w:rPr>
              <w:t>分；</w:t>
            </w:r>
          </w:p>
          <w:p>
            <w:pPr>
              <w:widowControl/>
              <w:spacing w:line="240" w:lineRule="exact"/>
              <w:jc w:val="left"/>
              <w:rPr>
                <w:rFonts w:cs="Times New Roman"/>
              </w:rPr>
            </w:pPr>
            <w:r>
              <w:rPr>
                <w:rFonts w:ascii="仿宋_GB2312" w:hAnsi="新宋体" w:eastAsia="仿宋_GB2312" w:cs="仿宋_GB2312"/>
                <w:kern w:val="0"/>
              </w:rPr>
              <w:t>3.</w:t>
            </w:r>
            <w:r>
              <w:rPr>
                <w:rFonts w:hint="eastAsia" w:ascii="仿宋" w:hAnsi="仿宋" w:eastAsia="仿宋" w:cs="仿宋"/>
                <w:color w:val="000000"/>
                <w:kern w:val="0"/>
              </w:rPr>
              <w:t>重点支出安排率</w:t>
            </w:r>
            <w:r>
              <w:rPr>
                <w:rFonts w:hint="eastAsia" w:ascii="仿宋_GB2312" w:hAnsi="新宋体" w:eastAsia="仿宋_GB2312" w:cs="仿宋_GB2312"/>
                <w:kern w:val="0"/>
              </w:rPr>
              <w:t>在</w:t>
            </w:r>
            <w:r>
              <w:rPr>
                <w:rFonts w:ascii="仿宋_GB2312" w:hAnsi="新宋体" w:eastAsia="仿宋_GB2312" w:cs="仿宋_GB2312"/>
                <w:kern w:val="0"/>
              </w:rPr>
              <w:t>85%-95%</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分和满分之间计算确定：</w:t>
            </w:r>
          </w:p>
          <w:p>
            <w:pPr>
              <w:widowControl/>
              <w:spacing w:line="240" w:lineRule="exact"/>
              <w:jc w:val="left"/>
              <w:textAlignment w:val="center"/>
              <w:rPr>
                <w:rFonts w:ascii="仿宋" w:hAnsi="仿宋" w:eastAsia="仿宋" w:cs="Times New Roman"/>
                <w:kern w:val="0"/>
              </w:rPr>
            </w:pPr>
            <w:r>
              <w:rPr>
                <w:rFonts w:hint="eastAsia" w:ascii="仿宋_GB2312" w:hAnsi="新宋体" w:eastAsia="仿宋_GB2312" w:cs="仿宋_GB2312"/>
                <w:kern w:val="0"/>
              </w:rPr>
              <w:t>得分</w:t>
            </w:r>
            <w:r>
              <w:rPr>
                <w:rFonts w:ascii="仿宋_GB2312" w:hAnsi="新宋体" w:eastAsia="仿宋_GB2312" w:cs="仿宋_GB2312"/>
                <w:kern w:val="0"/>
              </w:rPr>
              <w:t>=[</w:t>
            </w:r>
            <w:r>
              <w:rPr>
                <w:rFonts w:hint="eastAsia" w:ascii="仿宋_GB2312" w:hAnsi="新宋体" w:eastAsia="仿宋_GB2312" w:cs="仿宋_GB2312"/>
                <w:kern w:val="0"/>
              </w:rPr>
              <w:t>某部门</w:t>
            </w:r>
            <w:r>
              <w:rPr>
                <w:rFonts w:hint="eastAsia" w:ascii="仿宋" w:hAnsi="仿宋" w:eastAsia="仿宋" w:cs="仿宋"/>
                <w:color w:val="000000"/>
                <w:kern w:val="0"/>
              </w:rPr>
              <w:t>重点支出安排率</w:t>
            </w:r>
            <w:r>
              <w:rPr>
                <w:rFonts w:ascii="仿宋_GB2312" w:hAnsi="新宋体" w:eastAsia="仿宋_GB2312" w:cs="仿宋_GB2312"/>
                <w:kern w:val="0"/>
              </w:rPr>
              <w:t>-min</w:t>
            </w:r>
            <w:r>
              <w:rPr>
                <w:rFonts w:hint="eastAsia" w:ascii="仿宋_GB2312" w:hAnsi="新宋体" w:eastAsia="仿宋_GB2312" w:cs="仿宋_GB2312"/>
                <w:kern w:val="0"/>
              </w:rPr>
              <w:t>（</w:t>
            </w:r>
            <w:r>
              <w:rPr>
                <w:rFonts w:hint="eastAsia" w:ascii="仿宋" w:hAnsi="仿宋" w:eastAsia="仿宋" w:cs="仿宋"/>
                <w:color w:val="000000"/>
                <w:kern w:val="0"/>
              </w:rPr>
              <w:t>重点支出安排率</w:t>
            </w:r>
            <w:r>
              <w:rPr>
                <w:rFonts w:hint="eastAsia" w:ascii="仿宋_GB2312" w:hAnsi="新宋体" w:eastAsia="仿宋_GB2312" w:cs="仿宋_GB2312"/>
                <w:kern w:val="0"/>
              </w:rPr>
              <w:t>）</w:t>
            </w:r>
            <w:r>
              <w:rPr>
                <w:rFonts w:ascii="仿宋_GB2312" w:hAnsi="新宋体" w:eastAsia="仿宋_GB2312" w:cs="仿宋_GB2312"/>
                <w:kern w:val="0"/>
              </w:rPr>
              <w:t>]/[max</w:t>
            </w:r>
            <w:r>
              <w:rPr>
                <w:rFonts w:hint="eastAsia" w:ascii="仿宋_GB2312" w:hAnsi="新宋体" w:eastAsia="仿宋_GB2312" w:cs="仿宋_GB2312"/>
                <w:kern w:val="0"/>
              </w:rPr>
              <w:t>（</w:t>
            </w:r>
            <w:r>
              <w:rPr>
                <w:rFonts w:hint="eastAsia" w:ascii="仿宋" w:hAnsi="仿宋" w:eastAsia="仿宋" w:cs="仿宋"/>
                <w:color w:val="000000"/>
                <w:kern w:val="0"/>
              </w:rPr>
              <w:t>重点支出安排率</w:t>
            </w:r>
            <w:r>
              <w:rPr>
                <w:rFonts w:hint="eastAsia" w:ascii="仿宋_GB2312" w:hAnsi="新宋体" w:eastAsia="仿宋_GB2312" w:cs="仿宋_GB2312"/>
                <w:kern w:val="0"/>
              </w:rPr>
              <w:t>）－</w:t>
            </w:r>
            <w:r>
              <w:rPr>
                <w:rFonts w:ascii="仿宋_GB2312" w:hAnsi="新宋体" w:eastAsia="仿宋_GB2312" w:cs="仿宋_GB2312"/>
                <w:kern w:val="0"/>
              </w:rPr>
              <w:t>min</w:t>
            </w:r>
            <w:r>
              <w:rPr>
                <w:rFonts w:hint="eastAsia" w:ascii="仿宋_GB2312" w:hAnsi="新宋体" w:eastAsia="仿宋_GB2312" w:cs="仿宋_GB2312"/>
                <w:kern w:val="0"/>
              </w:rPr>
              <w:t>（</w:t>
            </w:r>
            <w:r>
              <w:rPr>
                <w:rFonts w:hint="eastAsia" w:ascii="仿宋" w:hAnsi="仿宋" w:eastAsia="仿宋" w:cs="仿宋"/>
                <w:color w:val="000000"/>
                <w:kern w:val="0"/>
              </w:rPr>
              <w:t>重点支出安排率</w:t>
            </w:r>
            <w:r>
              <w:rPr>
                <w:rFonts w:hint="eastAsia" w:ascii="仿宋_GB2312" w:hAnsi="新宋体" w:eastAsia="仿宋_GB2312" w:cs="仿宋_GB2312"/>
                <w:kern w:val="0"/>
              </w:rPr>
              <w:t>）</w:t>
            </w:r>
            <w:r>
              <w:rPr>
                <w:rFonts w:ascii="仿宋_GB2312" w:hAnsi="新宋体" w:eastAsia="仿宋_GB2312" w:cs="仿宋_GB2312"/>
                <w:kern w:val="0"/>
              </w:rPr>
              <w:t>]</w:t>
            </w:r>
            <w:r>
              <w:rPr>
                <w:rFonts w:hint="eastAsia" w:ascii="仿宋_GB2312" w:hAnsi="新宋体" w:eastAsia="仿宋_GB2312" w:cs="仿宋_GB2312"/>
                <w:kern w:val="0"/>
              </w:rPr>
              <w:t>×该指标分值。</w:t>
            </w:r>
          </w:p>
        </w:tc>
        <w:tc>
          <w:tcPr>
            <w:tcW w:w="765" w:type="dxa"/>
            <w:tcBorders>
              <w:top w:val="single" w:color="auto" w:sz="4" w:space="0"/>
              <w:left w:val="single" w:color="auto" w:sz="4" w:space="0"/>
            </w:tcBorders>
            <w:vAlign w:val="center"/>
          </w:tcPr>
          <w:p>
            <w:pPr>
              <w:widowControl/>
              <w:spacing w:line="240" w:lineRule="exact"/>
              <w:jc w:val="center"/>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95" w:type="dxa"/>
            <w:vMerge w:val="restart"/>
            <w:vAlign w:val="center"/>
          </w:tcPr>
          <w:p>
            <w:pPr>
              <w:widowControl/>
              <w:spacing w:line="240" w:lineRule="exact"/>
              <w:jc w:val="left"/>
              <w:rPr>
                <w:rFonts w:cs="Times New Roman"/>
              </w:rPr>
            </w:pPr>
            <w:r>
              <w:rPr>
                <w:rFonts w:hint="eastAsia" w:ascii="仿宋_GB2312" w:hAnsi="新宋体" w:eastAsia="仿宋_GB2312" w:cs="仿宋_GB2312"/>
                <w:kern w:val="0"/>
              </w:rPr>
              <w:t>过程</w:t>
            </w:r>
            <w:r>
              <w:rPr>
                <w:rFonts w:ascii="仿宋_GB2312" w:hAnsi="新宋体" w:eastAsia="仿宋_GB2312" w:cs="仿宋_GB2312"/>
                <w:kern w:val="0"/>
              </w:rPr>
              <w:t>(45</w:t>
            </w:r>
            <w:r>
              <w:rPr>
                <w:rFonts w:hint="eastAsia" w:ascii="仿宋_GB2312" w:hAnsi="新宋体" w:eastAsia="仿宋_GB2312" w:cs="仿宋_GB2312"/>
                <w:kern w:val="0"/>
              </w:rPr>
              <w:t>分</w:t>
            </w:r>
            <w:r>
              <w:rPr>
                <w:rFonts w:ascii="仿宋_GB2312" w:hAnsi="新宋体" w:eastAsia="仿宋_GB2312" w:cs="仿宋_GB2312"/>
                <w:kern w:val="0"/>
              </w:rPr>
              <w:t>)</w:t>
            </w:r>
          </w:p>
        </w:tc>
        <w:tc>
          <w:tcPr>
            <w:tcW w:w="765" w:type="dxa"/>
            <w:vMerge w:val="restart"/>
            <w:vAlign w:val="center"/>
          </w:tcPr>
          <w:p>
            <w:pPr>
              <w:widowControl/>
              <w:spacing w:line="240" w:lineRule="exact"/>
              <w:jc w:val="left"/>
              <w:rPr>
                <w:rFonts w:cs="Times New Roman"/>
              </w:rPr>
            </w:pPr>
            <w:r>
              <w:rPr>
                <w:rFonts w:hint="eastAsia" w:ascii="仿宋_GB2312" w:hAnsi="新宋体" w:eastAsia="仿宋_GB2312" w:cs="仿宋_GB2312"/>
                <w:kern w:val="0"/>
              </w:rPr>
              <w:t>预算执行情况</w:t>
            </w:r>
            <w:r>
              <w:rPr>
                <w:rFonts w:ascii="仿宋_GB2312" w:hAnsi="新宋体" w:eastAsia="仿宋_GB2312" w:cs="仿宋_GB2312"/>
                <w:kern w:val="0"/>
              </w:rPr>
              <w:t>(25</w:t>
            </w:r>
            <w:r>
              <w:rPr>
                <w:rFonts w:hint="eastAsia" w:ascii="仿宋_GB2312" w:hAnsi="新宋体" w:eastAsia="仿宋_GB2312" w:cs="仿宋_GB2312"/>
                <w:kern w:val="0"/>
              </w:rPr>
              <w:t>分</w:t>
            </w:r>
            <w:r>
              <w:rPr>
                <w:rFonts w:ascii="仿宋_GB2312" w:hAnsi="新宋体" w:eastAsia="仿宋_GB2312" w:cs="仿宋_GB2312"/>
                <w:kern w:val="0"/>
              </w:rPr>
              <w:t>)</w:t>
            </w:r>
          </w:p>
        </w:tc>
        <w:tc>
          <w:tcPr>
            <w:tcW w:w="990" w:type="dxa"/>
            <w:tcBorders>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预算完成率（</w:t>
            </w:r>
            <w:r>
              <w:rPr>
                <w:rFonts w:ascii="仿宋_GB2312" w:hAnsi="新宋体" w:eastAsia="仿宋_GB2312" w:cs="仿宋_GB2312"/>
                <w:kern w:val="0"/>
              </w:rPr>
              <w:t>5</w:t>
            </w:r>
            <w:r>
              <w:rPr>
                <w:rFonts w:hint="eastAsia" w:ascii="仿宋_GB2312" w:hAnsi="新宋体" w:eastAsia="仿宋_GB2312" w:cs="仿宋_GB2312"/>
                <w:kern w:val="0"/>
              </w:rPr>
              <w:t>分）</w:t>
            </w:r>
          </w:p>
        </w:tc>
        <w:tc>
          <w:tcPr>
            <w:tcW w:w="3975" w:type="dxa"/>
            <w:tcBorders>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通过对部门本年度预算完成数与预算数的比较，反映和评价部门预算的完成程度。</w:t>
            </w:r>
          </w:p>
          <w:p>
            <w:pPr>
              <w:widowControl/>
              <w:spacing w:line="240" w:lineRule="exact"/>
              <w:jc w:val="left"/>
              <w:rPr>
                <w:rFonts w:cs="Times New Roman"/>
              </w:rPr>
            </w:pPr>
            <w:r>
              <w:rPr>
                <w:rFonts w:hint="eastAsia" w:ascii="仿宋_GB2312" w:hAnsi="新宋体" w:eastAsia="仿宋_GB2312" w:cs="仿宋_GB2312"/>
                <w:kern w:val="0"/>
              </w:rPr>
              <w:t>预算完成率</w:t>
            </w:r>
            <w:r>
              <w:rPr>
                <w:rFonts w:ascii="仿宋_GB2312" w:hAnsi="新宋体" w:eastAsia="仿宋_GB2312" w:cs="仿宋_GB2312"/>
                <w:kern w:val="0"/>
              </w:rPr>
              <w:t>=</w:t>
            </w:r>
            <w:r>
              <w:rPr>
                <w:rFonts w:hint="eastAsia" w:ascii="仿宋_GB2312" w:hAnsi="新宋体" w:eastAsia="仿宋_GB2312" w:cs="仿宋_GB2312"/>
                <w:kern w:val="0"/>
              </w:rPr>
              <w:t>（预算完成数</w:t>
            </w:r>
            <w:r>
              <w:rPr>
                <w:rFonts w:ascii="仿宋_GB2312" w:hAnsi="新宋体" w:eastAsia="仿宋_GB2312" w:cs="仿宋_GB2312"/>
                <w:kern w:val="0"/>
              </w:rPr>
              <w:t>/</w:t>
            </w:r>
            <w:r>
              <w:rPr>
                <w:rFonts w:hint="eastAsia" w:ascii="仿宋_GB2312" w:hAnsi="新宋体" w:eastAsia="仿宋_GB2312" w:cs="仿宋_GB2312"/>
                <w:kern w:val="0"/>
              </w:rPr>
              <w:t>预算数）×</w:t>
            </w:r>
            <w:r>
              <w:rPr>
                <w:rFonts w:ascii="仿宋_GB2312" w:hAnsi="新宋体" w:eastAsia="仿宋_GB2312" w:cs="仿宋_GB2312"/>
                <w:kern w:val="0"/>
              </w:rPr>
              <w:t>100%</w:t>
            </w:r>
            <w:r>
              <w:rPr>
                <w:rFonts w:hint="eastAsia" w:ascii="仿宋_GB2312" w:hAnsi="新宋体" w:eastAsia="仿宋_GB2312" w:cs="仿宋_GB2312"/>
                <w:kern w:val="0"/>
              </w:rPr>
              <w:t>。</w:t>
            </w:r>
          </w:p>
        </w:tc>
        <w:tc>
          <w:tcPr>
            <w:tcW w:w="2550" w:type="dxa"/>
            <w:tcBorders>
              <w:left w:val="single" w:color="auto" w:sz="4" w:space="0"/>
              <w:right w:val="single" w:color="auto" w:sz="4" w:space="0"/>
            </w:tcBorders>
            <w:vAlign w:val="center"/>
          </w:tcPr>
          <w:p>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预算完成率大于或等于</w:t>
            </w:r>
            <w:r>
              <w:rPr>
                <w:rFonts w:ascii="仿宋_GB2312" w:hAnsi="新宋体" w:eastAsia="仿宋_GB2312" w:cs="仿宋_GB2312"/>
                <w:kern w:val="0"/>
              </w:rPr>
              <w:t>95%</w:t>
            </w:r>
            <w:r>
              <w:rPr>
                <w:rFonts w:hint="eastAsia" w:ascii="仿宋_GB2312" w:hAnsi="新宋体" w:eastAsia="仿宋_GB2312" w:cs="仿宋_GB2312"/>
                <w:kern w:val="0"/>
              </w:rPr>
              <w:t>的，得满分；</w:t>
            </w:r>
          </w:p>
          <w:p>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预算完成率小于或等于</w:t>
            </w:r>
            <w:r>
              <w:rPr>
                <w:rFonts w:ascii="仿宋_GB2312" w:hAnsi="新宋体" w:eastAsia="仿宋_GB2312" w:cs="仿宋_GB2312"/>
                <w:kern w:val="0"/>
              </w:rPr>
              <w:t>85%</w:t>
            </w:r>
            <w:r>
              <w:rPr>
                <w:rFonts w:hint="eastAsia" w:ascii="仿宋_GB2312" w:hAnsi="新宋体" w:eastAsia="仿宋_GB2312" w:cs="仿宋_GB2312"/>
                <w:kern w:val="0"/>
              </w:rPr>
              <w:t>的，得</w:t>
            </w:r>
            <w:r>
              <w:rPr>
                <w:rFonts w:ascii="仿宋_GB2312" w:hAnsi="新宋体" w:eastAsia="仿宋_GB2312" w:cs="仿宋_GB2312"/>
                <w:kern w:val="0"/>
              </w:rPr>
              <w:t>0</w:t>
            </w:r>
            <w:r>
              <w:rPr>
                <w:rFonts w:hint="eastAsia" w:ascii="仿宋_GB2312" w:hAnsi="新宋体" w:eastAsia="仿宋_GB2312" w:cs="仿宋_GB2312"/>
                <w:kern w:val="0"/>
              </w:rPr>
              <w:t>分；</w:t>
            </w:r>
          </w:p>
          <w:p>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预算完成率在</w:t>
            </w:r>
            <w:r>
              <w:rPr>
                <w:rFonts w:ascii="仿宋_GB2312" w:hAnsi="新宋体" w:eastAsia="仿宋_GB2312" w:cs="仿宋_GB2312"/>
                <w:kern w:val="0"/>
              </w:rPr>
              <w:t>85%-95%</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分和满分之间计算确定：</w:t>
            </w:r>
          </w:p>
          <w:p>
            <w:pPr>
              <w:widowControl/>
              <w:spacing w:line="240" w:lineRule="exact"/>
              <w:jc w:val="left"/>
              <w:rPr>
                <w:rFonts w:cs="Times New Roman"/>
              </w:rPr>
            </w:pPr>
            <w:r>
              <w:rPr>
                <w:rFonts w:hint="eastAsia" w:ascii="仿宋_GB2312" w:hAnsi="新宋体" w:eastAsia="仿宋_GB2312" w:cs="仿宋_GB2312"/>
                <w:kern w:val="0"/>
              </w:rPr>
              <w:t>得分</w:t>
            </w:r>
            <w:r>
              <w:rPr>
                <w:rFonts w:ascii="仿宋_GB2312" w:hAnsi="新宋体" w:eastAsia="仿宋_GB2312" w:cs="仿宋_GB2312"/>
                <w:kern w:val="0"/>
              </w:rPr>
              <w:t>=[</w:t>
            </w:r>
            <w:r>
              <w:rPr>
                <w:rFonts w:hint="eastAsia" w:ascii="仿宋_GB2312" w:hAnsi="新宋体" w:eastAsia="仿宋_GB2312" w:cs="仿宋_GB2312"/>
                <w:kern w:val="0"/>
              </w:rPr>
              <w:t>某部门预算完成率</w:t>
            </w:r>
            <w:r>
              <w:rPr>
                <w:rFonts w:ascii="仿宋_GB2312" w:hAnsi="新宋体" w:eastAsia="仿宋_GB2312" w:cs="仿宋_GB2312"/>
                <w:kern w:val="0"/>
              </w:rPr>
              <w:t>-min</w:t>
            </w:r>
            <w:r>
              <w:rPr>
                <w:rFonts w:hint="eastAsia" w:ascii="仿宋_GB2312" w:hAnsi="新宋体" w:eastAsia="仿宋_GB2312" w:cs="仿宋_GB2312"/>
                <w:kern w:val="0"/>
              </w:rPr>
              <w:t>（预算完成率）</w:t>
            </w:r>
            <w:r>
              <w:rPr>
                <w:rFonts w:ascii="仿宋_GB2312" w:hAnsi="新宋体" w:eastAsia="仿宋_GB2312" w:cs="仿宋_GB2312"/>
                <w:kern w:val="0"/>
              </w:rPr>
              <w:t>]/[max</w:t>
            </w:r>
            <w:r>
              <w:rPr>
                <w:rFonts w:hint="eastAsia" w:ascii="仿宋_GB2312" w:hAnsi="新宋体" w:eastAsia="仿宋_GB2312" w:cs="仿宋_GB2312"/>
                <w:kern w:val="0"/>
              </w:rPr>
              <w:t>（预算完成率）－</w:t>
            </w:r>
            <w:r>
              <w:rPr>
                <w:rFonts w:ascii="仿宋_GB2312" w:hAnsi="新宋体" w:eastAsia="仿宋_GB2312" w:cs="仿宋_GB2312"/>
                <w:kern w:val="0"/>
              </w:rPr>
              <w:t>min</w:t>
            </w:r>
            <w:r>
              <w:rPr>
                <w:rFonts w:hint="eastAsia" w:ascii="仿宋_GB2312" w:hAnsi="新宋体" w:eastAsia="仿宋_GB2312" w:cs="仿宋_GB2312"/>
                <w:kern w:val="0"/>
              </w:rPr>
              <w:t>（预算完成率）</w:t>
            </w:r>
            <w:r>
              <w:rPr>
                <w:rFonts w:ascii="仿宋_GB2312" w:hAnsi="新宋体" w:eastAsia="仿宋_GB2312" w:cs="仿宋_GB2312"/>
                <w:kern w:val="0"/>
              </w:rPr>
              <w:t>]</w:t>
            </w:r>
            <w:r>
              <w:rPr>
                <w:rFonts w:hint="eastAsia" w:ascii="仿宋_GB2312" w:hAnsi="新宋体" w:eastAsia="仿宋_GB2312" w:cs="仿宋_GB2312"/>
                <w:kern w:val="0"/>
              </w:rPr>
              <w:t>×该指标分值。</w:t>
            </w:r>
          </w:p>
        </w:tc>
        <w:tc>
          <w:tcPr>
            <w:tcW w:w="765" w:type="dxa"/>
            <w:tcBorders>
              <w:left w:val="single" w:color="auto" w:sz="4" w:space="0"/>
            </w:tcBorders>
            <w:vAlign w:val="center"/>
          </w:tcPr>
          <w:p>
            <w:pPr>
              <w:widowControl/>
              <w:spacing w:line="240" w:lineRule="exact"/>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95" w:type="dxa"/>
            <w:vMerge w:val="continue"/>
            <w:vAlign w:val="center"/>
          </w:tcPr>
          <w:p>
            <w:pPr>
              <w:spacing w:line="240" w:lineRule="exact"/>
              <w:rPr>
                <w:rFonts w:ascii="宋体" w:cs="Times New Roman"/>
              </w:rPr>
            </w:pPr>
          </w:p>
        </w:tc>
        <w:tc>
          <w:tcPr>
            <w:tcW w:w="765" w:type="dxa"/>
            <w:vMerge w:val="continue"/>
            <w:vAlign w:val="center"/>
          </w:tcPr>
          <w:p>
            <w:pPr>
              <w:spacing w:line="240" w:lineRule="exact"/>
              <w:rPr>
                <w:rFonts w:ascii="宋体" w:cs="Times New Roman"/>
              </w:rPr>
            </w:pPr>
          </w:p>
        </w:tc>
        <w:tc>
          <w:tcPr>
            <w:tcW w:w="990" w:type="dxa"/>
            <w:tcBorders>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预算调整率（</w:t>
            </w:r>
            <w:r>
              <w:rPr>
                <w:rFonts w:ascii="仿宋_GB2312" w:hAnsi="新宋体" w:eastAsia="仿宋_GB2312" w:cs="仿宋_GB2312"/>
                <w:kern w:val="0"/>
              </w:rPr>
              <w:t>3</w:t>
            </w:r>
            <w:r>
              <w:rPr>
                <w:rFonts w:hint="eastAsia" w:ascii="仿宋_GB2312" w:hAnsi="新宋体" w:eastAsia="仿宋_GB2312" w:cs="仿宋_GB2312"/>
                <w:kern w:val="0"/>
              </w:rPr>
              <w:t>分）</w:t>
            </w:r>
          </w:p>
        </w:tc>
        <w:tc>
          <w:tcPr>
            <w:tcW w:w="3975" w:type="dxa"/>
            <w:tcBorders>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部门本年度预算调整数与预算数的比率，用以反映和评价部门预算的调整程度。</w:t>
            </w:r>
          </w:p>
          <w:p>
            <w:pPr>
              <w:widowControl/>
              <w:spacing w:line="240" w:lineRule="exact"/>
              <w:jc w:val="left"/>
              <w:rPr>
                <w:rFonts w:cs="Times New Roman"/>
              </w:rPr>
            </w:pPr>
            <w:r>
              <w:rPr>
                <w:rFonts w:hint="eastAsia" w:ascii="仿宋_GB2312" w:hAnsi="新宋体" w:eastAsia="仿宋_GB2312" w:cs="仿宋_GB2312"/>
                <w:kern w:val="0"/>
              </w:rPr>
              <w:t>预算调整率</w:t>
            </w:r>
            <w:r>
              <w:rPr>
                <w:rFonts w:ascii="仿宋_GB2312" w:hAnsi="新宋体" w:eastAsia="仿宋_GB2312" w:cs="仿宋_GB2312"/>
                <w:kern w:val="0"/>
              </w:rPr>
              <w:t>=</w:t>
            </w:r>
            <w:r>
              <w:rPr>
                <w:rFonts w:hint="eastAsia" w:ascii="仿宋_GB2312" w:hAnsi="新宋体" w:eastAsia="仿宋_GB2312" w:cs="仿宋_GB2312"/>
                <w:kern w:val="0"/>
              </w:rPr>
              <w:t>（预算调整数</w:t>
            </w:r>
            <w:r>
              <w:rPr>
                <w:rFonts w:ascii="仿宋_GB2312" w:hAnsi="新宋体" w:eastAsia="仿宋_GB2312" w:cs="仿宋_GB2312"/>
                <w:kern w:val="0"/>
              </w:rPr>
              <w:t>/</w:t>
            </w:r>
            <w:r>
              <w:rPr>
                <w:rFonts w:hint="eastAsia" w:ascii="仿宋_GB2312" w:hAnsi="新宋体" w:eastAsia="仿宋_GB2312" w:cs="仿宋_GB2312"/>
                <w:kern w:val="0"/>
              </w:rPr>
              <w:t>预算数）×</w:t>
            </w:r>
            <w:r>
              <w:rPr>
                <w:rFonts w:ascii="仿宋_GB2312" w:hAnsi="新宋体" w:eastAsia="仿宋_GB2312" w:cs="仿宋_GB2312"/>
                <w:kern w:val="0"/>
              </w:rPr>
              <w:t>100%</w:t>
            </w:r>
            <w:r>
              <w:rPr>
                <w:rFonts w:hint="eastAsia" w:ascii="仿宋_GB2312" w:hAnsi="新宋体" w:eastAsia="仿宋_GB2312" w:cs="仿宋_GB2312"/>
                <w:kern w:val="0"/>
              </w:rPr>
              <w:t>。</w:t>
            </w:r>
          </w:p>
        </w:tc>
        <w:tc>
          <w:tcPr>
            <w:tcW w:w="2550" w:type="dxa"/>
            <w:tcBorders>
              <w:left w:val="single" w:color="auto" w:sz="4" w:space="0"/>
              <w:right w:val="single" w:color="auto" w:sz="4" w:space="0"/>
            </w:tcBorders>
            <w:vAlign w:val="center"/>
          </w:tcPr>
          <w:p>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预算调整率等于</w:t>
            </w:r>
            <w:r>
              <w:rPr>
                <w:rFonts w:ascii="仿宋_GB2312" w:hAnsi="新宋体" w:eastAsia="仿宋_GB2312" w:cs="仿宋_GB2312"/>
                <w:kern w:val="0"/>
              </w:rPr>
              <w:t>0</w:t>
            </w:r>
            <w:r>
              <w:rPr>
                <w:rFonts w:hint="eastAsia" w:ascii="仿宋_GB2312" w:hAnsi="新宋体" w:eastAsia="仿宋_GB2312" w:cs="仿宋_GB2312"/>
                <w:kern w:val="0"/>
              </w:rPr>
              <w:t>的，得满分；</w:t>
            </w:r>
            <w:r>
              <w:rPr>
                <w:rFonts w:ascii="仿宋_GB2312" w:hAnsi="新宋体" w:eastAsia="仿宋_GB2312" w:cs="仿宋_GB2312"/>
                <w:kern w:val="0"/>
              </w:rPr>
              <w:t xml:space="preserve"> </w:t>
            </w:r>
          </w:p>
          <w:p>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预算调整率大于或等于</w:t>
            </w:r>
            <w:r>
              <w:rPr>
                <w:rFonts w:ascii="仿宋_GB2312" w:hAnsi="新宋体" w:eastAsia="仿宋_GB2312" w:cs="仿宋_GB2312"/>
                <w:kern w:val="0"/>
              </w:rPr>
              <w:t>10%</w:t>
            </w:r>
            <w:r>
              <w:rPr>
                <w:rFonts w:hint="eastAsia" w:ascii="仿宋_GB2312" w:hAnsi="新宋体" w:eastAsia="仿宋_GB2312" w:cs="仿宋_GB2312"/>
                <w:kern w:val="0"/>
              </w:rPr>
              <w:t>的，得</w:t>
            </w:r>
            <w:r>
              <w:rPr>
                <w:rFonts w:ascii="仿宋_GB2312" w:hAnsi="新宋体" w:eastAsia="仿宋_GB2312" w:cs="仿宋_GB2312"/>
                <w:kern w:val="0"/>
              </w:rPr>
              <w:t>0</w:t>
            </w:r>
            <w:r>
              <w:rPr>
                <w:rFonts w:hint="eastAsia" w:ascii="仿宋_GB2312" w:hAnsi="新宋体" w:eastAsia="仿宋_GB2312" w:cs="仿宋_GB2312"/>
                <w:kern w:val="0"/>
              </w:rPr>
              <w:t>分；</w:t>
            </w:r>
          </w:p>
          <w:p>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预算调整率在</w:t>
            </w:r>
            <w:r>
              <w:rPr>
                <w:rFonts w:ascii="仿宋_GB2312" w:hAnsi="新宋体" w:eastAsia="仿宋_GB2312" w:cs="仿宋_GB2312"/>
                <w:kern w:val="0"/>
              </w:rPr>
              <w:t>0-10%</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分和满分之间确定：</w:t>
            </w:r>
          </w:p>
          <w:p>
            <w:pPr>
              <w:widowControl/>
              <w:spacing w:line="240" w:lineRule="exact"/>
              <w:jc w:val="left"/>
              <w:rPr>
                <w:rFonts w:cs="Times New Roman"/>
              </w:rPr>
            </w:pPr>
            <w:r>
              <w:rPr>
                <w:rFonts w:hint="eastAsia" w:ascii="仿宋_GB2312" w:hAnsi="新宋体" w:eastAsia="仿宋_GB2312" w:cs="仿宋_GB2312"/>
                <w:kern w:val="0"/>
              </w:rPr>
              <w:t>得分</w:t>
            </w:r>
            <w:r>
              <w:rPr>
                <w:rFonts w:ascii="仿宋_GB2312" w:hAnsi="新宋体" w:eastAsia="仿宋_GB2312" w:cs="仿宋_GB2312"/>
                <w:kern w:val="0"/>
              </w:rPr>
              <w:t>=</w:t>
            </w:r>
            <w:r>
              <w:rPr>
                <w:rFonts w:hint="eastAsia" w:ascii="仿宋_GB2312" w:hAnsi="新宋体" w:eastAsia="仿宋_GB2312" w:cs="仿宋_GB2312"/>
                <w:kern w:val="0"/>
              </w:rPr>
              <w:t>［</w:t>
            </w:r>
            <w:r>
              <w:rPr>
                <w:rFonts w:ascii="仿宋_GB2312" w:hAnsi="新宋体" w:eastAsia="仿宋_GB2312" w:cs="仿宋_GB2312"/>
                <w:kern w:val="0"/>
              </w:rPr>
              <w:t>max</w:t>
            </w:r>
            <w:r>
              <w:rPr>
                <w:rFonts w:hint="eastAsia" w:ascii="仿宋_GB2312" w:hAnsi="新宋体" w:eastAsia="仿宋_GB2312" w:cs="仿宋_GB2312"/>
                <w:kern w:val="0"/>
              </w:rPr>
              <w:t>（预算调整率）</w:t>
            </w:r>
            <w:r>
              <w:rPr>
                <w:rFonts w:ascii="仿宋_GB2312" w:hAnsi="新宋体" w:eastAsia="仿宋_GB2312" w:cs="仿宋_GB2312"/>
                <w:kern w:val="0"/>
              </w:rPr>
              <w:t>-</w:t>
            </w:r>
            <w:r>
              <w:rPr>
                <w:rFonts w:hint="eastAsia" w:ascii="仿宋_GB2312" w:hAnsi="新宋体" w:eastAsia="仿宋_GB2312" w:cs="仿宋_GB2312"/>
                <w:kern w:val="0"/>
              </w:rPr>
              <w:t>某部门预算调整率］</w:t>
            </w:r>
            <w:r>
              <w:rPr>
                <w:rFonts w:ascii="仿宋_GB2312" w:hAnsi="新宋体" w:eastAsia="仿宋_GB2312" w:cs="仿宋_GB2312"/>
                <w:kern w:val="0"/>
              </w:rPr>
              <w:t>/</w:t>
            </w:r>
            <w:r>
              <w:rPr>
                <w:rFonts w:hint="eastAsia" w:ascii="仿宋_GB2312" w:hAnsi="新宋体" w:eastAsia="仿宋_GB2312" w:cs="仿宋_GB2312"/>
                <w:kern w:val="0"/>
              </w:rPr>
              <w:t>［</w:t>
            </w:r>
            <w:r>
              <w:rPr>
                <w:rFonts w:ascii="仿宋_GB2312" w:hAnsi="新宋体" w:eastAsia="仿宋_GB2312" w:cs="仿宋_GB2312"/>
                <w:kern w:val="0"/>
              </w:rPr>
              <w:t>max</w:t>
            </w:r>
            <w:r>
              <w:rPr>
                <w:rFonts w:hint="eastAsia" w:ascii="仿宋_GB2312" w:hAnsi="新宋体" w:eastAsia="仿宋_GB2312" w:cs="仿宋_GB2312"/>
                <w:kern w:val="0"/>
              </w:rPr>
              <w:t>（预算调整率）</w:t>
            </w:r>
            <w:r>
              <w:rPr>
                <w:rFonts w:ascii="仿宋_GB2312" w:hAnsi="新宋体" w:eastAsia="仿宋_GB2312" w:cs="仿宋_GB2312"/>
                <w:kern w:val="0"/>
              </w:rPr>
              <w:t>-min</w:t>
            </w:r>
            <w:r>
              <w:rPr>
                <w:rFonts w:hint="eastAsia" w:ascii="仿宋_GB2312" w:hAnsi="新宋体" w:eastAsia="仿宋_GB2312" w:cs="仿宋_GB2312"/>
                <w:kern w:val="0"/>
              </w:rPr>
              <w:t>（预算调整率）］×该指标分值。</w:t>
            </w:r>
          </w:p>
        </w:tc>
        <w:tc>
          <w:tcPr>
            <w:tcW w:w="765" w:type="dxa"/>
            <w:tcBorders>
              <w:left w:val="single" w:color="auto" w:sz="4" w:space="0"/>
            </w:tcBorders>
            <w:vAlign w:val="center"/>
          </w:tcPr>
          <w:p>
            <w:pPr>
              <w:widowControl/>
              <w:spacing w:line="240" w:lineRule="exact"/>
              <w:jc w:val="center"/>
            </w:pPr>
            <w: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95" w:type="dxa"/>
            <w:vMerge w:val="continue"/>
            <w:vAlign w:val="center"/>
          </w:tcPr>
          <w:p>
            <w:pPr>
              <w:spacing w:line="240" w:lineRule="exact"/>
              <w:rPr>
                <w:rFonts w:ascii="宋体" w:cs="Times New Roman"/>
              </w:rPr>
            </w:pPr>
          </w:p>
        </w:tc>
        <w:tc>
          <w:tcPr>
            <w:tcW w:w="765" w:type="dxa"/>
            <w:vMerge w:val="continue"/>
            <w:vAlign w:val="center"/>
          </w:tcPr>
          <w:p>
            <w:pPr>
              <w:spacing w:line="240" w:lineRule="exact"/>
              <w:rPr>
                <w:rFonts w:ascii="宋体" w:cs="Times New Roman"/>
              </w:rPr>
            </w:pPr>
          </w:p>
        </w:tc>
        <w:tc>
          <w:tcPr>
            <w:tcW w:w="990" w:type="dxa"/>
            <w:tcBorders>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color w:val="000000"/>
                <w:kern w:val="0"/>
              </w:rPr>
              <w:t>支付进度率</w:t>
            </w:r>
            <w:r>
              <w:rPr>
                <w:rFonts w:hint="eastAsia" w:ascii="仿宋_GB2312" w:hAnsi="新宋体" w:eastAsia="仿宋_GB2312" w:cs="仿宋_GB2312"/>
                <w:kern w:val="0"/>
              </w:rPr>
              <w:t>（</w:t>
            </w:r>
            <w:r>
              <w:rPr>
                <w:rFonts w:ascii="仿宋_GB2312" w:hAnsi="新宋体" w:eastAsia="仿宋_GB2312" w:cs="仿宋_GB2312"/>
                <w:kern w:val="0"/>
              </w:rPr>
              <w:t>5</w:t>
            </w:r>
            <w:r>
              <w:rPr>
                <w:rFonts w:hint="eastAsia" w:ascii="仿宋_GB2312" w:hAnsi="新宋体" w:eastAsia="仿宋_GB2312" w:cs="仿宋_GB2312"/>
                <w:kern w:val="0"/>
              </w:rPr>
              <w:t>分）</w:t>
            </w:r>
          </w:p>
        </w:tc>
        <w:tc>
          <w:tcPr>
            <w:tcW w:w="3975" w:type="dxa"/>
            <w:tcBorders>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部门年度支付数与年度任务数的比率，用以反映和评价部门预算执行的及时和均衡程度。</w:t>
            </w:r>
          </w:p>
          <w:p>
            <w:pPr>
              <w:widowControl/>
              <w:spacing w:line="240" w:lineRule="exact"/>
              <w:jc w:val="left"/>
              <w:rPr>
                <w:rFonts w:cs="Times New Roman"/>
              </w:rPr>
            </w:pPr>
            <w:r>
              <w:rPr>
                <w:rFonts w:hint="eastAsia" w:ascii="仿宋_GB2312" w:hAnsi="新宋体" w:eastAsia="仿宋_GB2312" w:cs="仿宋_GB2312"/>
                <w:kern w:val="0"/>
              </w:rPr>
              <w:t>支付进度率</w:t>
            </w:r>
            <w:r>
              <w:rPr>
                <w:rFonts w:ascii="仿宋_GB2312" w:hAnsi="新宋体" w:eastAsia="仿宋_GB2312" w:cs="仿宋_GB2312"/>
                <w:kern w:val="0"/>
              </w:rPr>
              <w:t>=</w:t>
            </w:r>
            <w:r>
              <w:rPr>
                <w:rFonts w:hint="eastAsia" w:ascii="仿宋_GB2312" w:hAnsi="新宋体" w:eastAsia="仿宋_GB2312" w:cs="仿宋_GB2312"/>
                <w:kern w:val="0"/>
              </w:rPr>
              <w:t>（年度支付数</w:t>
            </w:r>
            <w:r>
              <w:rPr>
                <w:rFonts w:ascii="仿宋_GB2312" w:hAnsi="新宋体" w:eastAsia="仿宋_GB2312" w:cs="仿宋_GB2312"/>
                <w:kern w:val="0"/>
              </w:rPr>
              <w:t>/</w:t>
            </w:r>
            <w:r>
              <w:rPr>
                <w:rFonts w:hint="eastAsia" w:ascii="仿宋_GB2312" w:hAnsi="新宋体" w:eastAsia="仿宋_GB2312" w:cs="仿宋_GB2312"/>
                <w:kern w:val="0"/>
              </w:rPr>
              <w:t>年度任务数）×</w:t>
            </w:r>
            <w:r>
              <w:rPr>
                <w:rFonts w:ascii="仿宋_GB2312" w:hAnsi="新宋体" w:eastAsia="仿宋_GB2312" w:cs="仿宋_GB2312"/>
                <w:kern w:val="0"/>
              </w:rPr>
              <w:t>100%</w:t>
            </w:r>
            <w:r>
              <w:rPr>
                <w:rFonts w:hint="eastAsia" w:ascii="仿宋_GB2312" w:hAnsi="新宋体" w:eastAsia="仿宋_GB2312" w:cs="仿宋_GB2312"/>
                <w:kern w:val="0"/>
              </w:rPr>
              <w:t>。</w:t>
            </w:r>
          </w:p>
        </w:tc>
        <w:tc>
          <w:tcPr>
            <w:tcW w:w="2550" w:type="dxa"/>
            <w:tcBorders>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按年度的执行情况进行打分。得分</w:t>
            </w:r>
            <w:r>
              <w:rPr>
                <w:rFonts w:ascii="仿宋_GB2312" w:hAnsi="新宋体" w:eastAsia="仿宋_GB2312" w:cs="仿宋_GB2312"/>
                <w:kern w:val="0"/>
              </w:rPr>
              <w:t>=</w:t>
            </w:r>
            <w:r>
              <w:rPr>
                <w:rFonts w:hint="eastAsia" w:ascii="仿宋_GB2312" w:hAnsi="新宋体" w:eastAsia="仿宋_GB2312" w:cs="仿宋_GB2312"/>
                <w:kern w:val="0"/>
              </w:rPr>
              <w:t>年度支付数</w:t>
            </w:r>
            <w:r>
              <w:rPr>
                <w:rFonts w:ascii="仿宋_GB2312" w:hAnsi="新宋体" w:eastAsia="仿宋_GB2312" w:cs="仿宋_GB2312"/>
                <w:kern w:val="0"/>
              </w:rPr>
              <w:t>/</w:t>
            </w:r>
            <w:r>
              <w:rPr>
                <w:rFonts w:hint="eastAsia" w:ascii="仿宋_GB2312" w:hAnsi="新宋体" w:eastAsia="仿宋_GB2312" w:cs="仿宋_GB2312"/>
                <w:kern w:val="0"/>
              </w:rPr>
              <w:t>年度任务数×该指标分值。</w:t>
            </w:r>
          </w:p>
          <w:p>
            <w:pPr>
              <w:widowControl/>
              <w:spacing w:line="240" w:lineRule="exact"/>
              <w:jc w:val="left"/>
              <w:rPr>
                <w:rFonts w:cs="Times New Roman"/>
              </w:rPr>
            </w:pPr>
          </w:p>
        </w:tc>
        <w:tc>
          <w:tcPr>
            <w:tcW w:w="765" w:type="dxa"/>
            <w:tcBorders>
              <w:left w:val="single" w:color="auto" w:sz="4" w:space="0"/>
            </w:tcBorders>
            <w:vAlign w:val="center"/>
          </w:tcPr>
          <w:p>
            <w:pPr>
              <w:widowControl/>
              <w:spacing w:line="240" w:lineRule="exact"/>
              <w:jc w:val="center"/>
            </w:pPr>
            <w:r>
              <w:rPr>
                <w:rFonts w:hint="eastAsi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795" w:type="dxa"/>
            <w:vMerge w:val="continue"/>
            <w:vAlign w:val="center"/>
          </w:tcPr>
          <w:p>
            <w:pPr>
              <w:spacing w:line="240" w:lineRule="exact"/>
              <w:rPr>
                <w:rFonts w:ascii="宋体" w:cs="Times New Roman"/>
              </w:rPr>
            </w:pPr>
          </w:p>
        </w:tc>
        <w:tc>
          <w:tcPr>
            <w:tcW w:w="765" w:type="dxa"/>
            <w:vMerge w:val="continue"/>
            <w:vAlign w:val="center"/>
          </w:tcPr>
          <w:p>
            <w:pPr>
              <w:spacing w:line="240" w:lineRule="exact"/>
              <w:rPr>
                <w:rFonts w:ascii="宋体" w:cs="Times New Roman"/>
              </w:rPr>
            </w:pPr>
          </w:p>
        </w:tc>
        <w:tc>
          <w:tcPr>
            <w:tcW w:w="990" w:type="dxa"/>
            <w:tcBorders>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结转结余率（</w:t>
            </w:r>
            <w:r>
              <w:rPr>
                <w:rFonts w:ascii="仿宋_GB2312" w:hAnsi="新宋体" w:eastAsia="仿宋_GB2312" w:cs="仿宋_GB2312"/>
                <w:kern w:val="0"/>
              </w:rPr>
              <w:t>4</w:t>
            </w:r>
            <w:r>
              <w:rPr>
                <w:rFonts w:hint="eastAsia" w:ascii="仿宋_GB2312" w:hAnsi="新宋体" w:eastAsia="仿宋_GB2312" w:cs="仿宋_GB2312"/>
                <w:kern w:val="0"/>
              </w:rPr>
              <w:t>分）</w:t>
            </w:r>
          </w:p>
        </w:tc>
        <w:tc>
          <w:tcPr>
            <w:tcW w:w="3975" w:type="dxa"/>
            <w:tcBorders>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通过对部门本年度结转结余总额与支出预算数的比较，反映和评价部门对本年度结转结余资金的实际控制程度。</w:t>
            </w:r>
          </w:p>
          <w:p>
            <w:pPr>
              <w:widowControl/>
              <w:spacing w:line="240" w:lineRule="exact"/>
              <w:jc w:val="left"/>
              <w:rPr>
                <w:rFonts w:cs="Times New Roman"/>
              </w:rPr>
            </w:pPr>
            <w:r>
              <w:rPr>
                <w:rFonts w:hint="eastAsia" w:ascii="仿宋_GB2312" w:hAnsi="新宋体" w:eastAsia="仿宋_GB2312" w:cs="仿宋_GB2312"/>
                <w:kern w:val="0"/>
              </w:rPr>
              <w:t>结转结余率</w:t>
            </w:r>
            <w:r>
              <w:rPr>
                <w:rFonts w:ascii="仿宋_GB2312" w:hAnsi="新宋体" w:eastAsia="仿宋_GB2312" w:cs="仿宋_GB2312"/>
                <w:kern w:val="0"/>
              </w:rPr>
              <w:t>=</w:t>
            </w:r>
            <w:r>
              <w:rPr>
                <w:rFonts w:hint="eastAsia" w:ascii="仿宋_GB2312" w:hAnsi="新宋体" w:eastAsia="仿宋_GB2312" w:cs="仿宋_GB2312"/>
                <w:kern w:val="0"/>
              </w:rPr>
              <w:t>（结转结余总额</w:t>
            </w:r>
            <w:r>
              <w:rPr>
                <w:rFonts w:ascii="仿宋_GB2312" w:hAnsi="新宋体" w:eastAsia="仿宋_GB2312" w:cs="仿宋_GB2312"/>
                <w:kern w:val="0"/>
              </w:rPr>
              <w:t>/</w:t>
            </w:r>
            <w:r>
              <w:rPr>
                <w:rFonts w:hint="eastAsia" w:ascii="仿宋_GB2312" w:hAnsi="新宋体" w:eastAsia="仿宋_GB2312" w:cs="仿宋_GB2312"/>
                <w:kern w:val="0"/>
              </w:rPr>
              <w:t>支出预算数）×</w:t>
            </w:r>
            <w:r>
              <w:rPr>
                <w:rFonts w:ascii="仿宋_GB2312" w:hAnsi="新宋体" w:eastAsia="仿宋_GB2312" w:cs="仿宋_GB2312"/>
                <w:kern w:val="0"/>
              </w:rPr>
              <w:t>100%</w:t>
            </w:r>
            <w:r>
              <w:rPr>
                <w:rFonts w:hint="eastAsia" w:ascii="仿宋_GB2312" w:hAnsi="新宋体" w:eastAsia="仿宋_GB2312" w:cs="仿宋_GB2312"/>
                <w:kern w:val="0"/>
              </w:rPr>
              <w:t>。</w:t>
            </w:r>
          </w:p>
        </w:tc>
        <w:tc>
          <w:tcPr>
            <w:tcW w:w="2550" w:type="dxa"/>
            <w:tcBorders>
              <w:left w:val="single" w:color="auto" w:sz="4" w:space="0"/>
              <w:right w:val="single" w:color="auto" w:sz="4" w:space="0"/>
            </w:tcBorders>
            <w:vAlign w:val="center"/>
          </w:tcPr>
          <w:p>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结转结余率等于</w:t>
            </w:r>
            <w:r>
              <w:rPr>
                <w:rFonts w:ascii="仿宋_GB2312" w:hAnsi="新宋体" w:eastAsia="仿宋_GB2312" w:cs="仿宋_GB2312"/>
                <w:kern w:val="0"/>
              </w:rPr>
              <w:t>0</w:t>
            </w:r>
            <w:r>
              <w:rPr>
                <w:rFonts w:hint="eastAsia" w:ascii="仿宋_GB2312" w:hAnsi="新宋体" w:eastAsia="仿宋_GB2312" w:cs="仿宋_GB2312"/>
                <w:kern w:val="0"/>
              </w:rPr>
              <w:t>的，得满分；</w:t>
            </w:r>
          </w:p>
          <w:p>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结转结余率大于或等于</w:t>
            </w:r>
            <w:r>
              <w:rPr>
                <w:rFonts w:ascii="仿宋_GB2312" w:hAnsi="新宋体" w:eastAsia="仿宋_GB2312" w:cs="仿宋_GB2312"/>
                <w:kern w:val="0"/>
              </w:rPr>
              <w:t>50%</w:t>
            </w:r>
            <w:r>
              <w:rPr>
                <w:rFonts w:hint="eastAsia" w:ascii="仿宋_GB2312" w:hAnsi="新宋体" w:eastAsia="仿宋_GB2312" w:cs="仿宋_GB2312"/>
                <w:kern w:val="0"/>
              </w:rPr>
              <w:t>的，得</w:t>
            </w:r>
            <w:r>
              <w:rPr>
                <w:rFonts w:ascii="仿宋_GB2312" w:hAnsi="新宋体" w:eastAsia="仿宋_GB2312" w:cs="仿宋_GB2312"/>
                <w:kern w:val="0"/>
              </w:rPr>
              <w:t>0</w:t>
            </w:r>
            <w:r>
              <w:rPr>
                <w:rFonts w:hint="eastAsia" w:ascii="仿宋_GB2312" w:hAnsi="新宋体" w:eastAsia="仿宋_GB2312" w:cs="仿宋_GB2312"/>
                <w:kern w:val="0"/>
              </w:rPr>
              <w:t>分；</w:t>
            </w:r>
          </w:p>
          <w:p>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结转结余率在</w:t>
            </w:r>
            <w:r>
              <w:rPr>
                <w:rFonts w:ascii="仿宋_GB2312" w:hAnsi="新宋体" w:eastAsia="仿宋_GB2312" w:cs="仿宋_GB2312"/>
                <w:kern w:val="0"/>
              </w:rPr>
              <w:t>0-50%</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和满分之间计算确定：</w:t>
            </w:r>
          </w:p>
          <w:p>
            <w:pPr>
              <w:widowControl/>
              <w:spacing w:line="240" w:lineRule="exact"/>
              <w:jc w:val="left"/>
              <w:rPr>
                <w:rFonts w:cs="Times New Roman"/>
              </w:rPr>
            </w:pPr>
            <w:r>
              <w:rPr>
                <w:rFonts w:hint="eastAsia" w:ascii="仿宋_GB2312" w:hAnsi="新宋体" w:eastAsia="仿宋_GB2312" w:cs="仿宋_GB2312"/>
                <w:kern w:val="0"/>
              </w:rPr>
              <w:t>得分</w:t>
            </w:r>
            <w:r>
              <w:rPr>
                <w:rFonts w:ascii="仿宋_GB2312" w:hAnsi="新宋体" w:eastAsia="仿宋_GB2312" w:cs="仿宋_GB2312"/>
                <w:kern w:val="0"/>
              </w:rPr>
              <w:t>=[max</w:t>
            </w:r>
            <w:r>
              <w:rPr>
                <w:rFonts w:hint="eastAsia" w:ascii="仿宋_GB2312" w:hAnsi="新宋体" w:eastAsia="仿宋_GB2312" w:cs="仿宋_GB2312"/>
                <w:kern w:val="0"/>
              </w:rPr>
              <w:t>（结转结余率）－某部门结转结余率</w:t>
            </w:r>
            <w:r>
              <w:rPr>
                <w:rFonts w:ascii="仿宋_GB2312" w:hAnsi="新宋体" w:eastAsia="仿宋_GB2312" w:cs="仿宋_GB2312"/>
                <w:kern w:val="0"/>
              </w:rPr>
              <w:t>]/[max</w:t>
            </w:r>
            <w:r>
              <w:rPr>
                <w:rFonts w:hint="eastAsia" w:ascii="仿宋_GB2312" w:hAnsi="新宋体" w:eastAsia="仿宋_GB2312" w:cs="仿宋_GB2312"/>
                <w:kern w:val="0"/>
              </w:rPr>
              <w:t>（结转结余率）－</w:t>
            </w:r>
            <w:r>
              <w:rPr>
                <w:rFonts w:ascii="仿宋_GB2312" w:hAnsi="新宋体" w:eastAsia="仿宋_GB2312" w:cs="仿宋_GB2312"/>
                <w:kern w:val="0"/>
              </w:rPr>
              <w:t>min</w:t>
            </w:r>
            <w:r>
              <w:rPr>
                <w:rFonts w:hint="eastAsia" w:ascii="仿宋_GB2312" w:hAnsi="新宋体" w:eastAsia="仿宋_GB2312" w:cs="仿宋_GB2312"/>
                <w:kern w:val="0"/>
              </w:rPr>
              <w:t>（结转结余率）</w:t>
            </w:r>
            <w:r>
              <w:rPr>
                <w:rFonts w:ascii="仿宋_GB2312" w:hAnsi="新宋体" w:eastAsia="仿宋_GB2312" w:cs="仿宋_GB2312"/>
                <w:kern w:val="0"/>
              </w:rPr>
              <w:t>]</w:t>
            </w:r>
            <w:r>
              <w:rPr>
                <w:rFonts w:hint="eastAsia" w:ascii="仿宋_GB2312" w:hAnsi="新宋体" w:eastAsia="仿宋_GB2312" w:cs="仿宋_GB2312"/>
                <w:kern w:val="0"/>
              </w:rPr>
              <w:t>×该指标分值。</w:t>
            </w:r>
          </w:p>
        </w:tc>
        <w:tc>
          <w:tcPr>
            <w:tcW w:w="765" w:type="dxa"/>
            <w:tcBorders>
              <w:left w:val="single" w:color="auto" w:sz="4" w:space="0"/>
            </w:tcBorders>
            <w:vAlign w:val="center"/>
          </w:tcPr>
          <w:p>
            <w:pPr>
              <w:widowControl/>
              <w:spacing w:line="240" w:lineRule="exact"/>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95" w:type="dxa"/>
            <w:vMerge w:val="continue"/>
            <w:vAlign w:val="center"/>
          </w:tcPr>
          <w:p>
            <w:pPr>
              <w:spacing w:line="240" w:lineRule="exact"/>
              <w:rPr>
                <w:rFonts w:ascii="宋体" w:cs="Times New Roman"/>
              </w:rPr>
            </w:pPr>
          </w:p>
        </w:tc>
        <w:tc>
          <w:tcPr>
            <w:tcW w:w="765" w:type="dxa"/>
            <w:vMerge w:val="continue"/>
            <w:vAlign w:val="center"/>
          </w:tcPr>
          <w:p>
            <w:pPr>
              <w:spacing w:line="240" w:lineRule="exact"/>
              <w:rPr>
                <w:rFonts w:ascii="宋体" w:cs="Times New Roman"/>
              </w:rPr>
            </w:pPr>
          </w:p>
        </w:tc>
        <w:tc>
          <w:tcPr>
            <w:tcW w:w="990" w:type="dxa"/>
            <w:tcBorders>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公用经费控制率（</w:t>
            </w:r>
            <w:r>
              <w:rPr>
                <w:rFonts w:ascii="仿宋_GB2312" w:hAnsi="新宋体" w:eastAsia="仿宋_GB2312" w:cs="仿宋_GB2312"/>
                <w:kern w:val="0"/>
              </w:rPr>
              <w:t>4</w:t>
            </w:r>
            <w:r>
              <w:rPr>
                <w:rFonts w:hint="eastAsia" w:ascii="仿宋_GB2312" w:hAnsi="新宋体" w:eastAsia="仿宋_GB2312" w:cs="仿宋_GB2312"/>
                <w:kern w:val="0"/>
              </w:rPr>
              <w:t>分）</w:t>
            </w:r>
          </w:p>
        </w:tc>
        <w:tc>
          <w:tcPr>
            <w:tcW w:w="3975" w:type="dxa"/>
            <w:tcBorders>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通过对部门本年度实际支出的公用经费总额与预算安排的公用经费总额的比率，反映和评价部门对机构运转成本的实际控制程度。</w:t>
            </w:r>
          </w:p>
          <w:p>
            <w:pPr>
              <w:widowControl/>
              <w:spacing w:line="240" w:lineRule="exact"/>
              <w:jc w:val="left"/>
              <w:rPr>
                <w:rFonts w:cs="Times New Roman"/>
              </w:rPr>
            </w:pPr>
            <w:r>
              <w:rPr>
                <w:rFonts w:hint="eastAsia" w:ascii="仿宋_GB2312" w:hAnsi="新宋体" w:eastAsia="仿宋_GB2312" w:cs="仿宋_GB2312"/>
                <w:kern w:val="0"/>
              </w:rPr>
              <w:t>公用经费控制率</w:t>
            </w:r>
            <w:r>
              <w:rPr>
                <w:rFonts w:ascii="仿宋_GB2312" w:hAnsi="新宋体" w:eastAsia="仿宋_GB2312" w:cs="仿宋_GB2312"/>
                <w:kern w:val="0"/>
              </w:rPr>
              <w:t>=</w:t>
            </w:r>
            <w:r>
              <w:rPr>
                <w:rFonts w:hint="eastAsia" w:ascii="仿宋_GB2312" w:hAnsi="新宋体" w:eastAsia="仿宋_GB2312" w:cs="仿宋_GB2312"/>
                <w:kern w:val="0"/>
              </w:rPr>
              <w:t>（实际支出公用经费总额</w:t>
            </w:r>
            <w:r>
              <w:rPr>
                <w:rFonts w:ascii="仿宋_GB2312" w:hAnsi="新宋体" w:eastAsia="仿宋_GB2312" w:cs="仿宋_GB2312"/>
                <w:kern w:val="0"/>
              </w:rPr>
              <w:t>/</w:t>
            </w:r>
            <w:r>
              <w:rPr>
                <w:rFonts w:hint="eastAsia" w:ascii="仿宋_GB2312" w:hAnsi="新宋体" w:eastAsia="仿宋_GB2312" w:cs="仿宋_GB2312"/>
                <w:kern w:val="0"/>
              </w:rPr>
              <w:t>预算安排公用经费总额）×</w:t>
            </w:r>
            <w:r>
              <w:rPr>
                <w:rFonts w:ascii="仿宋_GB2312" w:hAnsi="新宋体" w:eastAsia="仿宋_GB2312" w:cs="仿宋_GB2312"/>
                <w:kern w:val="0"/>
              </w:rPr>
              <w:t>100%</w:t>
            </w:r>
            <w:r>
              <w:rPr>
                <w:rFonts w:hint="eastAsia" w:ascii="仿宋_GB2312" w:hAnsi="新宋体" w:eastAsia="仿宋_GB2312" w:cs="仿宋_GB2312"/>
                <w:kern w:val="0"/>
              </w:rPr>
              <w:t>。</w:t>
            </w:r>
          </w:p>
        </w:tc>
        <w:tc>
          <w:tcPr>
            <w:tcW w:w="2550" w:type="dxa"/>
            <w:tcBorders>
              <w:left w:val="single" w:color="auto" w:sz="4" w:space="0"/>
              <w:right w:val="single" w:color="auto" w:sz="4" w:space="0"/>
            </w:tcBorders>
            <w:vAlign w:val="center"/>
          </w:tcPr>
          <w:p>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公用经费控制率小于或等于</w:t>
            </w:r>
            <w:r>
              <w:rPr>
                <w:rFonts w:ascii="仿宋_GB2312" w:hAnsi="新宋体" w:eastAsia="仿宋_GB2312" w:cs="仿宋_GB2312"/>
                <w:kern w:val="0"/>
              </w:rPr>
              <w:t>100%</w:t>
            </w:r>
            <w:r>
              <w:rPr>
                <w:rFonts w:hint="eastAsia" w:ascii="仿宋_GB2312" w:hAnsi="新宋体" w:eastAsia="仿宋_GB2312" w:cs="仿宋_GB2312"/>
                <w:kern w:val="0"/>
              </w:rPr>
              <w:t>的，得满分；</w:t>
            </w:r>
          </w:p>
          <w:p>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公用经费控制率大于或等于</w:t>
            </w:r>
            <w:r>
              <w:rPr>
                <w:rFonts w:ascii="仿宋_GB2312" w:hAnsi="新宋体" w:eastAsia="仿宋_GB2312" w:cs="仿宋_GB2312"/>
                <w:kern w:val="0"/>
              </w:rPr>
              <w:t>105%</w:t>
            </w:r>
            <w:r>
              <w:rPr>
                <w:rFonts w:hint="eastAsia" w:ascii="仿宋_GB2312" w:hAnsi="新宋体" w:eastAsia="仿宋_GB2312" w:cs="仿宋_GB2312"/>
                <w:kern w:val="0"/>
              </w:rPr>
              <w:t>的，得</w:t>
            </w:r>
            <w:r>
              <w:rPr>
                <w:rFonts w:ascii="仿宋_GB2312" w:hAnsi="新宋体" w:eastAsia="仿宋_GB2312" w:cs="仿宋_GB2312"/>
                <w:kern w:val="0"/>
              </w:rPr>
              <w:t>0</w:t>
            </w:r>
            <w:r>
              <w:rPr>
                <w:rFonts w:hint="eastAsia" w:ascii="仿宋_GB2312" w:hAnsi="新宋体" w:eastAsia="仿宋_GB2312" w:cs="仿宋_GB2312"/>
                <w:kern w:val="0"/>
              </w:rPr>
              <w:t>分；</w:t>
            </w:r>
          </w:p>
          <w:p>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公用经费控制率在</w:t>
            </w:r>
            <w:r>
              <w:rPr>
                <w:rFonts w:ascii="仿宋_GB2312" w:hAnsi="新宋体" w:eastAsia="仿宋_GB2312" w:cs="仿宋_GB2312"/>
                <w:kern w:val="0"/>
              </w:rPr>
              <w:t>100%-105%</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和满分之间计算确定：</w:t>
            </w:r>
          </w:p>
          <w:p>
            <w:pPr>
              <w:widowControl/>
              <w:spacing w:line="240" w:lineRule="exact"/>
              <w:jc w:val="left"/>
              <w:rPr>
                <w:rFonts w:cs="Times New Roman"/>
              </w:rPr>
            </w:pPr>
            <w:r>
              <w:rPr>
                <w:rFonts w:hint="eastAsia" w:ascii="仿宋_GB2312" w:hAnsi="新宋体" w:eastAsia="仿宋_GB2312" w:cs="仿宋_GB2312"/>
                <w:kern w:val="0"/>
              </w:rPr>
              <w:t>得分</w:t>
            </w:r>
            <w:r>
              <w:rPr>
                <w:rFonts w:ascii="仿宋_GB2312" w:hAnsi="新宋体" w:eastAsia="仿宋_GB2312" w:cs="仿宋_GB2312"/>
                <w:kern w:val="0"/>
              </w:rPr>
              <w:t>=</w:t>
            </w:r>
            <w:r>
              <w:rPr>
                <w:rFonts w:hint="eastAsia" w:ascii="仿宋_GB2312" w:hAnsi="新宋体" w:eastAsia="仿宋_GB2312" w:cs="仿宋_GB2312"/>
                <w:kern w:val="0"/>
              </w:rPr>
              <w:t>［</w:t>
            </w:r>
            <w:r>
              <w:rPr>
                <w:rFonts w:ascii="仿宋_GB2312" w:hAnsi="新宋体" w:eastAsia="仿宋_GB2312" w:cs="仿宋_GB2312"/>
                <w:kern w:val="0"/>
              </w:rPr>
              <w:t>max</w:t>
            </w:r>
            <w:r>
              <w:rPr>
                <w:rFonts w:hint="eastAsia" w:ascii="仿宋_GB2312" w:hAnsi="新宋体" w:eastAsia="仿宋_GB2312" w:cs="仿宋_GB2312"/>
                <w:kern w:val="0"/>
              </w:rPr>
              <w:t>（公用经费控制率）</w:t>
            </w:r>
            <w:r>
              <w:rPr>
                <w:rFonts w:ascii="仿宋_GB2312" w:hAnsi="新宋体" w:eastAsia="仿宋_GB2312" w:cs="仿宋_GB2312"/>
                <w:kern w:val="0"/>
              </w:rPr>
              <w:t>-</w:t>
            </w:r>
            <w:r>
              <w:rPr>
                <w:rFonts w:hint="eastAsia" w:ascii="仿宋_GB2312" w:hAnsi="新宋体" w:eastAsia="仿宋_GB2312" w:cs="仿宋_GB2312"/>
                <w:kern w:val="0"/>
              </w:rPr>
              <w:t>某部门公用经费控制率］</w:t>
            </w:r>
            <w:r>
              <w:rPr>
                <w:rFonts w:ascii="仿宋_GB2312" w:hAnsi="新宋体" w:eastAsia="仿宋_GB2312" w:cs="仿宋_GB2312"/>
                <w:kern w:val="0"/>
              </w:rPr>
              <w:t>/</w:t>
            </w:r>
            <w:r>
              <w:rPr>
                <w:rFonts w:hint="eastAsia" w:ascii="仿宋_GB2312" w:hAnsi="新宋体" w:eastAsia="仿宋_GB2312" w:cs="仿宋_GB2312"/>
                <w:kern w:val="0"/>
              </w:rPr>
              <w:t>［</w:t>
            </w:r>
            <w:r>
              <w:rPr>
                <w:rFonts w:ascii="仿宋_GB2312" w:hAnsi="新宋体" w:eastAsia="仿宋_GB2312" w:cs="仿宋_GB2312"/>
                <w:kern w:val="0"/>
              </w:rPr>
              <w:t>max</w:t>
            </w:r>
            <w:r>
              <w:rPr>
                <w:rFonts w:hint="eastAsia" w:ascii="仿宋_GB2312" w:hAnsi="新宋体" w:eastAsia="仿宋_GB2312" w:cs="仿宋_GB2312"/>
                <w:kern w:val="0"/>
              </w:rPr>
              <w:t>（公用经费控制率）</w:t>
            </w:r>
            <w:r>
              <w:rPr>
                <w:rFonts w:ascii="仿宋_GB2312" w:hAnsi="新宋体" w:eastAsia="仿宋_GB2312" w:cs="仿宋_GB2312"/>
                <w:kern w:val="0"/>
              </w:rPr>
              <w:t>-min</w:t>
            </w:r>
            <w:r>
              <w:rPr>
                <w:rFonts w:hint="eastAsia" w:ascii="仿宋_GB2312" w:hAnsi="新宋体" w:eastAsia="仿宋_GB2312" w:cs="仿宋_GB2312"/>
                <w:kern w:val="0"/>
              </w:rPr>
              <w:t>（公用经费控制率）］×该指标分值。</w:t>
            </w:r>
          </w:p>
        </w:tc>
        <w:tc>
          <w:tcPr>
            <w:tcW w:w="765" w:type="dxa"/>
            <w:tcBorders>
              <w:left w:val="single" w:color="auto" w:sz="4" w:space="0"/>
            </w:tcBorders>
            <w:vAlign w:val="center"/>
          </w:tcPr>
          <w:p>
            <w:pPr>
              <w:widowControl/>
              <w:spacing w:line="240" w:lineRule="exact"/>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95" w:type="dxa"/>
            <w:vMerge w:val="continue"/>
            <w:vAlign w:val="center"/>
          </w:tcPr>
          <w:p>
            <w:pPr>
              <w:spacing w:line="240" w:lineRule="exact"/>
              <w:rPr>
                <w:rFonts w:ascii="宋体" w:cs="Times New Roman"/>
              </w:rPr>
            </w:pPr>
          </w:p>
        </w:tc>
        <w:tc>
          <w:tcPr>
            <w:tcW w:w="765" w:type="dxa"/>
            <w:vMerge w:val="continue"/>
            <w:vAlign w:val="center"/>
          </w:tcPr>
          <w:p>
            <w:pPr>
              <w:spacing w:line="240" w:lineRule="exact"/>
              <w:rPr>
                <w:rFonts w:ascii="宋体" w:cs="Times New Roman"/>
              </w:rPr>
            </w:pPr>
          </w:p>
        </w:tc>
        <w:tc>
          <w:tcPr>
            <w:tcW w:w="990" w:type="dxa"/>
            <w:tcBorders>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政府采购执行率（</w:t>
            </w:r>
            <w:r>
              <w:rPr>
                <w:rFonts w:ascii="仿宋_GB2312" w:hAnsi="新宋体" w:eastAsia="仿宋_GB2312" w:cs="仿宋_GB2312"/>
                <w:kern w:val="0"/>
              </w:rPr>
              <w:t>4</w:t>
            </w:r>
            <w:r>
              <w:rPr>
                <w:rFonts w:hint="eastAsia" w:ascii="仿宋_GB2312" w:hAnsi="新宋体" w:eastAsia="仿宋_GB2312" w:cs="仿宋_GB2312"/>
                <w:kern w:val="0"/>
              </w:rPr>
              <w:t>分）</w:t>
            </w:r>
          </w:p>
        </w:tc>
        <w:tc>
          <w:tcPr>
            <w:tcW w:w="3975" w:type="dxa"/>
            <w:tcBorders>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通过对部门本年度实际政府采购预算项目个数与政府采购预算项目个数的比较，反映和评价部门政府采购预算执行情况。</w:t>
            </w:r>
          </w:p>
          <w:p>
            <w:pPr>
              <w:widowControl/>
              <w:spacing w:line="240" w:lineRule="exact"/>
              <w:jc w:val="left"/>
              <w:rPr>
                <w:rFonts w:cs="Times New Roman"/>
              </w:rPr>
            </w:pPr>
            <w:r>
              <w:rPr>
                <w:rFonts w:hint="eastAsia" w:ascii="仿宋_GB2312" w:hAnsi="新宋体" w:eastAsia="仿宋_GB2312" w:cs="仿宋_GB2312"/>
                <w:kern w:val="0"/>
              </w:rPr>
              <w:t>政府采购执行率</w:t>
            </w:r>
            <w:r>
              <w:rPr>
                <w:rFonts w:ascii="仿宋_GB2312" w:hAnsi="新宋体" w:eastAsia="仿宋_GB2312" w:cs="仿宋_GB2312"/>
                <w:kern w:val="0"/>
              </w:rPr>
              <w:t>=</w:t>
            </w:r>
            <w:r>
              <w:rPr>
                <w:rFonts w:hint="eastAsia" w:ascii="仿宋_GB2312" w:hAnsi="新宋体" w:eastAsia="仿宋_GB2312" w:cs="仿宋_GB2312"/>
                <w:kern w:val="0"/>
              </w:rPr>
              <w:t>（实际政府采购预算项目个数</w:t>
            </w:r>
            <w:r>
              <w:rPr>
                <w:rFonts w:ascii="仿宋_GB2312" w:hAnsi="新宋体" w:eastAsia="仿宋_GB2312" w:cs="仿宋_GB2312"/>
                <w:kern w:val="0"/>
              </w:rPr>
              <w:t>/</w:t>
            </w:r>
            <w:r>
              <w:rPr>
                <w:rFonts w:hint="eastAsia" w:ascii="仿宋_GB2312" w:hAnsi="新宋体" w:eastAsia="仿宋_GB2312" w:cs="仿宋_GB2312"/>
                <w:kern w:val="0"/>
              </w:rPr>
              <w:t>政府采购预算项目个数）×</w:t>
            </w:r>
            <w:r>
              <w:rPr>
                <w:rFonts w:ascii="仿宋_GB2312" w:hAnsi="新宋体" w:eastAsia="仿宋_GB2312" w:cs="仿宋_GB2312"/>
                <w:kern w:val="0"/>
              </w:rPr>
              <w:t>100%</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政府采购项目中非预算内安排的项目除外。</w:t>
            </w:r>
          </w:p>
        </w:tc>
        <w:tc>
          <w:tcPr>
            <w:tcW w:w="2550" w:type="dxa"/>
            <w:tcBorders>
              <w:left w:val="single" w:color="auto" w:sz="4" w:space="0"/>
              <w:right w:val="single" w:color="auto" w:sz="4" w:space="0"/>
            </w:tcBorders>
            <w:vAlign w:val="center"/>
          </w:tcPr>
          <w:p>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政府采购执行率等于</w:t>
            </w:r>
            <w:r>
              <w:rPr>
                <w:rFonts w:ascii="仿宋_GB2312" w:hAnsi="新宋体" w:eastAsia="仿宋_GB2312" w:cs="仿宋_GB2312"/>
                <w:kern w:val="0"/>
              </w:rPr>
              <w:t>100%</w:t>
            </w:r>
            <w:r>
              <w:rPr>
                <w:rFonts w:hint="eastAsia" w:ascii="仿宋_GB2312" w:hAnsi="新宋体" w:eastAsia="仿宋_GB2312" w:cs="仿宋_GB2312"/>
                <w:kern w:val="0"/>
              </w:rPr>
              <w:t>的，得满分；</w:t>
            </w:r>
          </w:p>
          <w:p>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政府采购执行率小于或等于</w:t>
            </w:r>
            <w:r>
              <w:rPr>
                <w:rFonts w:ascii="仿宋_GB2312" w:hAnsi="新宋体" w:eastAsia="仿宋_GB2312" w:cs="仿宋_GB2312"/>
                <w:kern w:val="0"/>
              </w:rPr>
              <w:t>90%</w:t>
            </w:r>
            <w:r>
              <w:rPr>
                <w:rFonts w:hint="eastAsia" w:ascii="仿宋_GB2312" w:hAnsi="新宋体" w:eastAsia="仿宋_GB2312" w:cs="仿宋_GB2312"/>
                <w:kern w:val="0"/>
              </w:rPr>
              <w:t>的，</w:t>
            </w:r>
            <w:r>
              <w:rPr>
                <w:rFonts w:ascii="仿宋_GB2312" w:hAnsi="新宋体" w:eastAsia="仿宋_GB2312" w:cs="仿宋_GB2312"/>
                <w:kern w:val="0"/>
              </w:rPr>
              <w:t>0</w:t>
            </w:r>
            <w:r>
              <w:rPr>
                <w:rFonts w:hint="eastAsia" w:ascii="仿宋_GB2312" w:hAnsi="新宋体" w:eastAsia="仿宋_GB2312" w:cs="仿宋_GB2312"/>
                <w:kern w:val="0"/>
              </w:rPr>
              <w:t>分；</w:t>
            </w:r>
          </w:p>
          <w:p>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政府采购执行率在</w:t>
            </w:r>
            <w:r>
              <w:rPr>
                <w:rFonts w:ascii="仿宋_GB2312" w:hAnsi="新宋体" w:eastAsia="仿宋_GB2312" w:cs="仿宋_GB2312"/>
                <w:kern w:val="0"/>
              </w:rPr>
              <w:t>90%-100%</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和满分之间计算确定：</w:t>
            </w:r>
          </w:p>
          <w:p>
            <w:pPr>
              <w:widowControl/>
              <w:spacing w:line="240" w:lineRule="exact"/>
              <w:jc w:val="left"/>
              <w:rPr>
                <w:rFonts w:cs="Times New Roman"/>
              </w:rPr>
            </w:pPr>
            <w:r>
              <w:rPr>
                <w:rFonts w:hint="eastAsia" w:ascii="仿宋_GB2312" w:hAnsi="新宋体" w:eastAsia="仿宋_GB2312" w:cs="仿宋_GB2312"/>
                <w:kern w:val="0"/>
              </w:rPr>
              <w:t>得分</w:t>
            </w:r>
            <w:r>
              <w:rPr>
                <w:rFonts w:ascii="仿宋_GB2312" w:hAnsi="新宋体" w:eastAsia="仿宋_GB2312" w:cs="仿宋_GB2312"/>
                <w:kern w:val="0"/>
              </w:rPr>
              <w:t>=</w:t>
            </w:r>
            <w:r>
              <w:rPr>
                <w:rFonts w:hint="eastAsia" w:ascii="仿宋_GB2312" w:hAnsi="新宋体" w:eastAsia="仿宋_GB2312" w:cs="仿宋_GB2312"/>
                <w:kern w:val="0"/>
              </w:rPr>
              <w:t>［某部门政府采购执行率</w:t>
            </w:r>
            <w:r>
              <w:rPr>
                <w:rFonts w:ascii="仿宋_GB2312" w:hAnsi="新宋体" w:eastAsia="仿宋_GB2312" w:cs="仿宋_GB2312"/>
                <w:kern w:val="0"/>
              </w:rPr>
              <w:t>-min</w:t>
            </w:r>
            <w:r>
              <w:rPr>
                <w:rFonts w:hint="eastAsia" w:ascii="仿宋_GB2312" w:hAnsi="新宋体" w:eastAsia="仿宋_GB2312" w:cs="仿宋_GB2312"/>
                <w:kern w:val="0"/>
              </w:rPr>
              <w:t>（政府采购执行率）］</w:t>
            </w:r>
            <w:r>
              <w:rPr>
                <w:rFonts w:ascii="仿宋_GB2312" w:hAnsi="新宋体" w:eastAsia="仿宋_GB2312" w:cs="仿宋_GB2312"/>
                <w:kern w:val="0"/>
              </w:rPr>
              <w:t>/</w:t>
            </w:r>
            <w:r>
              <w:rPr>
                <w:rFonts w:hint="eastAsia" w:ascii="仿宋_GB2312" w:hAnsi="新宋体" w:eastAsia="仿宋_GB2312" w:cs="仿宋_GB2312"/>
                <w:kern w:val="0"/>
              </w:rPr>
              <w:t>［</w:t>
            </w:r>
            <w:r>
              <w:rPr>
                <w:rFonts w:ascii="仿宋_GB2312" w:hAnsi="新宋体" w:eastAsia="仿宋_GB2312" w:cs="仿宋_GB2312"/>
                <w:kern w:val="0"/>
              </w:rPr>
              <w:t>max</w:t>
            </w:r>
            <w:r>
              <w:rPr>
                <w:rFonts w:hint="eastAsia" w:ascii="仿宋_GB2312" w:hAnsi="新宋体" w:eastAsia="仿宋_GB2312" w:cs="仿宋_GB2312"/>
                <w:kern w:val="0"/>
              </w:rPr>
              <w:t>（政府采购执行率）</w:t>
            </w:r>
            <w:r>
              <w:rPr>
                <w:rFonts w:ascii="仿宋_GB2312" w:hAnsi="新宋体" w:eastAsia="仿宋_GB2312" w:cs="仿宋_GB2312"/>
                <w:kern w:val="0"/>
              </w:rPr>
              <w:t>-min</w:t>
            </w:r>
            <w:r>
              <w:rPr>
                <w:rFonts w:hint="eastAsia" w:ascii="仿宋_GB2312" w:hAnsi="新宋体" w:eastAsia="仿宋_GB2312" w:cs="仿宋_GB2312"/>
                <w:kern w:val="0"/>
              </w:rPr>
              <w:t>（政府采购执行率）］×该指标分值。</w:t>
            </w:r>
          </w:p>
        </w:tc>
        <w:tc>
          <w:tcPr>
            <w:tcW w:w="765" w:type="dxa"/>
            <w:tcBorders>
              <w:left w:val="single" w:color="auto" w:sz="4" w:space="0"/>
            </w:tcBorders>
            <w:vAlign w:val="center"/>
          </w:tcPr>
          <w:p>
            <w:pPr>
              <w:widowControl/>
              <w:spacing w:line="240" w:lineRule="exact"/>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0" w:hRule="atLeast"/>
        </w:trPr>
        <w:tc>
          <w:tcPr>
            <w:tcW w:w="795" w:type="dxa"/>
            <w:vMerge w:val="continue"/>
            <w:vAlign w:val="center"/>
          </w:tcPr>
          <w:p>
            <w:pPr>
              <w:spacing w:line="240" w:lineRule="exact"/>
              <w:rPr>
                <w:rFonts w:ascii="宋体" w:cs="Times New Roman"/>
              </w:rPr>
            </w:pPr>
          </w:p>
        </w:tc>
        <w:tc>
          <w:tcPr>
            <w:tcW w:w="765" w:type="dxa"/>
            <w:vMerge w:val="restart"/>
            <w:vAlign w:val="center"/>
          </w:tcPr>
          <w:p>
            <w:pPr>
              <w:widowControl/>
              <w:spacing w:line="240" w:lineRule="exact"/>
              <w:jc w:val="left"/>
              <w:rPr>
                <w:rFonts w:cs="Times New Roman"/>
              </w:rPr>
            </w:pPr>
            <w:r>
              <w:rPr>
                <w:rFonts w:hint="eastAsia" w:ascii="仿宋_GB2312" w:hAnsi="新宋体" w:eastAsia="仿宋_GB2312" w:cs="仿宋_GB2312"/>
                <w:kern w:val="0"/>
              </w:rPr>
              <w:t>预算管理情况</w:t>
            </w:r>
          </w:p>
          <w:p>
            <w:pPr>
              <w:widowControl/>
              <w:spacing w:line="240" w:lineRule="exact"/>
              <w:jc w:val="left"/>
              <w:rPr>
                <w:rFonts w:cs="Times New Roman"/>
              </w:rPr>
            </w:pPr>
            <w:r>
              <w:rPr>
                <w:rFonts w:hint="eastAsia" w:ascii="仿宋_GB2312" w:hAnsi="新宋体" w:eastAsia="仿宋_GB2312" w:cs="仿宋_GB2312"/>
                <w:kern w:val="0"/>
              </w:rPr>
              <w:t>（</w:t>
            </w:r>
            <w:r>
              <w:rPr>
                <w:rFonts w:ascii="仿宋_GB2312" w:hAnsi="新宋体" w:eastAsia="仿宋_GB2312" w:cs="仿宋_GB2312"/>
                <w:kern w:val="0"/>
              </w:rPr>
              <w:t>15</w:t>
            </w:r>
            <w:r>
              <w:rPr>
                <w:rFonts w:hint="eastAsia" w:ascii="仿宋_GB2312" w:hAnsi="新宋体" w:eastAsia="仿宋_GB2312" w:cs="仿宋_GB2312"/>
                <w:kern w:val="0"/>
              </w:rPr>
              <w:t>）</w:t>
            </w:r>
          </w:p>
        </w:tc>
        <w:tc>
          <w:tcPr>
            <w:tcW w:w="990" w:type="dxa"/>
            <w:tcBorders>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资金使用合规性（</w:t>
            </w:r>
            <w:r>
              <w:rPr>
                <w:rFonts w:ascii="仿宋_GB2312" w:hAnsi="新宋体" w:eastAsia="仿宋_GB2312" w:cs="仿宋_GB2312"/>
                <w:kern w:val="0"/>
              </w:rPr>
              <w:t>8</w:t>
            </w:r>
            <w:r>
              <w:rPr>
                <w:rFonts w:hint="eastAsia" w:ascii="仿宋_GB2312" w:hAnsi="新宋体" w:eastAsia="仿宋_GB2312" w:cs="仿宋_GB2312"/>
                <w:kern w:val="0"/>
              </w:rPr>
              <w:t>分）</w:t>
            </w:r>
          </w:p>
        </w:tc>
        <w:tc>
          <w:tcPr>
            <w:tcW w:w="3975" w:type="dxa"/>
            <w:tcBorders>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部门使用预算资金是否符合相关的预算财务管理制度的规定，反映和评价部门预算资金的规范运行情况。</w:t>
            </w:r>
          </w:p>
          <w:p>
            <w:pPr>
              <w:widowControl/>
              <w:spacing w:line="240" w:lineRule="exact"/>
              <w:jc w:val="left"/>
              <w:rPr>
                <w:rFonts w:cs="Times New Roman"/>
              </w:rPr>
            </w:pPr>
            <w:r>
              <w:rPr>
                <w:rFonts w:hint="eastAsia" w:ascii="仿宋_GB2312" w:hAnsi="新宋体" w:eastAsia="仿宋_GB2312" w:cs="仿宋_GB2312"/>
                <w:kern w:val="0"/>
              </w:rPr>
              <w:t>评价要点：</w:t>
            </w:r>
          </w:p>
          <w:p>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符合国家财经法规和财务管理制度规定以及有关部门资金管理办法的规定；</w:t>
            </w:r>
          </w:p>
          <w:p>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资金的拨付有完整的审批过程和手续；</w:t>
            </w:r>
          </w:p>
          <w:p>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项目的重大开支经过评估论证；</w:t>
            </w:r>
          </w:p>
          <w:p>
            <w:pPr>
              <w:widowControl/>
              <w:spacing w:line="240" w:lineRule="exact"/>
              <w:jc w:val="left"/>
              <w:rPr>
                <w:rFonts w:cs="Times New Roman"/>
              </w:rPr>
            </w:pPr>
            <w:r>
              <w:rPr>
                <w:rFonts w:ascii="仿宋_GB2312" w:hAnsi="新宋体" w:eastAsia="仿宋_GB2312" w:cs="仿宋_GB2312"/>
                <w:kern w:val="0"/>
              </w:rPr>
              <w:t>4.</w:t>
            </w:r>
            <w:r>
              <w:rPr>
                <w:rFonts w:hint="eastAsia" w:ascii="仿宋_GB2312" w:hAnsi="新宋体" w:eastAsia="仿宋_GB2312" w:cs="仿宋_GB2312"/>
                <w:kern w:val="0"/>
              </w:rPr>
              <w:t>符合部门预算批复的用途；</w:t>
            </w:r>
          </w:p>
          <w:p>
            <w:pPr>
              <w:widowControl/>
              <w:spacing w:line="240" w:lineRule="exact"/>
              <w:jc w:val="left"/>
              <w:rPr>
                <w:rFonts w:cs="Times New Roman"/>
              </w:rPr>
            </w:pPr>
            <w:r>
              <w:rPr>
                <w:rFonts w:ascii="仿宋_GB2312" w:hAnsi="新宋体" w:eastAsia="仿宋_GB2312" w:cs="仿宋_GB2312"/>
                <w:kern w:val="0"/>
              </w:rPr>
              <w:t>5.</w:t>
            </w:r>
            <w:r>
              <w:rPr>
                <w:rFonts w:hint="eastAsia" w:ascii="仿宋_GB2312" w:hAnsi="新宋体" w:eastAsia="仿宋_GB2312" w:cs="仿宋_GB2312"/>
                <w:kern w:val="0"/>
              </w:rPr>
              <w:t>不存在截留情况；</w:t>
            </w:r>
          </w:p>
          <w:p>
            <w:pPr>
              <w:widowControl/>
              <w:spacing w:line="240" w:lineRule="exact"/>
              <w:jc w:val="left"/>
              <w:rPr>
                <w:rFonts w:cs="Times New Roman"/>
              </w:rPr>
            </w:pPr>
            <w:r>
              <w:rPr>
                <w:rFonts w:ascii="仿宋_GB2312" w:hAnsi="新宋体" w:eastAsia="仿宋_GB2312" w:cs="仿宋_GB2312"/>
                <w:kern w:val="0"/>
              </w:rPr>
              <w:t>6.</w:t>
            </w:r>
            <w:r>
              <w:rPr>
                <w:rFonts w:hint="eastAsia" w:ascii="仿宋_GB2312" w:hAnsi="新宋体" w:eastAsia="仿宋_GB2312" w:cs="仿宋_GB2312"/>
                <w:kern w:val="0"/>
              </w:rPr>
              <w:t>不存在挤占情况；</w:t>
            </w:r>
          </w:p>
          <w:p>
            <w:pPr>
              <w:widowControl/>
              <w:spacing w:line="240" w:lineRule="exact"/>
              <w:jc w:val="left"/>
              <w:rPr>
                <w:rFonts w:cs="Times New Roman"/>
              </w:rPr>
            </w:pPr>
            <w:r>
              <w:rPr>
                <w:rFonts w:ascii="仿宋_GB2312" w:hAnsi="新宋体" w:eastAsia="仿宋_GB2312" w:cs="仿宋_GB2312"/>
                <w:kern w:val="0"/>
              </w:rPr>
              <w:t>7.</w:t>
            </w:r>
            <w:r>
              <w:rPr>
                <w:rFonts w:hint="eastAsia" w:ascii="仿宋_GB2312" w:hAnsi="新宋体" w:eastAsia="仿宋_GB2312" w:cs="仿宋_GB2312"/>
                <w:kern w:val="0"/>
              </w:rPr>
              <w:t>不存在挪用情况；</w:t>
            </w:r>
          </w:p>
          <w:p>
            <w:pPr>
              <w:widowControl/>
              <w:spacing w:line="240" w:lineRule="exact"/>
              <w:jc w:val="left"/>
              <w:rPr>
                <w:rFonts w:cs="Times New Roman"/>
              </w:rPr>
            </w:pPr>
            <w:r>
              <w:rPr>
                <w:rFonts w:ascii="仿宋_GB2312" w:hAnsi="新宋体" w:eastAsia="仿宋_GB2312" w:cs="仿宋_GB2312"/>
                <w:kern w:val="0"/>
              </w:rPr>
              <w:t>8.</w:t>
            </w:r>
            <w:r>
              <w:rPr>
                <w:rFonts w:hint="eastAsia" w:ascii="仿宋_GB2312" w:hAnsi="新宋体" w:eastAsia="仿宋_GB2312" w:cs="仿宋_GB2312"/>
                <w:kern w:val="0"/>
              </w:rPr>
              <w:t>不存在虚列支出情况。</w:t>
            </w:r>
          </w:p>
        </w:tc>
        <w:tc>
          <w:tcPr>
            <w:tcW w:w="2550" w:type="dxa"/>
            <w:tcBorders>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全部符合（</w:t>
            </w:r>
            <w:r>
              <w:rPr>
                <w:rFonts w:ascii="仿宋_GB2312" w:hAnsi="新宋体" w:eastAsia="仿宋_GB2312" w:cs="仿宋_GB2312"/>
                <w:kern w:val="0"/>
              </w:rPr>
              <w:t>8</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符合其中七项（</w:t>
            </w:r>
            <w:r>
              <w:rPr>
                <w:rFonts w:ascii="仿宋_GB2312" w:hAnsi="新宋体" w:eastAsia="仿宋_GB2312" w:cs="仿宋_GB2312"/>
                <w:kern w:val="0"/>
              </w:rPr>
              <w:t>6</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符合其中六项（</w:t>
            </w:r>
            <w:r>
              <w:rPr>
                <w:rFonts w:ascii="仿宋_GB2312" w:hAnsi="新宋体" w:eastAsia="仿宋_GB2312" w:cs="仿宋_GB2312"/>
                <w:kern w:val="0"/>
              </w:rPr>
              <w:t>4</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符合其中五项（</w:t>
            </w:r>
            <w:r>
              <w:rPr>
                <w:rFonts w:ascii="仿宋_GB2312" w:hAnsi="新宋体" w:eastAsia="仿宋_GB2312" w:cs="仿宋_GB2312"/>
                <w:kern w:val="0"/>
              </w:rPr>
              <w:t>2</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符合其中四项及以下（</w:t>
            </w:r>
            <w:r>
              <w:rPr>
                <w:rFonts w:ascii="仿宋_GB2312" w:hAnsi="新宋体" w:eastAsia="仿宋_GB2312" w:cs="仿宋_GB2312"/>
                <w:kern w:val="0"/>
              </w:rPr>
              <w:t>0</w:t>
            </w:r>
            <w:r>
              <w:rPr>
                <w:rFonts w:hint="eastAsia" w:ascii="仿宋_GB2312" w:hAnsi="新宋体" w:eastAsia="仿宋_GB2312" w:cs="仿宋_GB2312"/>
                <w:kern w:val="0"/>
              </w:rPr>
              <w:t>）。</w:t>
            </w:r>
          </w:p>
        </w:tc>
        <w:tc>
          <w:tcPr>
            <w:tcW w:w="765" w:type="dxa"/>
            <w:tcBorders>
              <w:left w:val="single" w:color="auto" w:sz="4" w:space="0"/>
            </w:tcBorders>
            <w:vAlign w:val="center"/>
          </w:tcPr>
          <w:p>
            <w:pPr>
              <w:widowControl/>
              <w:spacing w:line="240" w:lineRule="exact"/>
              <w:jc w:val="center"/>
            </w:pPr>
            <w: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5" w:hRule="atLeast"/>
        </w:trPr>
        <w:tc>
          <w:tcPr>
            <w:tcW w:w="795" w:type="dxa"/>
            <w:vMerge w:val="continue"/>
            <w:vAlign w:val="center"/>
          </w:tcPr>
          <w:p>
            <w:pPr>
              <w:spacing w:line="240" w:lineRule="exact"/>
              <w:rPr>
                <w:rFonts w:ascii="宋体" w:cs="Times New Roman"/>
              </w:rPr>
            </w:pPr>
          </w:p>
        </w:tc>
        <w:tc>
          <w:tcPr>
            <w:tcW w:w="765" w:type="dxa"/>
            <w:vMerge w:val="continue"/>
            <w:vAlign w:val="center"/>
          </w:tcPr>
          <w:p>
            <w:pPr>
              <w:spacing w:line="240" w:lineRule="exact"/>
              <w:rPr>
                <w:rFonts w:ascii="宋体" w:cs="Times New Roman"/>
              </w:rPr>
            </w:pPr>
          </w:p>
        </w:tc>
        <w:tc>
          <w:tcPr>
            <w:tcW w:w="990" w:type="dxa"/>
            <w:tcBorders>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预决算信息公开性（</w:t>
            </w:r>
            <w:r>
              <w:rPr>
                <w:rFonts w:ascii="仿宋_GB2312" w:hAnsi="新宋体" w:eastAsia="仿宋_GB2312" w:cs="仿宋_GB2312"/>
                <w:kern w:val="0"/>
              </w:rPr>
              <w:t>3</w:t>
            </w:r>
            <w:r>
              <w:rPr>
                <w:rFonts w:hint="eastAsia" w:ascii="仿宋_GB2312" w:hAnsi="新宋体" w:eastAsia="仿宋_GB2312" w:cs="仿宋_GB2312"/>
                <w:kern w:val="0"/>
              </w:rPr>
              <w:t>分）</w:t>
            </w:r>
          </w:p>
        </w:tc>
        <w:tc>
          <w:tcPr>
            <w:tcW w:w="3975" w:type="dxa"/>
            <w:tcBorders>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部门是否按照政府信息公开有关规定公开相关预决算信息，用以反映和评价部门预决算管理的公开透明情况。</w:t>
            </w:r>
          </w:p>
          <w:p>
            <w:pPr>
              <w:widowControl/>
              <w:spacing w:line="240" w:lineRule="exact"/>
              <w:jc w:val="left"/>
              <w:rPr>
                <w:rFonts w:cs="Times New Roman"/>
              </w:rPr>
            </w:pPr>
            <w:r>
              <w:rPr>
                <w:rFonts w:hint="eastAsia" w:ascii="仿宋_GB2312" w:hAnsi="新宋体" w:eastAsia="仿宋_GB2312" w:cs="仿宋_GB2312"/>
                <w:kern w:val="0"/>
              </w:rPr>
              <w:t>预决算信息是指与部门预算、执行、决算、监督、绩效等管理相关的信息。</w:t>
            </w:r>
          </w:p>
          <w:p>
            <w:pPr>
              <w:widowControl/>
              <w:spacing w:line="240" w:lineRule="exact"/>
              <w:jc w:val="left"/>
              <w:rPr>
                <w:rFonts w:cs="Times New Roman"/>
              </w:rPr>
            </w:pPr>
            <w:r>
              <w:rPr>
                <w:rFonts w:hint="eastAsia" w:ascii="仿宋_GB2312" w:hAnsi="新宋体" w:eastAsia="仿宋_GB2312" w:cs="仿宋_GB2312"/>
                <w:kern w:val="0"/>
              </w:rPr>
              <w:t>评价要点：</w:t>
            </w:r>
          </w:p>
          <w:p>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公开预决算信息；</w:t>
            </w:r>
          </w:p>
          <w:p>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按规定内容公开预决算信息；</w:t>
            </w:r>
          </w:p>
          <w:p>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按规定时限公开预决算信息。</w:t>
            </w:r>
          </w:p>
        </w:tc>
        <w:tc>
          <w:tcPr>
            <w:tcW w:w="2550" w:type="dxa"/>
            <w:tcBorders>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全部符合（</w:t>
            </w:r>
            <w:r>
              <w:rPr>
                <w:rFonts w:ascii="仿宋_GB2312" w:hAnsi="新宋体" w:eastAsia="仿宋_GB2312" w:cs="仿宋_GB2312"/>
                <w:kern w:val="0"/>
              </w:rPr>
              <w:t>3</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符合其中两项（</w:t>
            </w:r>
            <w:r>
              <w:rPr>
                <w:rFonts w:ascii="仿宋_GB2312" w:hAnsi="新宋体" w:eastAsia="仿宋_GB2312" w:cs="仿宋_GB2312"/>
                <w:kern w:val="0"/>
              </w:rPr>
              <w:t>2</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符合其中一项及以下（</w:t>
            </w:r>
            <w:r>
              <w:rPr>
                <w:rFonts w:ascii="仿宋_GB2312" w:hAnsi="新宋体" w:eastAsia="仿宋_GB2312" w:cs="仿宋_GB2312"/>
                <w:kern w:val="0"/>
              </w:rPr>
              <w:t>0</w:t>
            </w:r>
            <w:r>
              <w:rPr>
                <w:rFonts w:hint="eastAsia" w:ascii="仿宋_GB2312" w:hAnsi="新宋体" w:eastAsia="仿宋_GB2312" w:cs="仿宋_GB2312"/>
                <w:kern w:val="0"/>
              </w:rPr>
              <w:t>）。</w:t>
            </w:r>
          </w:p>
        </w:tc>
        <w:tc>
          <w:tcPr>
            <w:tcW w:w="765" w:type="dxa"/>
            <w:tcBorders>
              <w:left w:val="single" w:color="auto" w:sz="4" w:space="0"/>
            </w:tcBorders>
            <w:vAlign w:val="center"/>
          </w:tcPr>
          <w:p>
            <w:pPr>
              <w:widowControl/>
              <w:spacing w:line="240" w:lineRule="exact"/>
              <w:jc w:val="center"/>
            </w:pPr>
            <w: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795" w:type="dxa"/>
            <w:vMerge w:val="continue"/>
            <w:vAlign w:val="center"/>
          </w:tcPr>
          <w:p>
            <w:pPr>
              <w:spacing w:line="240" w:lineRule="exact"/>
              <w:rPr>
                <w:rFonts w:ascii="宋体" w:cs="Times New Roman"/>
              </w:rPr>
            </w:pPr>
          </w:p>
        </w:tc>
        <w:tc>
          <w:tcPr>
            <w:tcW w:w="765" w:type="dxa"/>
            <w:vMerge w:val="continue"/>
            <w:vAlign w:val="center"/>
          </w:tcPr>
          <w:p>
            <w:pPr>
              <w:spacing w:line="240" w:lineRule="exact"/>
              <w:rPr>
                <w:rFonts w:ascii="宋体" w:cs="Times New Roman"/>
              </w:rPr>
            </w:pPr>
          </w:p>
        </w:tc>
        <w:tc>
          <w:tcPr>
            <w:tcW w:w="990" w:type="dxa"/>
            <w:tcBorders>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color w:val="000000"/>
                <w:kern w:val="0"/>
              </w:rPr>
              <w:t>基础信息完善性</w:t>
            </w:r>
            <w:r>
              <w:rPr>
                <w:rFonts w:hint="eastAsia" w:ascii="仿宋_GB2312" w:hAnsi="新宋体" w:eastAsia="仿宋_GB2312" w:cs="仿宋_GB2312"/>
                <w:kern w:val="0"/>
              </w:rPr>
              <w:t>（</w:t>
            </w:r>
            <w:r>
              <w:rPr>
                <w:rFonts w:ascii="仿宋_GB2312" w:hAnsi="新宋体" w:eastAsia="仿宋_GB2312" w:cs="仿宋_GB2312"/>
                <w:kern w:val="0"/>
              </w:rPr>
              <w:t>4</w:t>
            </w:r>
            <w:r>
              <w:rPr>
                <w:rFonts w:hint="eastAsia" w:ascii="仿宋_GB2312" w:hAnsi="新宋体" w:eastAsia="仿宋_GB2312" w:cs="仿宋_GB2312"/>
                <w:kern w:val="0"/>
              </w:rPr>
              <w:t>分）</w:t>
            </w:r>
          </w:p>
        </w:tc>
        <w:tc>
          <w:tcPr>
            <w:tcW w:w="3975" w:type="dxa"/>
            <w:tcBorders>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部门基础信息是否完善，用以反映和评价基础信息对预算管理工作的支撑情况。</w:t>
            </w:r>
          </w:p>
          <w:p>
            <w:pPr>
              <w:widowControl/>
              <w:spacing w:line="240" w:lineRule="exact"/>
              <w:jc w:val="left"/>
              <w:rPr>
                <w:rFonts w:cs="Times New Roman"/>
              </w:rPr>
            </w:pPr>
            <w:r>
              <w:rPr>
                <w:rFonts w:hint="eastAsia" w:ascii="仿宋_GB2312" w:hAnsi="新宋体" w:eastAsia="仿宋_GB2312" w:cs="仿宋_GB2312"/>
                <w:kern w:val="0"/>
              </w:rPr>
              <w:t>评价要点：</w:t>
            </w:r>
          </w:p>
          <w:p>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基本财务管理制度健全；</w:t>
            </w:r>
          </w:p>
          <w:p>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基础数据信息和会计信息资料真实；</w:t>
            </w:r>
          </w:p>
          <w:p>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基础数据信息和会计信息资料完整；</w:t>
            </w:r>
          </w:p>
          <w:p>
            <w:pPr>
              <w:widowControl/>
              <w:spacing w:line="240" w:lineRule="exact"/>
              <w:jc w:val="left"/>
              <w:rPr>
                <w:rFonts w:cs="Times New Roman"/>
              </w:rPr>
            </w:pPr>
            <w:r>
              <w:rPr>
                <w:rFonts w:ascii="仿宋_GB2312" w:hAnsi="新宋体" w:eastAsia="仿宋_GB2312" w:cs="仿宋_GB2312"/>
                <w:kern w:val="0"/>
              </w:rPr>
              <w:t>4.</w:t>
            </w:r>
            <w:r>
              <w:rPr>
                <w:rFonts w:hint="eastAsia" w:ascii="仿宋_GB2312" w:hAnsi="新宋体" w:eastAsia="仿宋_GB2312" w:cs="仿宋_GB2312"/>
                <w:kern w:val="0"/>
              </w:rPr>
              <w:t>基础数据信息和会计信息资料准确。</w:t>
            </w:r>
          </w:p>
        </w:tc>
        <w:tc>
          <w:tcPr>
            <w:tcW w:w="2550" w:type="dxa"/>
            <w:tcBorders>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符合全部四项（</w:t>
            </w:r>
            <w:r>
              <w:rPr>
                <w:rFonts w:ascii="仿宋_GB2312" w:hAnsi="新宋体" w:eastAsia="仿宋_GB2312" w:cs="仿宋_GB2312"/>
                <w:kern w:val="0"/>
              </w:rPr>
              <w:t>4</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符合其中三项（</w:t>
            </w:r>
            <w:r>
              <w:rPr>
                <w:rFonts w:ascii="仿宋_GB2312" w:hAnsi="新宋体" w:eastAsia="仿宋_GB2312" w:cs="仿宋_GB2312"/>
                <w:kern w:val="0"/>
              </w:rPr>
              <w:t>2</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符合其中两项（</w:t>
            </w:r>
            <w:r>
              <w:rPr>
                <w:rFonts w:ascii="仿宋_GB2312" w:hAnsi="新宋体" w:eastAsia="仿宋_GB2312" w:cs="仿宋_GB2312"/>
                <w:kern w:val="0"/>
              </w:rPr>
              <w:t>1</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符合其中一项及以下（</w:t>
            </w:r>
            <w:r>
              <w:rPr>
                <w:rFonts w:ascii="仿宋_GB2312" w:hAnsi="新宋体" w:eastAsia="仿宋_GB2312" w:cs="仿宋_GB2312"/>
                <w:kern w:val="0"/>
              </w:rPr>
              <w:t>0</w:t>
            </w:r>
            <w:r>
              <w:rPr>
                <w:rFonts w:hint="eastAsia" w:ascii="仿宋_GB2312" w:hAnsi="新宋体" w:eastAsia="仿宋_GB2312" w:cs="仿宋_GB2312"/>
                <w:kern w:val="0"/>
              </w:rPr>
              <w:t>）。</w:t>
            </w:r>
          </w:p>
        </w:tc>
        <w:tc>
          <w:tcPr>
            <w:tcW w:w="765" w:type="dxa"/>
            <w:tcBorders>
              <w:left w:val="single" w:color="auto" w:sz="4" w:space="0"/>
            </w:tcBorders>
            <w:vAlign w:val="center"/>
          </w:tcPr>
          <w:p>
            <w:pPr>
              <w:widowControl/>
              <w:spacing w:line="240" w:lineRule="exact"/>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0" w:hRule="atLeast"/>
        </w:trPr>
        <w:tc>
          <w:tcPr>
            <w:tcW w:w="795" w:type="dxa"/>
            <w:vMerge w:val="continue"/>
            <w:vAlign w:val="center"/>
          </w:tcPr>
          <w:p>
            <w:pPr>
              <w:spacing w:line="240" w:lineRule="exact"/>
              <w:rPr>
                <w:rFonts w:ascii="宋体" w:cs="Times New Roman"/>
              </w:rPr>
            </w:pPr>
          </w:p>
        </w:tc>
        <w:tc>
          <w:tcPr>
            <w:tcW w:w="765" w:type="dxa"/>
            <w:vMerge w:val="restart"/>
            <w:vAlign w:val="center"/>
          </w:tcPr>
          <w:p>
            <w:pPr>
              <w:widowControl/>
              <w:spacing w:line="240" w:lineRule="exact"/>
              <w:jc w:val="left"/>
              <w:rPr>
                <w:rFonts w:cs="Times New Roman"/>
              </w:rPr>
            </w:pPr>
            <w:r>
              <w:rPr>
                <w:rFonts w:hint="eastAsia" w:ascii="仿宋_GB2312" w:hAnsi="新宋体" w:eastAsia="仿宋_GB2312" w:cs="仿宋_GB2312"/>
                <w:kern w:val="0"/>
              </w:rPr>
              <w:t>资产管理情况（</w:t>
            </w:r>
            <w:r>
              <w:rPr>
                <w:rFonts w:ascii="仿宋_GB2312" w:hAnsi="新宋体" w:eastAsia="仿宋_GB2312" w:cs="仿宋_GB2312"/>
                <w:kern w:val="0"/>
              </w:rPr>
              <w:t>5</w:t>
            </w:r>
            <w:r>
              <w:rPr>
                <w:rFonts w:hint="eastAsia" w:ascii="仿宋_GB2312" w:hAnsi="新宋体" w:eastAsia="仿宋_GB2312" w:cs="仿宋_GB2312"/>
                <w:kern w:val="0"/>
              </w:rPr>
              <w:t>分）</w:t>
            </w:r>
          </w:p>
        </w:tc>
        <w:tc>
          <w:tcPr>
            <w:tcW w:w="990" w:type="dxa"/>
            <w:tcBorders>
              <w:top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资产管理完整性（</w:t>
            </w:r>
            <w:r>
              <w:rPr>
                <w:rFonts w:ascii="仿宋_GB2312" w:hAnsi="新宋体" w:eastAsia="仿宋_GB2312" w:cs="仿宋_GB2312"/>
                <w:kern w:val="0"/>
              </w:rPr>
              <w:t>2</w:t>
            </w:r>
            <w:r>
              <w:rPr>
                <w:rFonts w:hint="eastAsia" w:ascii="仿宋_GB2312" w:hAnsi="新宋体" w:eastAsia="仿宋_GB2312" w:cs="仿宋_GB2312"/>
                <w:kern w:val="0"/>
              </w:rPr>
              <w:t>分）</w:t>
            </w:r>
          </w:p>
        </w:tc>
        <w:tc>
          <w:tcPr>
            <w:tcW w:w="3975" w:type="dxa"/>
            <w:tcBorders>
              <w:top w:val="single" w:color="auto" w:sz="4" w:space="0"/>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部门的资产是否保存完整、使用合规、收入及时足额上缴，用以反映和评价部门资产运行情况。</w:t>
            </w:r>
          </w:p>
          <w:p>
            <w:pPr>
              <w:widowControl/>
              <w:spacing w:line="240" w:lineRule="exact"/>
              <w:jc w:val="left"/>
              <w:rPr>
                <w:rFonts w:cs="Times New Roman"/>
              </w:rPr>
            </w:pPr>
            <w:r>
              <w:rPr>
                <w:rFonts w:hint="eastAsia" w:ascii="仿宋_GB2312" w:hAnsi="新宋体" w:eastAsia="仿宋_GB2312" w:cs="仿宋_GB2312"/>
                <w:kern w:val="0"/>
              </w:rPr>
              <w:t>评价要点：</w:t>
            </w:r>
          </w:p>
          <w:p>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资产保存完整；</w:t>
            </w:r>
          </w:p>
          <w:p>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资产账务管理是否合规，</w:t>
            </w:r>
            <w:r>
              <w:rPr>
                <w:rFonts w:hint="eastAsia" w:ascii="仿宋_GB2312" w:hAnsi="新宋体" w:eastAsia="仿宋_GB2312" w:cs="仿宋_GB2312"/>
                <w:kern w:val="0"/>
                <w:lang w:eastAsia="zh-CN"/>
              </w:rPr>
              <w:t>账实</w:t>
            </w:r>
            <w:r>
              <w:rPr>
                <w:rFonts w:hint="eastAsia" w:ascii="仿宋_GB2312" w:hAnsi="新宋体" w:eastAsia="仿宋_GB2312" w:cs="仿宋_GB2312"/>
                <w:kern w:val="0"/>
              </w:rPr>
              <w:t>相符；</w:t>
            </w:r>
          </w:p>
          <w:p>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资产有偿使用及处置收入及时足额上缴。</w:t>
            </w:r>
          </w:p>
        </w:tc>
        <w:tc>
          <w:tcPr>
            <w:tcW w:w="2550" w:type="dxa"/>
            <w:tcBorders>
              <w:top w:val="single" w:color="auto" w:sz="4" w:space="0"/>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符合全部三项（</w:t>
            </w:r>
            <w:r>
              <w:rPr>
                <w:rFonts w:ascii="仿宋_GB2312" w:hAnsi="新宋体" w:eastAsia="仿宋_GB2312" w:cs="仿宋_GB2312"/>
                <w:kern w:val="0"/>
              </w:rPr>
              <w:t>3</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符合其中两项（</w:t>
            </w:r>
            <w:r>
              <w:rPr>
                <w:rFonts w:ascii="仿宋_GB2312" w:hAnsi="新宋体" w:eastAsia="仿宋_GB2312" w:cs="仿宋_GB2312"/>
                <w:kern w:val="0"/>
              </w:rPr>
              <w:t>2</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符合其中一项（</w:t>
            </w:r>
            <w:r>
              <w:rPr>
                <w:rFonts w:ascii="仿宋_GB2312" w:hAnsi="新宋体" w:eastAsia="仿宋_GB2312" w:cs="仿宋_GB2312"/>
                <w:kern w:val="0"/>
              </w:rPr>
              <w:t>1</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符合零项（</w:t>
            </w:r>
            <w:r>
              <w:rPr>
                <w:rFonts w:ascii="仿宋_GB2312" w:hAnsi="新宋体" w:eastAsia="仿宋_GB2312" w:cs="仿宋_GB2312"/>
                <w:kern w:val="0"/>
              </w:rPr>
              <w:t>0</w:t>
            </w:r>
            <w:r>
              <w:rPr>
                <w:rFonts w:hint="eastAsia" w:ascii="仿宋_GB2312" w:hAnsi="新宋体" w:eastAsia="仿宋_GB2312" w:cs="仿宋_GB2312"/>
                <w:kern w:val="0"/>
              </w:rPr>
              <w:t>）。</w:t>
            </w:r>
          </w:p>
        </w:tc>
        <w:tc>
          <w:tcPr>
            <w:tcW w:w="765" w:type="dxa"/>
            <w:tcBorders>
              <w:top w:val="single" w:color="auto" w:sz="4" w:space="0"/>
              <w:left w:val="single" w:color="auto" w:sz="4" w:space="0"/>
            </w:tcBorders>
            <w:vAlign w:val="center"/>
          </w:tcPr>
          <w:p>
            <w:pPr>
              <w:widowControl/>
              <w:spacing w:line="240" w:lineRule="exact"/>
              <w:jc w:val="center"/>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5" w:hRule="atLeast"/>
        </w:trPr>
        <w:tc>
          <w:tcPr>
            <w:tcW w:w="795" w:type="dxa"/>
            <w:vMerge w:val="continue"/>
            <w:vAlign w:val="center"/>
          </w:tcPr>
          <w:p>
            <w:pPr>
              <w:spacing w:line="240" w:lineRule="exact"/>
              <w:rPr>
                <w:rFonts w:ascii="宋体" w:cs="Times New Roman"/>
              </w:rPr>
            </w:pPr>
          </w:p>
        </w:tc>
        <w:tc>
          <w:tcPr>
            <w:tcW w:w="765" w:type="dxa"/>
            <w:vMerge w:val="continue"/>
            <w:vAlign w:val="center"/>
          </w:tcPr>
          <w:p>
            <w:pPr>
              <w:spacing w:line="240" w:lineRule="exact"/>
              <w:rPr>
                <w:rFonts w:ascii="宋体" w:cs="Times New Roman"/>
              </w:rPr>
            </w:pPr>
          </w:p>
        </w:tc>
        <w:tc>
          <w:tcPr>
            <w:tcW w:w="990" w:type="dxa"/>
            <w:tcBorders>
              <w:top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固定资产利用率（</w:t>
            </w:r>
            <w:r>
              <w:rPr>
                <w:rFonts w:ascii="仿宋_GB2312" w:hAnsi="新宋体" w:eastAsia="仿宋_GB2312" w:cs="仿宋_GB2312"/>
                <w:kern w:val="0"/>
              </w:rPr>
              <w:t>3</w:t>
            </w:r>
            <w:r>
              <w:rPr>
                <w:rFonts w:hint="eastAsia" w:ascii="仿宋_GB2312" w:hAnsi="新宋体" w:eastAsia="仿宋_GB2312" w:cs="仿宋_GB2312"/>
                <w:kern w:val="0"/>
              </w:rPr>
              <w:t>分）</w:t>
            </w:r>
          </w:p>
        </w:tc>
        <w:tc>
          <w:tcPr>
            <w:tcW w:w="3975" w:type="dxa"/>
            <w:tcBorders>
              <w:top w:val="single" w:color="auto" w:sz="4" w:space="0"/>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部门实际在用固定资产总额与所有固定资产总额的比率，用以反映和评价部门固定资产使用效率。</w:t>
            </w:r>
          </w:p>
          <w:p>
            <w:pPr>
              <w:widowControl/>
              <w:spacing w:line="240" w:lineRule="exact"/>
              <w:jc w:val="left"/>
              <w:rPr>
                <w:rFonts w:cs="Times New Roman"/>
              </w:rPr>
            </w:pPr>
            <w:r>
              <w:rPr>
                <w:rFonts w:hint="eastAsia" w:ascii="仿宋_GB2312" w:hAnsi="新宋体" w:eastAsia="仿宋_GB2312" w:cs="仿宋_GB2312"/>
                <w:kern w:val="0"/>
              </w:rPr>
              <w:t>固定资产利用率</w:t>
            </w:r>
            <w:r>
              <w:rPr>
                <w:rFonts w:ascii="仿宋_GB2312" w:hAnsi="新宋体" w:eastAsia="仿宋_GB2312" w:cs="仿宋_GB2312"/>
                <w:kern w:val="0"/>
              </w:rPr>
              <w:t>=</w:t>
            </w:r>
            <w:r>
              <w:rPr>
                <w:rFonts w:hint="eastAsia" w:ascii="仿宋_GB2312" w:hAnsi="新宋体" w:eastAsia="仿宋_GB2312" w:cs="仿宋_GB2312"/>
                <w:kern w:val="0"/>
              </w:rPr>
              <w:t>（实际在用固定资产总额</w:t>
            </w:r>
            <w:r>
              <w:rPr>
                <w:rFonts w:ascii="仿宋_GB2312" w:hAnsi="新宋体" w:eastAsia="仿宋_GB2312" w:cs="仿宋_GB2312"/>
                <w:kern w:val="0"/>
              </w:rPr>
              <w:t>/</w:t>
            </w:r>
            <w:r>
              <w:rPr>
                <w:rFonts w:hint="eastAsia" w:ascii="仿宋_GB2312" w:hAnsi="新宋体" w:eastAsia="仿宋_GB2312" w:cs="仿宋_GB2312"/>
                <w:kern w:val="0"/>
              </w:rPr>
              <w:t>所有固定资产总额）×</w:t>
            </w:r>
            <w:r>
              <w:rPr>
                <w:rFonts w:ascii="仿宋_GB2312" w:hAnsi="新宋体" w:eastAsia="仿宋_GB2312" w:cs="仿宋_GB2312"/>
                <w:kern w:val="0"/>
              </w:rPr>
              <w:t>100%</w:t>
            </w:r>
            <w:r>
              <w:rPr>
                <w:rFonts w:hint="eastAsia" w:ascii="仿宋_GB2312" w:hAnsi="新宋体" w:eastAsia="仿宋_GB2312" w:cs="仿宋_GB2312"/>
                <w:kern w:val="0"/>
              </w:rPr>
              <w:t>。</w:t>
            </w:r>
          </w:p>
        </w:tc>
        <w:tc>
          <w:tcPr>
            <w:tcW w:w="2550" w:type="dxa"/>
            <w:tcBorders>
              <w:top w:val="single" w:color="auto" w:sz="4" w:space="0"/>
              <w:left w:val="single" w:color="auto" w:sz="4" w:space="0"/>
              <w:right w:val="single" w:color="auto" w:sz="4" w:space="0"/>
            </w:tcBorders>
            <w:vAlign w:val="center"/>
          </w:tcPr>
          <w:p>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固定资产利用率大于或等于</w:t>
            </w:r>
            <w:r>
              <w:rPr>
                <w:rFonts w:ascii="仿宋_GB2312" w:hAnsi="新宋体" w:eastAsia="仿宋_GB2312" w:cs="仿宋_GB2312"/>
                <w:kern w:val="0"/>
              </w:rPr>
              <w:t>95%</w:t>
            </w:r>
            <w:r>
              <w:rPr>
                <w:rFonts w:hint="eastAsia" w:ascii="仿宋_GB2312" w:hAnsi="新宋体" w:eastAsia="仿宋_GB2312" w:cs="仿宋_GB2312"/>
                <w:kern w:val="0"/>
              </w:rPr>
              <w:t>的，得满分；</w:t>
            </w:r>
          </w:p>
          <w:p>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固定资产利用率小于或等于</w:t>
            </w:r>
            <w:r>
              <w:rPr>
                <w:rFonts w:ascii="仿宋_GB2312" w:hAnsi="新宋体" w:eastAsia="仿宋_GB2312" w:cs="仿宋_GB2312"/>
                <w:kern w:val="0"/>
              </w:rPr>
              <w:t>85%</w:t>
            </w:r>
            <w:r>
              <w:rPr>
                <w:rFonts w:hint="eastAsia" w:ascii="仿宋_GB2312" w:hAnsi="新宋体" w:eastAsia="仿宋_GB2312" w:cs="仿宋_GB2312"/>
                <w:kern w:val="0"/>
              </w:rPr>
              <w:t>的，得</w:t>
            </w:r>
            <w:r>
              <w:rPr>
                <w:rFonts w:ascii="仿宋_GB2312" w:hAnsi="新宋体" w:eastAsia="仿宋_GB2312" w:cs="仿宋_GB2312"/>
                <w:kern w:val="0"/>
              </w:rPr>
              <w:t>0</w:t>
            </w:r>
            <w:r>
              <w:rPr>
                <w:rFonts w:hint="eastAsia" w:ascii="仿宋_GB2312" w:hAnsi="新宋体" w:eastAsia="仿宋_GB2312" w:cs="仿宋_GB2312"/>
                <w:kern w:val="0"/>
              </w:rPr>
              <w:t>分；</w:t>
            </w:r>
          </w:p>
          <w:p>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固定资产利用率在</w:t>
            </w:r>
            <w:r>
              <w:rPr>
                <w:rFonts w:ascii="仿宋_GB2312" w:hAnsi="新宋体" w:eastAsia="仿宋_GB2312" w:cs="仿宋_GB2312"/>
                <w:kern w:val="0"/>
              </w:rPr>
              <w:t>85%-95%</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和满分之间计算确定：</w:t>
            </w:r>
          </w:p>
          <w:p>
            <w:pPr>
              <w:widowControl/>
              <w:spacing w:line="240" w:lineRule="exact"/>
              <w:jc w:val="left"/>
              <w:rPr>
                <w:rFonts w:cs="Times New Roman"/>
              </w:rPr>
            </w:pPr>
            <w:r>
              <w:rPr>
                <w:rFonts w:hint="eastAsia" w:ascii="仿宋_GB2312" w:hAnsi="新宋体" w:eastAsia="仿宋_GB2312" w:cs="仿宋_GB2312"/>
                <w:kern w:val="0"/>
              </w:rPr>
              <w:t>得分</w:t>
            </w:r>
            <w:r>
              <w:rPr>
                <w:rFonts w:ascii="仿宋_GB2312" w:hAnsi="新宋体" w:eastAsia="仿宋_GB2312" w:cs="仿宋_GB2312"/>
                <w:kern w:val="0"/>
              </w:rPr>
              <w:t>=</w:t>
            </w:r>
            <w:r>
              <w:rPr>
                <w:rFonts w:hint="eastAsia" w:ascii="仿宋_GB2312" w:hAnsi="新宋体" w:eastAsia="仿宋_GB2312" w:cs="仿宋_GB2312"/>
                <w:kern w:val="0"/>
              </w:rPr>
              <w:t>［某部门固定资产利用率</w:t>
            </w:r>
            <w:r>
              <w:rPr>
                <w:rFonts w:ascii="仿宋_GB2312" w:hAnsi="新宋体" w:eastAsia="仿宋_GB2312" w:cs="仿宋_GB2312"/>
                <w:kern w:val="0"/>
              </w:rPr>
              <w:t>-min</w:t>
            </w:r>
            <w:r>
              <w:rPr>
                <w:rFonts w:hint="eastAsia" w:ascii="仿宋_GB2312" w:hAnsi="新宋体" w:eastAsia="仿宋_GB2312" w:cs="仿宋_GB2312"/>
                <w:kern w:val="0"/>
              </w:rPr>
              <w:t>（固定资产利用率）］</w:t>
            </w:r>
            <w:r>
              <w:rPr>
                <w:rFonts w:ascii="仿宋_GB2312" w:hAnsi="新宋体" w:eastAsia="仿宋_GB2312" w:cs="仿宋_GB2312"/>
                <w:kern w:val="0"/>
              </w:rPr>
              <w:t>/</w:t>
            </w:r>
            <w:r>
              <w:rPr>
                <w:rFonts w:hint="eastAsia" w:ascii="仿宋_GB2312" w:hAnsi="新宋体" w:eastAsia="仿宋_GB2312" w:cs="仿宋_GB2312"/>
                <w:kern w:val="0"/>
              </w:rPr>
              <w:t>［</w:t>
            </w:r>
            <w:r>
              <w:rPr>
                <w:rFonts w:ascii="仿宋_GB2312" w:hAnsi="新宋体" w:eastAsia="仿宋_GB2312" w:cs="仿宋_GB2312"/>
                <w:kern w:val="0"/>
              </w:rPr>
              <w:t>max</w:t>
            </w:r>
            <w:r>
              <w:rPr>
                <w:rFonts w:hint="eastAsia" w:ascii="仿宋_GB2312" w:hAnsi="新宋体" w:eastAsia="仿宋_GB2312" w:cs="仿宋_GB2312"/>
                <w:kern w:val="0"/>
              </w:rPr>
              <w:t>（固定资产利用率）</w:t>
            </w:r>
            <w:r>
              <w:rPr>
                <w:rFonts w:ascii="仿宋_GB2312" w:hAnsi="新宋体" w:eastAsia="仿宋_GB2312" w:cs="仿宋_GB2312"/>
                <w:kern w:val="0"/>
              </w:rPr>
              <w:t>-min</w:t>
            </w:r>
            <w:r>
              <w:rPr>
                <w:rFonts w:hint="eastAsia" w:ascii="仿宋_GB2312" w:hAnsi="新宋体" w:eastAsia="仿宋_GB2312" w:cs="仿宋_GB2312"/>
                <w:kern w:val="0"/>
              </w:rPr>
              <w:t>（固定资产利用率）］×该指标分值。</w:t>
            </w:r>
          </w:p>
        </w:tc>
        <w:tc>
          <w:tcPr>
            <w:tcW w:w="765" w:type="dxa"/>
            <w:tcBorders>
              <w:top w:val="single" w:color="auto" w:sz="4" w:space="0"/>
              <w:left w:val="single" w:color="auto" w:sz="4" w:space="0"/>
            </w:tcBorders>
            <w:vAlign w:val="center"/>
          </w:tcPr>
          <w:p>
            <w:pPr>
              <w:widowControl/>
              <w:spacing w:line="240" w:lineRule="exact"/>
              <w:jc w:val="center"/>
            </w:pPr>
            <w: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0" w:hRule="atLeast"/>
        </w:trPr>
        <w:tc>
          <w:tcPr>
            <w:tcW w:w="795" w:type="dxa"/>
            <w:vMerge w:val="restart"/>
            <w:vAlign w:val="center"/>
          </w:tcPr>
          <w:p>
            <w:pPr>
              <w:widowControl/>
              <w:spacing w:line="240" w:lineRule="exact"/>
              <w:jc w:val="left"/>
              <w:rPr>
                <w:rFonts w:cs="Times New Roman"/>
              </w:rPr>
            </w:pPr>
            <w:r>
              <w:rPr>
                <w:rFonts w:hint="eastAsia" w:ascii="仿宋_GB2312" w:hAnsi="新宋体" w:eastAsia="仿宋_GB2312" w:cs="仿宋_GB2312"/>
                <w:kern w:val="0"/>
              </w:rPr>
              <w:t>产出</w:t>
            </w:r>
            <w:r>
              <w:rPr>
                <w:rFonts w:ascii="仿宋_GB2312" w:hAnsi="新宋体" w:eastAsia="仿宋_GB2312" w:cs="仿宋_GB2312"/>
                <w:kern w:val="0"/>
              </w:rPr>
              <w:t>(25</w:t>
            </w:r>
            <w:r>
              <w:rPr>
                <w:rFonts w:hint="eastAsia" w:ascii="仿宋_GB2312" w:hAnsi="新宋体" w:eastAsia="仿宋_GB2312" w:cs="仿宋_GB2312"/>
                <w:kern w:val="0"/>
              </w:rPr>
              <w:t>分</w:t>
            </w:r>
            <w:r>
              <w:rPr>
                <w:rFonts w:ascii="仿宋_GB2312" w:hAnsi="新宋体" w:eastAsia="仿宋_GB2312" w:cs="仿宋_GB2312"/>
                <w:kern w:val="0"/>
              </w:rPr>
              <w:t>)</w:t>
            </w:r>
          </w:p>
        </w:tc>
        <w:tc>
          <w:tcPr>
            <w:tcW w:w="765" w:type="dxa"/>
            <w:vMerge w:val="restart"/>
            <w:vAlign w:val="center"/>
          </w:tcPr>
          <w:p>
            <w:pPr>
              <w:widowControl/>
              <w:spacing w:line="240" w:lineRule="exact"/>
              <w:jc w:val="left"/>
              <w:rPr>
                <w:rFonts w:cs="Times New Roman"/>
              </w:rPr>
            </w:pPr>
            <w:r>
              <w:rPr>
                <w:rFonts w:hint="eastAsia" w:ascii="仿宋_GB2312" w:hAnsi="新宋体" w:eastAsia="仿宋_GB2312" w:cs="仿宋_GB2312"/>
                <w:kern w:val="0"/>
              </w:rPr>
              <w:t>职责履行情况（</w:t>
            </w:r>
            <w:r>
              <w:rPr>
                <w:rFonts w:ascii="仿宋_GB2312" w:hAnsi="新宋体" w:eastAsia="仿宋_GB2312" w:cs="仿宋_GB2312"/>
                <w:kern w:val="0"/>
              </w:rPr>
              <w:t>25</w:t>
            </w:r>
            <w:r>
              <w:rPr>
                <w:rFonts w:hint="eastAsia" w:ascii="仿宋_GB2312" w:hAnsi="新宋体" w:eastAsia="仿宋_GB2312" w:cs="仿宋_GB2312"/>
                <w:kern w:val="0"/>
              </w:rPr>
              <w:t>）</w:t>
            </w:r>
          </w:p>
        </w:tc>
        <w:tc>
          <w:tcPr>
            <w:tcW w:w="990" w:type="dxa"/>
            <w:tcBorders>
              <w:bottom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履职完成情况（</w:t>
            </w:r>
            <w:r>
              <w:rPr>
                <w:rFonts w:ascii="仿宋_GB2312" w:hAnsi="新宋体" w:eastAsia="仿宋_GB2312" w:cs="仿宋_GB2312"/>
                <w:kern w:val="0"/>
              </w:rPr>
              <w:t>10</w:t>
            </w:r>
            <w:r>
              <w:rPr>
                <w:rFonts w:hint="eastAsia" w:ascii="仿宋_GB2312" w:hAnsi="新宋体" w:eastAsia="仿宋_GB2312" w:cs="仿宋_GB2312"/>
                <w:kern w:val="0"/>
              </w:rPr>
              <w:t>分）</w:t>
            </w:r>
          </w:p>
        </w:tc>
        <w:tc>
          <w:tcPr>
            <w:tcW w:w="3975" w:type="dxa"/>
            <w:tcBorders>
              <w:left w:val="single" w:color="auto" w:sz="4" w:space="0"/>
              <w:bottom w:val="single" w:color="auto" w:sz="4" w:space="0"/>
              <w:right w:val="single" w:color="auto" w:sz="4" w:space="0"/>
            </w:tcBorders>
            <w:vAlign w:val="center"/>
          </w:tcPr>
          <w:p>
            <w:pPr>
              <w:widowControl/>
              <w:spacing w:line="240" w:lineRule="exact"/>
              <w:jc w:val="left"/>
              <w:textAlignment w:val="center"/>
              <w:rPr>
                <w:rFonts w:cs="Times New Roman"/>
              </w:rPr>
            </w:pPr>
            <w:r>
              <w:rPr>
                <w:rFonts w:hint="eastAsia" w:ascii="仿宋" w:hAnsi="仿宋" w:eastAsia="仿宋" w:cs="仿宋"/>
                <w:color w:val="000000"/>
                <w:kern w:val="0"/>
              </w:rPr>
              <w:t>根据年度主要任务分解表</w:t>
            </w:r>
            <w:bookmarkStart w:id="0" w:name="_GoBack"/>
            <w:bookmarkEnd w:id="0"/>
            <w:r>
              <w:rPr>
                <w:rFonts w:hint="eastAsia" w:ascii="仿宋" w:hAnsi="仿宋" w:eastAsia="仿宋" w:cs="仿宋"/>
                <w:color w:val="000000"/>
                <w:kern w:val="0"/>
              </w:rPr>
              <w:t>的具体任务，逐项评价任务量化指标完成情况、实施效果和责任制建立情况。用以反映和考核部门（单位）履职工作任务目标的完成情况。评价要点：</w:t>
            </w:r>
            <w:r>
              <w:rPr>
                <w:rFonts w:ascii="仿宋" w:hAnsi="仿宋" w:eastAsia="仿宋" w:cs="Times New Roman"/>
                <w:color w:val="000000"/>
                <w:kern w:val="0"/>
              </w:rPr>
              <w:br w:type="textWrapping"/>
            </w:r>
            <w:r>
              <w:rPr>
                <w:rFonts w:ascii="仿宋" w:hAnsi="仿宋" w:eastAsia="仿宋" w:cs="仿宋"/>
                <w:color w:val="000000"/>
                <w:kern w:val="0"/>
              </w:rPr>
              <w:t>1.</w:t>
            </w:r>
            <w:r>
              <w:rPr>
                <w:rFonts w:hint="eastAsia" w:ascii="仿宋" w:hAnsi="仿宋" w:eastAsia="仿宋" w:cs="仿宋"/>
                <w:color w:val="000000"/>
                <w:kern w:val="0"/>
              </w:rPr>
              <w:t>每项任务是否已制定了明确、具体、可量化、可衡量的绩效指标；</w:t>
            </w:r>
            <w:r>
              <w:rPr>
                <w:rFonts w:ascii="仿宋" w:hAnsi="仿宋" w:eastAsia="仿宋" w:cs="仿宋"/>
                <w:color w:val="000000"/>
                <w:kern w:val="0"/>
              </w:rPr>
              <w:t xml:space="preserve">           </w:t>
            </w:r>
            <w:r>
              <w:rPr>
                <w:rFonts w:ascii="仿宋" w:hAnsi="仿宋" w:eastAsia="仿宋" w:cs="仿宋"/>
                <w:color w:val="000000"/>
                <w:kern w:val="0"/>
              </w:rPr>
              <w:br w:type="textWrapping"/>
            </w:r>
            <w:r>
              <w:rPr>
                <w:rFonts w:ascii="仿宋" w:hAnsi="仿宋" w:eastAsia="仿宋" w:cs="仿宋"/>
                <w:color w:val="000000"/>
                <w:kern w:val="0"/>
              </w:rPr>
              <w:t>2.</w:t>
            </w:r>
            <w:r>
              <w:rPr>
                <w:rFonts w:hint="eastAsia" w:ascii="仿宋" w:hAnsi="仿宋" w:eastAsia="仿宋" w:cs="仿宋"/>
                <w:color w:val="000000"/>
                <w:kern w:val="0"/>
              </w:rPr>
              <w:t>每项任务绩效指标的完成情况，是全部完成、基本完成、未完成，还是未实施；</w:t>
            </w:r>
            <w:r>
              <w:rPr>
                <w:rFonts w:ascii="仿宋" w:hAnsi="仿宋" w:eastAsia="仿宋" w:cs="Times New Roman"/>
                <w:color w:val="000000"/>
                <w:kern w:val="0"/>
              </w:rPr>
              <w:br w:type="textWrapping"/>
            </w:r>
            <w:r>
              <w:rPr>
                <w:rFonts w:ascii="仿宋" w:hAnsi="仿宋" w:eastAsia="仿宋" w:cs="仿宋"/>
                <w:color w:val="000000"/>
                <w:kern w:val="0"/>
              </w:rPr>
              <w:t>3.</w:t>
            </w:r>
            <w:r>
              <w:rPr>
                <w:rFonts w:hint="eastAsia" w:ascii="仿宋" w:hAnsi="仿宋" w:eastAsia="仿宋" w:cs="仿宋"/>
                <w:color w:val="000000"/>
                <w:kern w:val="0"/>
              </w:rPr>
              <w:t>每项任务实施效果情况，是优秀、良好、一般，还是无效果；</w:t>
            </w:r>
            <w:r>
              <w:rPr>
                <w:rFonts w:ascii="仿宋" w:hAnsi="仿宋" w:eastAsia="仿宋" w:cs="Times New Roman"/>
                <w:color w:val="000000"/>
                <w:kern w:val="0"/>
              </w:rPr>
              <w:br w:type="textWrapping"/>
            </w:r>
            <w:r>
              <w:rPr>
                <w:rFonts w:ascii="仿宋" w:hAnsi="仿宋" w:eastAsia="仿宋" w:cs="仿宋"/>
                <w:color w:val="000000"/>
                <w:kern w:val="0"/>
              </w:rPr>
              <w:t>4.</w:t>
            </w:r>
            <w:r>
              <w:rPr>
                <w:rFonts w:hint="eastAsia" w:ascii="仿宋" w:hAnsi="仿宋" w:eastAsia="仿宋" w:cs="仿宋"/>
                <w:color w:val="000000"/>
                <w:kern w:val="0"/>
              </w:rPr>
              <w:t>每项任务是否建立了目标责任制，是否落实到具体部门和人员负责。</w:t>
            </w:r>
          </w:p>
        </w:tc>
        <w:tc>
          <w:tcPr>
            <w:tcW w:w="2550" w:type="dxa"/>
            <w:tcBorders>
              <w:left w:val="single" w:color="auto" w:sz="4" w:space="0"/>
              <w:bottom w:val="single" w:color="auto" w:sz="4" w:space="0"/>
              <w:right w:val="single" w:color="auto" w:sz="4" w:space="0"/>
            </w:tcBorders>
            <w:vAlign w:val="center"/>
          </w:tcPr>
          <w:p>
            <w:pPr>
              <w:widowControl/>
              <w:spacing w:line="240" w:lineRule="exact"/>
              <w:jc w:val="left"/>
              <w:textAlignment w:val="center"/>
              <w:rPr>
                <w:rFonts w:cs="Times New Roman"/>
              </w:rPr>
            </w:pPr>
            <w:r>
              <w:rPr>
                <w:rFonts w:hint="eastAsia" w:ascii="仿宋" w:hAnsi="仿宋" w:eastAsia="仿宋" w:cs="仿宋"/>
                <w:color w:val="000000"/>
                <w:kern w:val="0"/>
              </w:rPr>
              <w:t>根据不同部门履职的内容和特点，具体测算部门履职工作任务目标的完成情况。</w:t>
            </w:r>
          </w:p>
        </w:tc>
        <w:tc>
          <w:tcPr>
            <w:tcW w:w="765" w:type="dxa"/>
            <w:tcBorders>
              <w:left w:val="single" w:color="auto" w:sz="4" w:space="0"/>
              <w:bottom w:val="single" w:color="auto" w:sz="4" w:space="0"/>
            </w:tcBorders>
            <w:vAlign w:val="center"/>
          </w:tcPr>
          <w:p>
            <w:pPr>
              <w:widowControl/>
              <w:spacing w:line="240" w:lineRule="exact"/>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0" w:hRule="atLeast"/>
        </w:trPr>
        <w:tc>
          <w:tcPr>
            <w:tcW w:w="795" w:type="dxa"/>
            <w:vMerge w:val="continue"/>
            <w:vAlign w:val="center"/>
          </w:tcPr>
          <w:p>
            <w:pPr>
              <w:spacing w:line="240" w:lineRule="exact"/>
              <w:rPr>
                <w:rFonts w:ascii="宋体" w:cs="Times New Roman"/>
              </w:rPr>
            </w:pPr>
          </w:p>
        </w:tc>
        <w:tc>
          <w:tcPr>
            <w:tcW w:w="765" w:type="dxa"/>
            <w:vMerge w:val="continue"/>
            <w:vAlign w:val="center"/>
          </w:tcPr>
          <w:p>
            <w:pPr>
              <w:spacing w:line="240" w:lineRule="exact"/>
              <w:rPr>
                <w:rFonts w:ascii="宋体" w:cs="Times New Roman"/>
              </w:rPr>
            </w:pPr>
          </w:p>
        </w:tc>
        <w:tc>
          <w:tcPr>
            <w:tcW w:w="990" w:type="dxa"/>
            <w:tcBorders>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项目完成质量达标率（</w:t>
            </w:r>
            <w:r>
              <w:rPr>
                <w:rFonts w:ascii="仿宋_GB2312" w:hAnsi="新宋体" w:eastAsia="仿宋_GB2312" w:cs="仿宋_GB2312"/>
                <w:kern w:val="0"/>
              </w:rPr>
              <w:t>15</w:t>
            </w:r>
            <w:r>
              <w:rPr>
                <w:rFonts w:hint="eastAsia" w:ascii="仿宋_GB2312" w:hAnsi="新宋体" w:eastAsia="仿宋_GB2312" w:cs="仿宋_GB2312"/>
                <w:kern w:val="0"/>
              </w:rPr>
              <w:t>）</w:t>
            </w:r>
          </w:p>
        </w:tc>
        <w:tc>
          <w:tcPr>
            <w:tcW w:w="3975" w:type="dxa"/>
            <w:tcBorders>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部门已完成项目中质量达标项目个数占已完成项目个数的比率</w:t>
            </w:r>
            <w:r>
              <w:rPr>
                <w:rFonts w:ascii="仿宋_GB2312" w:hAnsi="新宋体" w:eastAsia="仿宋_GB2312" w:cs="仿宋_GB2312"/>
                <w:kern w:val="0"/>
              </w:rPr>
              <w:t>,</w:t>
            </w:r>
            <w:r>
              <w:rPr>
                <w:rFonts w:hint="eastAsia" w:ascii="仿宋_GB2312" w:hAnsi="新宋体" w:eastAsia="仿宋_GB2312" w:cs="仿宋_GB2312"/>
                <w:kern w:val="0"/>
              </w:rPr>
              <w:t>用以反映和评价部门履职质量目标的实现程度。</w:t>
            </w:r>
          </w:p>
          <w:p>
            <w:pPr>
              <w:widowControl/>
              <w:spacing w:line="240" w:lineRule="exact"/>
              <w:jc w:val="left"/>
              <w:rPr>
                <w:rFonts w:cs="Times New Roman"/>
              </w:rPr>
            </w:pPr>
            <w:r>
              <w:rPr>
                <w:rFonts w:hint="eastAsia" w:ascii="仿宋_GB2312" w:hAnsi="新宋体" w:eastAsia="仿宋_GB2312" w:cs="仿宋_GB2312"/>
                <w:kern w:val="0"/>
              </w:rPr>
              <w:t>项目质量达标率</w:t>
            </w:r>
            <w:r>
              <w:rPr>
                <w:rFonts w:ascii="仿宋_GB2312" w:hAnsi="新宋体" w:eastAsia="仿宋_GB2312" w:cs="仿宋_GB2312"/>
                <w:kern w:val="0"/>
              </w:rPr>
              <w:t>=</w:t>
            </w:r>
            <w:r>
              <w:rPr>
                <w:rFonts w:hint="eastAsia" w:ascii="仿宋_GB2312" w:hAnsi="新宋体" w:eastAsia="仿宋_GB2312" w:cs="仿宋_GB2312"/>
                <w:kern w:val="0"/>
              </w:rPr>
              <w:t>（已完成项目中质量达标项目个数</w:t>
            </w:r>
            <w:r>
              <w:rPr>
                <w:rFonts w:ascii="仿宋_GB2312" w:hAnsi="新宋体" w:eastAsia="仿宋_GB2312" w:cs="仿宋_GB2312"/>
                <w:kern w:val="0"/>
              </w:rPr>
              <w:t>/</w:t>
            </w:r>
            <w:r>
              <w:rPr>
                <w:rFonts w:hint="eastAsia" w:ascii="仿宋_GB2312" w:hAnsi="新宋体" w:eastAsia="仿宋_GB2312" w:cs="仿宋_GB2312"/>
                <w:kern w:val="0"/>
              </w:rPr>
              <w:t>已完成项目个数）×</w:t>
            </w:r>
            <w:r>
              <w:rPr>
                <w:rFonts w:ascii="仿宋_GB2312" w:hAnsi="新宋体" w:eastAsia="仿宋_GB2312" w:cs="仿宋_GB2312"/>
                <w:kern w:val="0"/>
              </w:rPr>
              <w:t>100%</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项目质量达标是指项目决算验收合格。</w:t>
            </w:r>
          </w:p>
        </w:tc>
        <w:tc>
          <w:tcPr>
            <w:tcW w:w="2550" w:type="dxa"/>
            <w:tcBorders>
              <w:left w:val="single" w:color="auto" w:sz="4" w:space="0"/>
              <w:right w:val="single" w:color="auto" w:sz="4" w:space="0"/>
            </w:tcBorders>
            <w:vAlign w:val="center"/>
          </w:tcPr>
          <w:p>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项目质量达标率等于</w:t>
            </w:r>
            <w:r>
              <w:rPr>
                <w:rFonts w:ascii="仿宋_GB2312" w:hAnsi="新宋体" w:eastAsia="仿宋_GB2312" w:cs="仿宋_GB2312"/>
                <w:kern w:val="0"/>
              </w:rPr>
              <w:t>100%</w:t>
            </w:r>
            <w:r>
              <w:rPr>
                <w:rFonts w:hint="eastAsia" w:ascii="仿宋_GB2312" w:hAnsi="新宋体" w:eastAsia="仿宋_GB2312" w:cs="仿宋_GB2312"/>
                <w:kern w:val="0"/>
              </w:rPr>
              <w:t>的，得满分；</w:t>
            </w:r>
          </w:p>
          <w:p>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项目质量达标率小于或等于</w:t>
            </w:r>
            <w:r>
              <w:rPr>
                <w:rFonts w:ascii="仿宋_GB2312" w:hAnsi="新宋体" w:eastAsia="仿宋_GB2312" w:cs="仿宋_GB2312"/>
                <w:kern w:val="0"/>
              </w:rPr>
              <w:t>99%</w:t>
            </w:r>
            <w:r>
              <w:rPr>
                <w:rFonts w:hint="eastAsia" w:ascii="仿宋_GB2312" w:hAnsi="新宋体" w:eastAsia="仿宋_GB2312" w:cs="仿宋_GB2312"/>
                <w:kern w:val="0"/>
              </w:rPr>
              <w:t>的，得</w:t>
            </w:r>
            <w:r>
              <w:rPr>
                <w:rFonts w:ascii="仿宋_GB2312" w:hAnsi="新宋体" w:eastAsia="仿宋_GB2312" w:cs="仿宋_GB2312"/>
                <w:kern w:val="0"/>
              </w:rPr>
              <w:t>0</w:t>
            </w:r>
            <w:r>
              <w:rPr>
                <w:rFonts w:hint="eastAsia" w:ascii="仿宋_GB2312" w:hAnsi="新宋体" w:eastAsia="仿宋_GB2312" w:cs="仿宋_GB2312"/>
                <w:kern w:val="0"/>
              </w:rPr>
              <w:t>分；</w:t>
            </w:r>
          </w:p>
          <w:p>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项目质量达标率在</w:t>
            </w:r>
            <w:r>
              <w:rPr>
                <w:rFonts w:ascii="仿宋_GB2312" w:hAnsi="新宋体" w:eastAsia="仿宋_GB2312" w:cs="仿宋_GB2312"/>
                <w:kern w:val="0"/>
              </w:rPr>
              <w:t>99%-100%</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和满分之间计算确定：</w:t>
            </w:r>
            <w:r>
              <w:rPr>
                <w:rFonts w:ascii="仿宋_GB2312" w:hAnsi="新宋体" w:eastAsia="仿宋_GB2312" w:cs="仿宋_GB2312"/>
                <w:kern w:val="0"/>
              </w:rPr>
              <w:t xml:space="preserve"> </w:t>
            </w:r>
          </w:p>
          <w:p>
            <w:pPr>
              <w:widowControl/>
              <w:spacing w:line="240" w:lineRule="exact"/>
              <w:jc w:val="left"/>
              <w:rPr>
                <w:rFonts w:cs="Times New Roman"/>
              </w:rPr>
            </w:pPr>
            <w:r>
              <w:rPr>
                <w:rFonts w:hint="eastAsia" w:ascii="仿宋_GB2312" w:hAnsi="新宋体" w:eastAsia="仿宋_GB2312" w:cs="仿宋_GB2312"/>
                <w:kern w:val="0"/>
              </w:rPr>
              <w:t>得分</w:t>
            </w:r>
            <w:r>
              <w:rPr>
                <w:rFonts w:ascii="仿宋_GB2312" w:hAnsi="新宋体" w:eastAsia="仿宋_GB2312" w:cs="仿宋_GB2312"/>
                <w:kern w:val="0"/>
              </w:rPr>
              <w:t>=</w:t>
            </w:r>
            <w:r>
              <w:rPr>
                <w:rFonts w:hint="eastAsia" w:ascii="仿宋_GB2312" w:hAnsi="新宋体" w:eastAsia="仿宋_GB2312" w:cs="仿宋_GB2312"/>
                <w:kern w:val="0"/>
              </w:rPr>
              <w:t>［某部门项目质量达标率</w:t>
            </w:r>
            <w:r>
              <w:rPr>
                <w:rFonts w:ascii="仿宋_GB2312" w:hAnsi="新宋体" w:eastAsia="仿宋_GB2312" w:cs="仿宋_GB2312"/>
                <w:kern w:val="0"/>
              </w:rPr>
              <w:t>-min</w:t>
            </w:r>
            <w:r>
              <w:rPr>
                <w:rFonts w:hint="eastAsia" w:ascii="仿宋_GB2312" w:hAnsi="新宋体" w:eastAsia="仿宋_GB2312" w:cs="仿宋_GB2312"/>
                <w:kern w:val="0"/>
              </w:rPr>
              <w:t>（项目质量达标率）］</w:t>
            </w:r>
            <w:r>
              <w:rPr>
                <w:rFonts w:ascii="仿宋_GB2312" w:hAnsi="新宋体" w:eastAsia="仿宋_GB2312" w:cs="仿宋_GB2312"/>
                <w:kern w:val="0"/>
              </w:rPr>
              <w:t>/</w:t>
            </w:r>
            <w:r>
              <w:rPr>
                <w:rFonts w:hint="eastAsia" w:ascii="仿宋_GB2312" w:hAnsi="新宋体" w:eastAsia="仿宋_GB2312" w:cs="仿宋_GB2312"/>
                <w:kern w:val="0"/>
              </w:rPr>
              <w:t>［</w:t>
            </w:r>
            <w:r>
              <w:rPr>
                <w:rFonts w:ascii="仿宋_GB2312" w:hAnsi="新宋体" w:eastAsia="仿宋_GB2312" w:cs="仿宋_GB2312"/>
                <w:kern w:val="0"/>
              </w:rPr>
              <w:t>max</w:t>
            </w:r>
            <w:r>
              <w:rPr>
                <w:rFonts w:hint="eastAsia" w:ascii="仿宋_GB2312" w:hAnsi="新宋体" w:eastAsia="仿宋_GB2312" w:cs="仿宋_GB2312"/>
                <w:kern w:val="0"/>
              </w:rPr>
              <w:t>（项目质量达标率）</w:t>
            </w:r>
            <w:r>
              <w:rPr>
                <w:rFonts w:ascii="仿宋_GB2312" w:hAnsi="新宋体" w:eastAsia="仿宋_GB2312" w:cs="仿宋_GB2312"/>
                <w:kern w:val="0"/>
              </w:rPr>
              <w:t>-min</w:t>
            </w:r>
            <w:r>
              <w:rPr>
                <w:rFonts w:hint="eastAsia" w:ascii="仿宋_GB2312" w:hAnsi="新宋体" w:eastAsia="仿宋_GB2312" w:cs="仿宋_GB2312"/>
                <w:kern w:val="0"/>
              </w:rPr>
              <w:t>（项目质量达标率）］×该指标分值。</w:t>
            </w:r>
          </w:p>
        </w:tc>
        <w:tc>
          <w:tcPr>
            <w:tcW w:w="765" w:type="dxa"/>
            <w:tcBorders>
              <w:left w:val="single" w:color="auto" w:sz="4" w:space="0"/>
              <w:bottom w:val="single" w:color="auto" w:sz="4" w:space="0"/>
            </w:tcBorders>
            <w:vAlign w:val="center"/>
          </w:tcPr>
          <w:p>
            <w:pPr>
              <w:widowControl/>
              <w:spacing w:line="240" w:lineRule="exact"/>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95" w:type="dxa"/>
            <w:vMerge w:val="restart"/>
            <w:vAlign w:val="center"/>
          </w:tcPr>
          <w:p>
            <w:pPr>
              <w:widowControl/>
              <w:spacing w:line="240" w:lineRule="exact"/>
              <w:jc w:val="left"/>
              <w:rPr>
                <w:rFonts w:cs="Times New Roman"/>
              </w:rPr>
            </w:pPr>
            <w:r>
              <w:rPr>
                <w:rFonts w:hint="eastAsia" w:ascii="仿宋_GB2312" w:hAnsi="新宋体" w:eastAsia="仿宋_GB2312" w:cs="仿宋_GB2312"/>
                <w:kern w:val="0"/>
              </w:rPr>
              <w:t>效果（</w:t>
            </w:r>
            <w:r>
              <w:rPr>
                <w:rFonts w:ascii="仿宋_GB2312" w:hAnsi="新宋体" w:eastAsia="仿宋_GB2312" w:cs="仿宋_GB2312"/>
                <w:kern w:val="0"/>
              </w:rPr>
              <w:t>20</w:t>
            </w:r>
            <w:r>
              <w:rPr>
                <w:rFonts w:hint="eastAsia" w:ascii="仿宋_GB2312" w:hAnsi="新宋体" w:eastAsia="仿宋_GB2312" w:cs="仿宋_GB2312"/>
                <w:kern w:val="0"/>
              </w:rPr>
              <w:t>分）</w:t>
            </w:r>
          </w:p>
        </w:tc>
        <w:tc>
          <w:tcPr>
            <w:tcW w:w="765" w:type="dxa"/>
            <w:vMerge w:val="restart"/>
            <w:tcBorders>
              <w:top w:val="single" w:color="auto" w:sz="4" w:space="0"/>
            </w:tcBorders>
            <w:vAlign w:val="center"/>
          </w:tcPr>
          <w:p>
            <w:pPr>
              <w:widowControl/>
              <w:spacing w:line="240" w:lineRule="exact"/>
              <w:jc w:val="left"/>
              <w:rPr>
                <w:rFonts w:ascii="仿宋_GB2312" w:hAnsi="新宋体" w:eastAsia="仿宋_GB2312" w:cs="Times New Roman"/>
                <w:kern w:val="0"/>
              </w:rPr>
            </w:pPr>
          </w:p>
          <w:p>
            <w:pPr>
              <w:widowControl/>
              <w:spacing w:line="240" w:lineRule="exact"/>
              <w:jc w:val="left"/>
              <w:rPr>
                <w:rFonts w:ascii="仿宋_GB2312" w:hAnsi="新宋体" w:eastAsia="仿宋_GB2312" w:cs="Times New Roman"/>
                <w:kern w:val="0"/>
              </w:rPr>
            </w:pPr>
            <w:r>
              <w:rPr>
                <w:rFonts w:hint="eastAsia" w:ascii="仿宋_GB2312" w:hAnsi="新宋体" w:eastAsia="仿宋_GB2312" w:cs="仿宋_GB2312"/>
                <w:kern w:val="0"/>
              </w:rPr>
              <w:t>履职效益情况</w:t>
            </w:r>
          </w:p>
          <w:p>
            <w:pPr>
              <w:widowControl/>
              <w:spacing w:line="240" w:lineRule="exact"/>
              <w:jc w:val="left"/>
              <w:rPr>
                <w:rFonts w:ascii="仿宋_GB2312" w:hAnsi="新宋体" w:eastAsia="仿宋_GB2312" w:cs="Times New Roman"/>
                <w:kern w:val="0"/>
              </w:rPr>
            </w:pPr>
            <w:r>
              <w:rPr>
                <w:rFonts w:hint="eastAsia" w:ascii="仿宋_GB2312" w:hAnsi="新宋体" w:eastAsia="仿宋_GB2312" w:cs="仿宋_GB2312"/>
                <w:kern w:val="0"/>
              </w:rPr>
              <w:t>（</w:t>
            </w:r>
            <w:r>
              <w:rPr>
                <w:rFonts w:ascii="仿宋_GB2312" w:hAnsi="新宋体" w:eastAsia="仿宋_GB2312" w:cs="仿宋_GB2312"/>
                <w:kern w:val="0"/>
              </w:rPr>
              <w:t>20</w:t>
            </w:r>
            <w:r>
              <w:rPr>
                <w:rFonts w:hint="eastAsia" w:ascii="仿宋_GB2312" w:hAnsi="新宋体" w:eastAsia="仿宋_GB2312" w:cs="仿宋_GB2312"/>
                <w:kern w:val="0"/>
              </w:rPr>
              <w:t>分）</w:t>
            </w:r>
          </w:p>
        </w:tc>
        <w:tc>
          <w:tcPr>
            <w:tcW w:w="990" w:type="dxa"/>
            <w:tcBorders>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color w:val="000000"/>
                <w:kern w:val="0"/>
              </w:rPr>
              <w:t>经济效益</w:t>
            </w:r>
            <w:r>
              <w:rPr>
                <w:rFonts w:hint="eastAsia" w:ascii="仿宋_GB2312" w:hAnsi="新宋体" w:eastAsia="仿宋_GB2312" w:cs="仿宋_GB2312"/>
                <w:kern w:val="0"/>
              </w:rPr>
              <w:t>（</w:t>
            </w:r>
            <w:r>
              <w:rPr>
                <w:rFonts w:ascii="仿宋_GB2312" w:hAnsi="新宋体" w:eastAsia="仿宋_GB2312" w:cs="仿宋_GB2312"/>
                <w:kern w:val="0"/>
              </w:rPr>
              <w:t>5</w:t>
            </w:r>
            <w:r>
              <w:rPr>
                <w:rFonts w:hint="eastAsia" w:ascii="仿宋_GB2312" w:hAnsi="新宋体" w:eastAsia="仿宋_GB2312" w:cs="仿宋_GB2312"/>
                <w:kern w:val="0"/>
              </w:rPr>
              <w:t>分）</w:t>
            </w:r>
          </w:p>
        </w:tc>
        <w:tc>
          <w:tcPr>
            <w:tcW w:w="3975" w:type="dxa"/>
            <w:tcBorders>
              <w:left w:val="single" w:color="auto" w:sz="4" w:space="0"/>
              <w:right w:val="single" w:color="auto" w:sz="4" w:space="0"/>
            </w:tcBorders>
            <w:vAlign w:val="center"/>
          </w:tcPr>
          <w:p>
            <w:pPr>
              <w:widowControl/>
              <w:spacing w:line="240" w:lineRule="exact"/>
              <w:jc w:val="left"/>
              <w:textAlignment w:val="center"/>
              <w:rPr>
                <w:rFonts w:ascii="仿宋" w:hAnsi="仿宋" w:eastAsia="仿宋" w:cs="Times New Roman"/>
                <w:color w:val="000000"/>
                <w:kern w:val="0"/>
              </w:rPr>
            </w:pPr>
            <w:r>
              <w:rPr>
                <w:rFonts w:hint="eastAsia" w:ascii="仿宋" w:hAnsi="仿宋" w:eastAsia="仿宋" w:cs="仿宋"/>
                <w:color w:val="000000"/>
                <w:kern w:val="0"/>
              </w:rPr>
              <w:t>部门及所属二级单位通过履行职责和预算安排支出项目的实施，对我市带来的经济影响。</w:t>
            </w:r>
          </w:p>
          <w:p>
            <w:pPr>
              <w:widowControl/>
              <w:spacing w:line="240" w:lineRule="exact"/>
              <w:jc w:val="left"/>
              <w:textAlignment w:val="center"/>
              <w:rPr>
                <w:rFonts w:ascii="仿宋" w:hAnsi="仿宋" w:eastAsia="仿宋" w:cs="Times New Roman"/>
              </w:rPr>
            </w:pPr>
            <w:r>
              <w:rPr>
                <w:rFonts w:hint="eastAsia" w:ascii="仿宋" w:hAnsi="仿宋" w:eastAsia="仿宋" w:cs="仿宋"/>
                <w:color w:val="000000"/>
                <w:kern w:val="0"/>
              </w:rPr>
              <w:t>评价要点：</w:t>
            </w:r>
            <w:r>
              <w:rPr>
                <w:rFonts w:ascii="仿宋" w:hAnsi="仿宋" w:eastAsia="仿宋" w:cs="Times New Roman"/>
                <w:color w:val="000000"/>
                <w:kern w:val="0"/>
              </w:rPr>
              <w:br w:type="textWrapping"/>
            </w:r>
            <w:r>
              <w:rPr>
                <w:rFonts w:ascii="仿宋" w:hAnsi="仿宋" w:eastAsia="仿宋" w:cs="仿宋"/>
                <w:color w:val="000000"/>
                <w:kern w:val="0"/>
              </w:rPr>
              <w:t>1.</w:t>
            </w:r>
            <w:r>
              <w:rPr>
                <w:rFonts w:hint="eastAsia" w:ascii="仿宋" w:hAnsi="仿宋" w:eastAsia="仿宋" w:cs="仿宋"/>
                <w:color w:val="000000"/>
                <w:kern w:val="0"/>
              </w:rPr>
              <w:t>通过部门所属企事业单位改革，促进了企事业单位效益增长情况；</w:t>
            </w:r>
            <w:r>
              <w:rPr>
                <w:rFonts w:ascii="仿宋" w:hAnsi="仿宋" w:eastAsia="仿宋" w:cs="仿宋"/>
                <w:color w:val="000000"/>
                <w:kern w:val="0"/>
              </w:rPr>
              <w:t xml:space="preserve">          </w:t>
            </w:r>
            <w:r>
              <w:rPr>
                <w:rFonts w:ascii="仿宋" w:hAnsi="仿宋" w:eastAsia="仿宋" w:cs="仿宋"/>
                <w:color w:val="000000"/>
                <w:kern w:val="0"/>
              </w:rPr>
              <w:br w:type="textWrapping"/>
            </w:r>
            <w:r>
              <w:rPr>
                <w:rFonts w:ascii="仿宋" w:hAnsi="仿宋" w:eastAsia="仿宋" w:cs="仿宋"/>
                <w:color w:val="000000"/>
                <w:kern w:val="0"/>
              </w:rPr>
              <w:t>2.</w:t>
            </w:r>
            <w:r>
              <w:rPr>
                <w:rFonts w:hint="eastAsia" w:ascii="仿宋" w:hAnsi="仿宋" w:eastAsia="仿宋" w:cs="仿宋"/>
                <w:color w:val="000000"/>
                <w:kern w:val="0"/>
              </w:rPr>
              <w:t>通过预算支出项目的实施，促进了行业生产能力增长，从而带动行业经济效益增长；</w:t>
            </w:r>
            <w:r>
              <w:rPr>
                <w:rFonts w:ascii="仿宋" w:hAnsi="仿宋" w:eastAsia="仿宋" w:cs="Times New Roman"/>
                <w:color w:val="000000"/>
                <w:kern w:val="0"/>
              </w:rPr>
              <w:br w:type="textWrapping"/>
            </w:r>
            <w:r>
              <w:rPr>
                <w:rFonts w:ascii="仿宋" w:hAnsi="仿宋" w:eastAsia="仿宋" w:cs="仿宋"/>
                <w:color w:val="000000"/>
                <w:kern w:val="0"/>
              </w:rPr>
              <w:t>3.</w:t>
            </w:r>
            <w:r>
              <w:rPr>
                <w:rFonts w:hint="eastAsia" w:ascii="仿宋" w:hAnsi="仿宋" w:eastAsia="仿宋" w:cs="仿宋"/>
                <w:color w:val="000000"/>
                <w:kern w:val="0"/>
              </w:rPr>
              <w:t>通过预算支出项目的实施，有效提高劳动效率，节约成本费用；</w:t>
            </w:r>
            <w:r>
              <w:rPr>
                <w:rFonts w:ascii="仿宋" w:hAnsi="仿宋" w:eastAsia="仿宋" w:cs="Times New Roman"/>
                <w:color w:val="000000"/>
                <w:kern w:val="0"/>
              </w:rPr>
              <w:br w:type="textWrapping"/>
            </w:r>
            <w:r>
              <w:rPr>
                <w:rFonts w:ascii="仿宋" w:hAnsi="仿宋" w:eastAsia="仿宋" w:cs="仿宋"/>
                <w:color w:val="000000"/>
                <w:kern w:val="0"/>
              </w:rPr>
              <w:t>4.</w:t>
            </w:r>
            <w:r>
              <w:rPr>
                <w:rFonts w:hint="eastAsia" w:ascii="仿宋" w:hAnsi="仿宋" w:eastAsia="仿宋" w:cs="仿宋"/>
                <w:color w:val="000000"/>
                <w:kern w:val="0"/>
              </w:rPr>
              <w:t>通过预算支出项目的实施，降低了损耗，从而提高了生产效益；</w:t>
            </w:r>
            <w:r>
              <w:rPr>
                <w:rFonts w:ascii="仿宋" w:hAnsi="仿宋" w:eastAsia="仿宋" w:cs="Times New Roman"/>
                <w:color w:val="000000"/>
                <w:kern w:val="0"/>
              </w:rPr>
              <w:br w:type="textWrapping"/>
            </w:r>
            <w:r>
              <w:rPr>
                <w:rFonts w:ascii="仿宋" w:hAnsi="仿宋" w:eastAsia="仿宋" w:cs="仿宋"/>
                <w:color w:val="000000"/>
                <w:kern w:val="0"/>
              </w:rPr>
              <w:t>5.</w:t>
            </w:r>
            <w:r>
              <w:rPr>
                <w:rFonts w:hint="eastAsia" w:ascii="仿宋" w:hAnsi="仿宋" w:eastAsia="仿宋" w:cs="仿宋"/>
                <w:color w:val="000000"/>
                <w:kern w:val="0"/>
              </w:rPr>
              <w:t>通过预算支出项目的实施，完善了突发情况的监测预警，保障了生产安全，降低了生产损失。</w:t>
            </w:r>
          </w:p>
        </w:tc>
        <w:tc>
          <w:tcPr>
            <w:tcW w:w="2550" w:type="dxa"/>
            <w:tcBorders>
              <w:left w:val="single" w:color="auto" w:sz="4" w:space="0"/>
              <w:right w:val="single" w:color="auto" w:sz="4" w:space="0"/>
            </w:tcBorders>
            <w:vAlign w:val="center"/>
          </w:tcPr>
          <w:p>
            <w:pPr>
              <w:widowControl/>
              <w:spacing w:line="240" w:lineRule="exact"/>
              <w:jc w:val="left"/>
              <w:textAlignment w:val="center"/>
              <w:rPr>
                <w:rFonts w:ascii="仿宋" w:hAnsi="仿宋" w:eastAsia="仿宋" w:cs="Times New Roman"/>
              </w:rPr>
            </w:pPr>
            <w:r>
              <w:rPr>
                <w:rFonts w:hint="eastAsia" w:ascii="仿宋" w:hAnsi="仿宋" w:eastAsia="仿宋" w:cs="仿宋"/>
                <w:color w:val="000000"/>
                <w:kern w:val="0"/>
              </w:rPr>
              <w:t>根据不同部门履职的内容和特点，具体测算部门履职产生的经济效益。</w:t>
            </w:r>
          </w:p>
        </w:tc>
        <w:tc>
          <w:tcPr>
            <w:tcW w:w="765" w:type="dxa"/>
            <w:tcBorders>
              <w:left w:val="single" w:color="auto" w:sz="4" w:space="0"/>
            </w:tcBorders>
            <w:vAlign w:val="center"/>
          </w:tcPr>
          <w:p>
            <w:pPr>
              <w:widowControl/>
              <w:spacing w:line="240" w:lineRule="exact"/>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95" w:type="dxa"/>
            <w:vMerge w:val="continue"/>
            <w:vAlign w:val="center"/>
          </w:tcPr>
          <w:p>
            <w:pPr>
              <w:widowControl/>
              <w:spacing w:line="240" w:lineRule="exact"/>
              <w:jc w:val="left"/>
              <w:rPr>
                <w:rFonts w:ascii="仿宋_GB2312" w:hAnsi="新宋体" w:eastAsia="仿宋_GB2312" w:cs="Times New Roman"/>
                <w:kern w:val="0"/>
              </w:rPr>
            </w:pPr>
          </w:p>
        </w:tc>
        <w:tc>
          <w:tcPr>
            <w:tcW w:w="765" w:type="dxa"/>
            <w:vMerge w:val="continue"/>
            <w:vAlign w:val="center"/>
          </w:tcPr>
          <w:p>
            <w:pPr>
              <w:widowControl/>
              <w:spacing w:line="240" w:lineRule="exact"/>
              <w:jc w:val="left"/>
              <w:rPr>
                <w:rFonts w:ascii="仿宋_GB2312" w:hAnsi="新宋体" w:eastAsia="仿宋_GB2312" w:cs="Times New Roman"/>
                <w:kern w:val="0"/>
              </w:rPr>
            </w:pPr>
          </w:p>
        </w:tc>
        <w:tc>
          <w:tcPr>
            <w:tcW w:w="990" w:type="dxa"/>
            <w:tcBorders>
              <w:right w:val="single" w:color="auto" w:sz="4" w:space="0"/>
            </w:tcBorders>
            <w:vAlign w:val="center"/>
          </w:tcPr>
          <w:p>
            <w:pPr>
              <w:widowControl/>
              <w:spacing w:line="240" w:lineRule="exact"/>
              <w:rPr>
                <w:rFonts w:ascii="仿宋_GB2312" w:hAnsi="新宋体" w:eastAsia="仿宋_GB2312" w:cs="Times New Roman"/>
                <w:color w:val="000000"/>
                <w:kern w:val="0"/>
              </w:rPr>
            </w:pPr>
            <w:r>
              <w:rPr>
                <w:rFonts w:hint="eastAsia" w:ascii="仿宋_GB2312" w:hAnsi="新宋体" w:eastAsia="仿宋_GB2312" w:cs="仿宋_GB2312"/>
                <w:color w:val="000000"/>
                <w:kern w:val="0"/>
              </w:rPr>
              <w:t>社会效益（</w:t>
            </w:r>
            <w:r>
              <w:rPr>
                <w:rFonts w:ascii="仿宋_GB2312" w:hAnsi="新宋体" w:eastAsia="仿宋_GB2312" w:cs="仿宋_GB2312"/>
                <w:color w:val="000000"/>
                <w:kern w:val="0"/>
              </w:rPr>
              <w:t>5</w:t>
            </w:r>
            <w:r>
              <w:rPr>
                <w:rFonts w:hint="eastAsia" w:ascii="仿宋_GB2312" w:hAnsi="新宋体" w:eastAsia="仿宋_GB2312" w:cs="仿宋_GB2312"/>
                <w:color w:val="000000"/>
                <w:kern w:val="0"/>
              </w:rPr>
              <w:t>分）</w:t>
            </w:r>
          </w:p>
        </w:tc>
        <w:tc>
          <w:tcPr>
            <w:tcW w:w="3975" w:type="dxa"/>
            <w:tcBorders>
              <w:left w:val="single" w:color="auto" w:sz="4" w:space="0"/>
              <w:right w:val="single" w:color="auto" w:sz="4" w:space="0"/>
            </w:tcBorders>
            <w:vAlign w:val="center"/>
          </w:tcPr>
          <w:p>
            <w:pPr>
              <w:widowControl/>
              <w:spacing w:line="240" w:lineRule="exact"/>
              <w:textAlignment w:val="center"/>
              <w:rPr>
                <w:rFonts w:ascii="仿宋" w:hAnsi="仿宋" w:eastAsia="仿宋" w:cs="Times New Roman"/>
                <w:color w:val="000000"/>
                <w:kern w:val="0"/>
              </w:rPr>
            </w:pPr>
            <w:r>
              <w:rPr>
                <w:rFonts w:hint="eastAsia" w:ascii="仿宋" w:hAnsi="仿宋" w:eastAsia="仿宋" w:cs="仿宋"/>
                <w:color w:val="000000"/>
                <w:kern w:val="0"/>
              </w:rPr>
              <w:t>部门及所属二级单位履行职责对社会发展所带来的直接或间接影响。</w:t>
            </w:r>
          </w:p>
          <w:p>
            <w:pPr>
              <w:widowControl/>
              <w:spacing w:line="240" w:lineRule="exact"/>
              <w:textAlignment w:val="center"/>
              <w:rPr>
                <w:rFonts w:ascii="仿宋" w:hAnsi="仿宋" w:eastAsia="仿宋" w:cs="Times New Roman"/>
                <w:color w:val="000000"/>
                <w:kern w:val="0"/>
              </w:rPr>
            </w:pPr>
            <w:r>
              <w:rPr>
                <w:rFonts w:hint="eastAsia" w:ascii="仿宋" w:hAnsi="仿宋" w:eastAsia="仿宋" w:cs="仿宋"/>
                <w:color w:val="000000"/>
                <w:kern w:val="0"/>
              </w:rPr>
              <w:t>评价要点：</w:t>
            </w:r>
            <w:r>
              <w:rPr>
                <w:rFonts w:ascii="仿宋" w:hAnsi="仿宋" w:eastAsia="仿宋" w:cs="Times New Roman"/>
                <w:color w:val="000000"/>
                <w:kern w:val="0"/>
              </w:rPr>
              <w:br w:type="textWrapping"/>
            </w:r>
            <w:r>
              <w:rPr>
                <w:rFonts w:ascii="仿宋" w:hAnsi="仿宋" w:eastAsia="仿宋" w:cs="仿宋"/>
                <w:color w:val="000000"/>
                <w:kern w:val="0"/>
              </w:rPr>
              <w:t>1.</w:t>
            </w:r>
            <w:r>
              <w:rPr>
                <w:rFonts w:hint="eastAsia" w:ascii="仿宋" w:hAnsi="仿宋" w:eastAsia="仿宋" w:cs="仿宋"/>
                <w:color w:val="000000"/>
                <w:kern w:val="0"/>
              </w:rPr>
              <w:t>通过部门所属企事业单位的改革，促进了企事业单位可持续发展，带动就业增长情况；</w:t>
            </w:r>
            <w:r>
              <w:rPr>
                <w:rFonts w:ascii="仿宋" w:hAnsi="仿宋" w:eastAsia="仿宋" w:cs="仿宋"/>
                <w:color w:val="000000"/>
                <w:kern w:val="0"/>
              </w:rPr>
              <w:t xml:space="preserve">          </w:t>
            </w:r>
            <w:r>
              <w:rPr>
                <w:rFonts w:ascii="仿宋" w:hAnsi="仿宋" w:eastAsia="仿宋" w:cs="仿宋"/>
                <w:color w:val="000000"/>
                <w:kern w:val="0"/>
              </w:rPr>
              <w:br w:type="textWrapping"/>
            </w:r>
            <w:r>
              <w:rPr>
                <w:rFonts w:ascii="仿宋" w:hAnsi="仿宋" w:eastAsia="仿宋" w:cs="仿宋"/>
                <w:color w:val="000000"/>
                <w:kern w:val="0"/>
              </w:rPr>
              <w:t>2.</w:t>
            </w:r>
            <w:r>
              <w:rPr>
                <w:rFonts w:hint="eastAsia" w:ascii="仿宋" w:hAnsi="仿宋" w:eastAsia="仿宋" w:cs="仿宋"/>
                <w:color w:val="000000"/>
                <w:kern w:val="0"/>
              </w:rPr>
              <w:t>通过预算支出项目的实施，是否明显促进了行业精神文明建设；</w:t>
            </w:r>
            <w:r>
              <w:rPr>
                <w:rFonts w:ascii="仿宋" w:hAnsi="仿宋" w:eastAsia="仿宋" w:cs="Times New Roman"/>
                <w:color w:val="000000"/>
                <w:kern w:val="0"/>
              </w:rPr>
              <w:br w:type="textWrapping"/>
            </w:r>
            <w:r>
              <w:rPr>
                <w:rFonts w:ascii="仿宋" w:hAnsi="仿宋" w:eastAsia="仿宋" w:cs="仿宋"/>
                <w:color w:val="000000"/>
                <w:kern w:val="0"/>
              </w:rPr>
              <w:t>3.</w:t>
            </w:r>
            <w:r>
              <w:rPr>
                <w:rFonts w:hint="eastAsia" w:ascii="仿宋" w:hAnsi="仿宋" w:eastAsia="仿宋" w:cs="仿宋"/>
                <w:color w:val="000000"/>
                <w:kern w:val="0"/>
              </w:rPr>
              <w:t>通过部门履职是否明显提高城乡居民生活水平，满足了人们日益增长的物质与文化生活需求；</w:t>
            </w:r>
            <w:r>
              <w:rPr>
                <w:rFonts w:ascii="仿宋" w:hAnsi="仿宋" w:eastAsia="仿宋" w:cs="Times New Roman"/>
                <w:color w:val="000000"/>
                <w:kern w:val="0"/>
              </w:rPr>
              <w:br w:type="textWrapping"/>
            </w:r>
            <w:r>
              <w:rPr>
                <w:rFonts w:ascii="仿宋" w:hAnsi="仿宋" w:eastAsia="仿宋" w:cs="仿宋"/>
                <w:color w:val="000000"/>
                <w:kern w:val="0"/>
              </w:rPr>
              <w:t>4.</w:t>
            </w:r>
            <w:r>
              <w:rPr>
                <w:rFonts w:hint="eastAsia" w:ascii="仿宋" w:hAnsi="仿宋" w:eastAsia="仿宋" w:cs="仿宋"/>
                <w:color w:val="000000"/>
                <w:kern w:val="0"/>
              </w:rPr>
              <w:t>通过预算项目的实施，是否提高了劳动生产率，降低了劳动强度，促进了劳动人民的身心健康；</w:t>
            </w:r>
            <w:r>
              <w:rPr>
                <w:rFonts w:ascii="仿宋" w:hAnsi="仿宋" w:eastAsia="仿宋" w:cs="Times New Roman"/>
                <w:color w:val="000000"/>
                <w:kern w:val="0"/>
              </w:rPr>
              <w:br w:type="textWrapping"/>
            </w:r>
            <w:r>
              <w:rPr>
                <w:rFonts w:ascii="仿宋" w:hAnsi="仿宋" w:eastAsia="仿宋" w:cs="仿宋"/>
                <w:color w:val="000000"/>
                <w:kern w:val="0"/>
              </w:rPr>
              <w:t>5.</w:t>
            </w:r>
            <w:r>
              <w:rPr>
                <w:rFonts w:hint="eastAsia" w:ascii="仿宋" w:hAnsi="仿宋" w:eastAsia="仿宋" w:cs="仿宋"/>
                <w:color w:val="000000"/>
                <w:kern w:val="0"/>
              </w:rPr>
              <w:t>通过部门履职行业形象是否得到了大大提升了，增强了部门影响力。</w:t>
            </w:r>
          </w:p>
        </w:tc>
        <w:tc>
          <w:tcPr>
            <w:tcW w:w="2550" w:type="dxa"/>
            <w:tcBorders>
              <w:left w:val="single" w:color="auto" w:sz="4" w:space="0"/>
              <w:right w:val="single" w:color="auto" w:sz="4" w:space="0"/>
            </w:tcBorders>
            <w:vAlign w:val="center"/>
          </w:tcPr>
          <w:p>
            <w:pPr>
              <w:widowControl/>
              <w:spacing w:line="240" w:lineRule="exact"/>
              <w:textAlignment w:val="center"/>
              <w:rPr>
                <w:rFonts w:ascii="仿宋" w:hAnsi="仿宋" w:eastAsia="仿宋" w:cs="Times New Roman"/>
              </w:rPr>
            </w:pPr>
            <w:r>
              <w:rPr>
                <w:rFonts w:hint="eastAsia" w:ascii="仿宋" w:hAnsi="仿宋" w:eastAsia="仿宋" w:cs="仿宋"/>
                <w:color w:val="000000"/>
                <w:kern w:val="0"/>
              </w:rPr>
              <w:t>根据不同部门履职的内容和特点，具体测算部门履职产生的社会效益。</w:t>
            </w:r>
          </w:p>
        </w:tc>
        <w:tc>
          <w:tcPr>
            <w:tcW w:w="765" w:type="dxa"/>
            <w:tcBorders>
              <w:left w:val="single" w:color="auto" w:sz="4" w:space="0"/>
            </w:tcBorders>
            <w:vAlign w:val="center"/>
          </w:tcPr>
          <w:p>
            <w:pPr>
              <w:widowControl/>
              <w:spacing w:line="240" w:lineRule="exact"/>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95" w:type="dxa"/>
            <w:vMerge w:val="continue"/>
            <w:vAlign w:val="center"/>
          </w:tcPr>
          <w:p>
            <w:pPr>
              <w:widowControl/>
              <w:spacing w:line="240" w:lineRule="exact"/>
              <w:jc w:val="left"/>
              <w:rPr>
                <w:rFonts w:ascii="仿宋_GB2312" w:hAnsi="新宋体" w:eastAsia="仿宋_GB2312" w:cs="Times New Roman"/>
                <w:kern w:val="0"/>
              </w:rPr>
            </w:pPr>
          </w:p>
        </w:tc>
        <w:tc>
          <w:tcPr>
            <w:tcW w:w="765" w:type="dxa"/>
            <w:vMerge w:val="continue"/>
            <w:vAlign w:val="center"/>
          </w:tcPr>
          <w:p>
            <w:pPr>
              <w:widowControl/>
              <w:spacing w:line="240" w:lineRule="exact"/>
              <w:jc w:val="left"/>
              <w:rPr>
                <w:rFonts w:ascii="仿宋_GB2312" w:hAnsi="新宋体" w:eastAsia="仿宋_GB2312" w:cs="Times New Roman"/>
                <w:kern w:val="0"/>
              </w:rPr>
            </w:pPr>
          </w:p>
        </w:tc>
        <w:tc>
          <w:tcPr>
            <w:tcW w:w="990" w:type="dxa"/>
            <w:tcBorders>
              <w:right w:val="single" w:color="auto" w:sz="4" w:space="0"/>
            </w:tcBorders>
            <w:vAlign w:val="center"/>
          </w:tcPr>
          <w:p>
            <w:pPr>
              <w:widowControl/>
              <w:spacing w:line="240" w:lineRule="exact"/>
              <w:jc w:val="left"/>
              <w:rPr>
                <w:rFonts w:ascii="仿宋_GB2312" w:hAnsi="新宋体" w:eastAsia="仿宋_GB2312" w:cs="Times New Roman"/>
                <w:color w:val="000000"/>
                <w:kern w:val="0"/>
              </w:rPr>
            </w:pPr>
            <w:r>
              <w:rPr>
                <w:rFonts w:hint="eastAsia" w:ascii="仿宋_GB2312" w:hAnsi="新宋体" w:eastAsia="仿宋_GB2312" w:cs="仿宋_GB2312"/>
                <w:color w:val="000000"/>
                <w:kern w:val="0"/>
              </w:rPr>
              <w:t>生态效益（</w:t>
            </w:r>
            <w:r>
              <w:rPr>
                <w:rFonts w:ascii="仿宋_GB2312" w:hAnsi="新宋体" w:eastAsia="仿宋_GB2312" w:cs="仿宋_GB2312"/>
                <w:color w:val="000000"/>
                <w:kern w:val="0"/>
              </w:rPr>
              <w:t>5</w:t>
            </w:r>
            <w:r>
              <w:rPr>
                <w:rFonts w:hint="eastAsia" w:ascii="仿宋_GB2312" w:hAnsi="新宋体" w:eastAsia="仿宋_GB2312" w:cs="仿宋_GB2312"/>
                <w:color w:val="000000"/>
                <w:kern w:val="0"/>
              </w:rPr>
              <w:t>分）</w:t>
            </w:r>
          </w:p>
        </w:tc>
        <w:tc>
          <w:tcPr>
            <w:tcW w:w="3975" w:type="dxa"/>
            <w:tcBorders>
              <w:left w:val="single" w:color="auto" w:sz="4" w:space="0"/>
              <w:right w:val="single" w:color="auto" w:sz="4" w:space="0"/>
            </w:tcBorders>
            <w:vAlign w:val="center"/>
          </w:tcPr>
          <w:p>
            <w:pPr>
              <w:widowControl/>
              <w:spacing w:line="240" w:lineRule="exact"/>
              <w:jc w:val="left"/>
              <w:textAlignment w:val="center"/>
              <w:rPr>
                <w:rFonts w:ascii="仿宋" w:hAnsi="仿宋" w:eastAsia="仿宋" w:cs="Times New Roman"/>
                <w:color w:val="000000"/>
                <w:kern w:val="0"/>
              </w:rPr>
            </w:pPr>
            <w:r>
              <w:rPr>
                <w:rFonts w:hint="eastAsia" w:ascii="仿宋" w:hAnsi="仿宋" w:eastAsia="仿宋" w:cs="仿宋"/>
                <w:color w:val="000000"/>
                <w:kern w:val="0"/>
              </w:rPr>
              <w:t>部门及所属二级单位履行职责对生态环境所带来的直接或间接影响。</w:t>
            </w:r>
          </w:p>
          <w:p>
            <w:pPr>
              <w:widowControl/>
              <w:spacing w:line="240" w:lineRule="exact"/>
              <w:jc w:val="left"/>
              <w:textAlignment w:val="center"/>
              <w:rPr>
                <w:rFonts w:ascii="仿宋" w:hAnsi="仿宋" w:eastAsia="仿宋" w:cs="Times New Roman"/>
                <w:color w:val="000000"/>
                <w:kern w:val="0"/>
              </w:rPr>
            </w:pPr>
            <w:r>
              <w:rPr>
                <w:rFonts w:hint="eastAsia" w:ascii="仿宋" w:hAnsi="仿宋" w:eastAsia="仿宋" w:cs="仿宋"/>
                <w:color w:val="000000"/>
                <w:kern w:val="0"/>
              </w:rPr>
              <w:t>评价要点：</w:t>
            </w:r>
            <w:r>
              <w:rPr>
                <w:rFonts w:ascii="仿宋" w:hAnsi="仿宋" w:eastAsia="仿宋" w:cs="Times New Roman"/>
                <w:color w:val="000000"/>
                <w:kern w:val="0"/>
              </w:rPr>
              <w:br w:type="textWrapping"/>
            </w:r>
            <w:r>
              <w:rPr>
                <w:rFonts w:ascii="仿宋" w:hAnsi="仿宋" w:eastAsia="仿宋" w:cs="仿宋"/>
                <w:color w:val="000000"/>
                <w:kern w:val="0"/>
              </w:rPr>
              <w:t>1.</w:t>
            </w:r>
            <w:r>
              <w:rPr>
                <w:rFonts w:hint="eastAsia" w:ascii="仿宋" w:hAnsi="仿宋" w:eastAsia="仿宋" w:cs="仿宋"/>
                <w:color w:val="000000"/>
                <w:kern w:val="0"/>
              </w:rPr>
              <w:t>通过预算支出项目的实施，绿色、节能环保新技术的应用和推广，明显带动各环节的节能减排，也具有一定的环境效益；</w:t>
            </w:r>
            <w:r>
              <w:rPr>
                <w:rFonts w:ascii="仿宋" w:hAnsi="仿宋" w:eastAsia="仿宋" w:cs="Times New Roman"/>
                <w:color w:val="000000"/>
                <w:kern w:val="0"/>
              </w:rPr>
              <w:br w:type="textWrapping"/>
            </w:r>
            <w:r>
              <w:rPr>
                <w:rFonts w:ascii="仿宋" w:hAnsi="仿宋" w:eastAsia="仿宋" w:cs="仿宋"/>
                <w:color w:val="000000"/>
                <w:kern w:val="0"/>
              </w:rPr>
              <w:t>2.</w:t>
            </w:r>
            <w:r>
              <w:rPr>
                <w:rFonts w:hint="eastAsia" w:ascii="仿宋" w:hAnsi="仿宋" w:eastAsia="仿宋" w:cs="仿宋"/>
                <w:color w:val="000000"/>
                <w:kern w:val="0"/>
              </w:rPr>
              <w:t>通过履职有效地控制虚假、伪劣、霉变等劣质产品进入市场，影响了人民生活质量，净化地市场环境；</w:t>
            </w:r>
            <w:r>
              <w:rPr>
                <w:rFonts w:ascii="仿宋" w:hAnsi="仿宋" w:eastAsia="仿宋" w:cs="Times New Roman"/>
                <w:color w:val="000000"/>
                <w:kern w:val="0"/>
              </w:rPr>
              <w:br w:type="textWrapping"/>
            </w:r>
            <w:r>
              <w:rPr>
                <w:rFonts w:ascii="仿宋" w:hAnsi="仿宋" w:eastAsia="仿宋" w:cs="仿宋"/>
                <w:color w:val="000000"/>
                <w:kern w:val="0"/>
              </w:rPr>
              <w:t>3.</w:t>
            </w:r>
            <w:r>
              <w:rPr>
                <w:rFonts w:hint="eastAsia" w:ascii="仿宋" w:hAnsi="仿宋" w:eastAsia="仿宋" w:cs="仿宋"/>
                <w:color w:val="000000"/>
                <w:kern w:val="0"/>
              </w:rPr>
              <w:t>通过预算支出项目的实施，是否达到减少污染物排放；</w:t>
            </w:r>
            <w:r>
              <w:rPr>
                <w:rFonts w:ascii="仿宋" w:hAnsi="仿宋" w:eastAsia="仿宋" w:cs="Times New Roman"/>
                <w:color w:val="000000"/>
                <w:kern w:val="0"/>
              </w:rPr>
              <w:br w:type="textWrapping"/>
            </w:r>
            <w:r>
              <w:rPr>
                <w:rFonts w:ascii="仿宋" w:hAnsi="仿宋" w:eastAsia="仿宋" w:cs="仿宋"/>
                <w:color w:val="000000"/>
                <w:kern w:val="0"/>
              </w:rPr>
              <w:t>4.</w:t>
            </w:r>
            <w:r>
              <w:rPr>
                <w:rFonts w:hint="eastAsia" w:ascii="仿宋" w:hAnsi="仿宋" w:eastAsia="仿宋" w:cs="仿宋"/>
                <w:color w:val="000000"/>
                <w:kern w:val="0"/>
              </w:rPr>
              <w:t>通过预算支出项目的实施，周围环境得到了整治，面貌得到了改善。</w:t>
            </w:r>
          </w:p>
        </w:tc>
        <w:tc>
          <w:tcPr>
            <w:tcW w:w="2550" w:type="dxa"/>
            <w:tcBorders>
              <w:left w:val="single" w:color="auto" w:sz="4" w:space="0"/>
              <w:right w:val="single" w:color="auto" w:sz="4" w:space="0"/>
            </w:tcBorders>
            <w:vAlign w:val="center"/>
          </w:tcPr>
          <w:p>
            <w:pPr>
              <w:widowControl/>
              <w:spacing w:line="240" w:lineRule="exact"/>
              <w:jc w:val="left"/>
              <w:textAlignment w:val="center"/>
              <w:rPr>
                <w:rFonts w:cs="Times New Roman"/>
              </w:rPr>
            </w:pPr>
            <w:r>
              <w:rPr>
                <w:rFonts w:hint="eastAsia" w:ascii="仿宋" w:hAnsi="仿宋" w:eastAsia="仿宋" w:cs="仿宋"/>
                <w:color w:val="000000"/>
                <w:kern w:val="0"/>
              </w:rPr>
              <w:t>根据不同部门履职的内容和特点，具体测算部门履职产生的生态效益。</w:t>
            </w:r>
          </w:p>
        </w:tc>
        <w:tc>
          <w:tcPr>
            <w:tcW w:w="765" w:type="dxa"/>
            <w:tcBorders>
              <w:left w:val="single" w:color="auto" w:sz="4" w:space="0"/>
            </w:tcBorders>
            <w:vAlign w:val="center"/>
          </w:tcPr>
          <w:p>
            <w:pPr>
              <w:widowControl/>
              <w:spacing w:line="240" w:lineRule="exact"/>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95" w:type="dxa"/>
            <w:vMerge w:val="continue"/>
            <w:vAlign w:val="center"/>
          </w:tcPr>
          <w:p>
            <w:pPr>
              <w:spacing w:line="240" w:lineRule="exact"/>
              <w:rPr>
                <w:rFonts w:ascii="宋体" w:cs="Times New Roman"/>
              </w:rPr>
            </w:pPr>
          </w:p>
        </w:tc>
        <w:tc>
          <w:tcPr>
            <w:tcW w:w="765" w:type="dxa"/>
            <w:vMerge w:val="continue"/>
            <w:tcBorders>
              <w:bottom w:val="single" w:color="auto" w:sz="4" w:space="0"/>
            </w:tcBorders>
            <w:vAlign w:val="center"/>
          </w:tcPr>
          <w:p>
            <w:pPr>
              <w:widowControl/>
              <w:spacing w:line="240" w:lineRule="exact"/>
              <w:jc w:val="left"/>
              <w:rPr>
                <w:rFonts w:cs="Times New Roman"/>
              </w:rPr>
            </w:pPr>
          </w:p>
        </w:tc>
        <w:tc>
          <w:tcPr>
            <w:tcW w:w="990" w:type="dxa"/>
            <w:tcBorders>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服务对象满意度（</w:t>
            </w:r>
            <w:r>
              <w:rPr>
                <w:rFonts w:ascii="仿宋_GB2312" w:hAnsi="新宋体" w:eastAsia="仿宋_GB2312" w:cs="仿宋_GB2312"/>
                <w:kern w:val="0"/>
              </w:rPr>
              <w:t>5</w:t>
            </w:r>
            <w:r>
              <w:rPr>
                <w:rFonts w:hint="eastAsia" w:ascii="仿宋_GB2312" w:hAnsi="新宋体" w:eastAsia="仿宋_GB2312" w:cs="仿宋_GB2312"/>
                <w:kern w:val="0"/>
              </w:rPr>
              <w:t>）</w:t>
            </w:r>
          </w:p>
        </w:tc>
        <w:tc>
          <w:tcPr>
            <w:tcW w:w="3975" w:type="dxa"/>
            <w:tcBorders>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通过对部门（单位）的服务对象对部门履职效果的满意程度调查，反映和考核社会公众或服务对象对部门履职的满意度。</w:t>
            </w:r>
          </w:p>
        </w:tc>
        <w:tc>
          <w:tcPr>
            <w:tcW w:w="2550" w:type="dxa"/>
            <w:tcBorders>
              <w:left w:val="single" w:color="auto" w:sz="4" w:space="0"/>
              <w:right w:val="single" w:color="auto" w:sz="4" w:space="0"/>
            </w:tcBorders>
            <w:vAlign w:val="center"/>
          </w:tcPr>
          <w:p>
            <w:pPr>
              <w:widowControl/>
              <w:spacing w:line="240" w:lineRule="exact"/>
              <w:rPr>
                <w:rFonts w:ascii="仿宋" w:hAnsi="仿宋" w:eastAsia="仿宋" w:cs="Times New Roman"/>
                <w:kern w:val="0"/>
              </w:rPr>
            </w:pPr>
            <w:r>
              <w:rPr>
                <w:rFonts w:hint="eastAsia" w:ascii="仿宋" w:hAnsi="仿宋" w:eastAsia="仿宋" w:cs="仿宋"/>
                <w:kern w:val="0"/>
              </w:rPr>
              <w:t>按照满意度调查的优秀、良好、合格、不合格给予该项指标打分：</w:t>
            </w:r>
          </w:p>
          <w:p>
            <w:pPr>
              <w:widowControl/>
              <w:spacing w:line="240" w:lineRule="exact"/>
              <w:rPr>
                <w:rFonts w:cs="Times New Roman"/>
              </w:rPr>
            </w:pPr>
            <w:r>
              <w:rPr>
                <w:rFonts w:hint="eastAsia" w:ascii="仿宋" w:hAnsi="仿宋" w:eastAsia="仿宋" w:cs="仿宋"/>
                <w:kern w:val="0"/>
              </w:rPr>
              <w:t>优秀（</w:t>
            </w:r>
            <w:r>
              <w:rPr>
                <w:rFonts w:ascii="仿宋" w:hAnsi="仿宋" w:eastAsia="仿宋" w:cs="仿宋"/>
                <w:kern w:val="0"/>
              </w:rPr>
              <w:t>5</w:t>
            </w:r>
            <w:r>
              <w:rPr>
                <w:rFonts w:hint="eastAsia" w:ascii="仿宋" w:hAnsi="仿宋" w:eastAsia="仿宋" w:cs="仿宋"/>
                <w:kern w:val="0"/>
              </w:rPr>
              <w:t>）；良好（</w:t>
            </w:r>
            <w:r>
              <w:rPr>
                <w:rFonts w:ascii="仿宋" w:hAnsi="仿宋" w:eastAsia="仿宋" w:cs="仿宋"/>
                <w:kern w:val="0"/>
              </w:rPr>
              <w:t>3</w:t>
            </w:r>
            <w:r>
              <w:rPr>
                <w:rFonts w:hint="eastAsia" w:ascii="仿宋" w:hAnsi="仿宋" w:eastAsia="仿宋" w:cs="仿宋"/>
                <w:kern w:val="0"/>
              </w:rPr>
              <w:t>）；合格（</w:t>
            </w:r>
            <w:r>
              <w:rPr>
                <w:rFonts w:ascii="仿宋" w:hAnsi="仿宋" w:eastAsia="仿宋" w:cs="仿宋"/>
                <w:kern w:val="0"/>
              </w:rPr>
              <w:t>1</w:t>
            </w:r>
            <w:r>
              <w:rPr>
                <w:rFonts w:hint="eastAsia" w:ascii="仿宋" w:hAnsi="仿宋" w:eastAsia="仿宋" w:cs="仿宋"/>
                <w:kern w:val="0"/>
              </w:rPr>
              <w:t>）；不合格（</w:t>
            </w:r>
            <w:r>
              <w:rPr>
                <w:rFonts w:ascii="仿宋" w:hAnsi="仿宋" w:eastAsia="仿宋" w:cs="仿宋"/>
                <w:kern w:val="0"/>
              </w:rPr>
              <w:t>0</w:t>
            </w:r>
            <w:r>
              <w:rPr>
                <w:rFonts w:hint="eastAsia" w:ascii="仿宋" w:hAnsi="仿宋" w:eastAsia="仿宋" w:cs="仿宋"/>
                <w:kern w:val="0"/>
              </w:rPr>
              <w:t>）。</w:t>
            </w:r>
          </w:p>
        </w:tc>
        <w:tc>
          <w:tcPr>
            <w:tcW w:w="765" w:type="dxa"/>
            <w:tcBorders>
              <w:left w:val="single" w:color="auto" w:sz="4" w:space="0"/>
            </w:tcBorders>
            <w:vAlign w:val="center"/>
          </w:tcPr>
          <w:p>
            <w:pPr>
              <w:widowControl/>
              <w:spacing w:line="240" w:lineRule="exact"/>
              <w:jc w:val="center"/>
            </w:pPr>
            <w:r>
              <w:t>5</w:t>
            </w:r>
          </w:p>
        </w:tc>
      </w:tr>
    </w:tbl>
    <w:p>
      <w:pPr>
        <w:spacing w:line="240" w:lineRule="exact"/>
        <w:rPr>
          <w:rFonts w:ascii="仿宋" w:hAnsi="仿宋" w:eastAsia="仿宋" w:cs="Times New Roman"/>
          <w:sz w:val="32"/>
          <w:szCs w:val="32"/>
        </w:rPr>
      </w:pPr>
    </w:p>
    <w:p>
      <w:pPr>
        <w:spacing w:line="240" w:lineRule="exact"/>
        <w:rPr>
          <w:rFonts w:ascii="仿宋" w:hAnsi="仿宋" w:eastAsia="仿宋" w:cs="Times New Roman"/>
          <w:sz w:val="32"/>
          <w:szCs w:val="32"/>
        </w:rPr>
      </w:pPr>
    </w:p>
    <w:p>
      <w:pPr>
        <w:rPr>
          <w:rFonts w:ascii="仿宋" w:hAnsi="仿宋" w:eastAsia="仿宋" w:cs="Times New Roman"/>
          <w:sz w:val="32"/>
          <w:szCs w:val="32"/>
        </w:rPr>
      </w:pPr>
    </w:p>
    <w:sectPr>
      <w:footerReference r:id="rId3" w:type="default"/>
      <w:pgSz w:w="11906" w:h="16838"/>
      <w:pgMar w:top="1701" w:right="1418" w:bottom="1701" w:left="1418" w:header="851" w:footer="1701" w:gutter="0"/>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outside" w:y="1"/>
      <w:rPr>
        <w:rStyle w:val="11"/>
        <w:rFonts w:ascii="宋体" w:cs="宋体"/>
        <w:sz w:val="28"/>
        <w:szCs w:val="28"/>
      </w:rPr>
    </w:pPr>
    <w:r>
      <w:rPr>
        <w:rStyle w:val="11"/>
        <w:rFonts w:ascii="宋体" w:cs="宋体"/>
        <w:sz w:val="28"/>
        <w:szCs w:val="28"/>
      </w:rPr>
      <w:t>-</w:t>
    </w:r>
    <w:r>
      <w:rPr>
        <w:rStyle w:val="11"/>
        <w:rFonts w:ascii="宋体" w:hAnsi="宋体" w:cs="宋体"/>
        <w:sz w:val="28"/>
        <w:szCs w:val="28"/>
      </w:rPr>
      <w:fldChar w:fldCharType="begin"/>
    </w:r>
    <w:r>
      <w:rPr>
        <w:rStyle w:val="11"/>
        <w:rFonts w:ascii="宋体" w:hAnsi="宋体" w:cs="宋体"/>
        <w:sz w:val="28"/>
        <w:szCs w:val="28"/>
      </w:rPr>
      <w:instrText xml:space="preserve">PAGE  </w:instrText>
    </w:r>
    <w:r>
      <w:rPr>
        <w:rStyle w:val="11"/>
        <w:rFonts w:ascii="宋体" w:hAnsi="宋体" w:cs="宋体"/>
        <w:sz w:val="28"/>
        <w:szCs w:val="28"/>
      </w:rPr>
      <w:fldChar w:fldCharType="separate"/>
    </w:r>
    <w:r>
      <w:rPr>
        <w:rStyle w:val="11"/>
        <w:rFonts w:ascii="宋体" w:hAnsi="宋体" w:cs="宋体"/>
        <w:sz w:val="28"/>
        <w:szCs w:val="28"/>
      </w:rPr>
      <w:t>2</w:t>
    </w:r>
    <w:r>
      <w:rPr>
        <w:rStyle w:val="11"/>
        <w:rFonts w:ascii="宋体" w:hAnsi="宋体" w:cs="宋体"/>
        <w:sz w:val="28"/>
        <w:szCs w:val="28"/>
      </w:rPr>
      <w:fldChar w:fldCharType="end"/>
    </w:r>
    <w:r>
      <w:rPr>
        <w:rStyle w:val="11"/>
        <w:rFonts w:ascii="宋体" w:cs="宋体"/>
        <w:sz w:val="28"/>
        <w:szCs w:val="28"/>
      </w:rPr>
      <w:t>-</w:t>
    </w:r>
  </w:p>
  <w:p>
    <w:pPr>
      <w:pStyle w:val="5"/>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313"/>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0ZDhmNmU1NDkzZDRmY2ZlOTA5OGIwOWE2N2VjNmIifQ=="/>
  </w:docVars>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7068B"/>
    <w:rsid w:val="00185A3C"/>
    <w:rsid w:val="00192D5A"/>
    <w:rsid w:val="001C59B3"/>
    <w:rsid w:val="001E0886"/>
    <w:rsid w:val="001F7E31"/>
    <w:rsid w:val="002071BC"/>
    <w:rsid w:val="00211487"/>
    <w:rsid w:val="00225AE6"/>
    <w:rsid w:val="00235F0F"/>
    <w:rsid w:val="00255783"/>
    <w:rsid w:val="002563F9"/>
    <w:rsid w:val="00290BA1"/>
    <w:rsid w:val="002A6AEA"/>
    <w:rsid w:val="002F2268"/>
    <w:rsid w:val="003C50C2"/>
    <w:rsid w:val="0041099F"/>
    <w:rsid w:val="00436A1D"/>
    <w:rsid w:val="004379D7"/>
    <w:rsid w:val="004755B3"/>
    <w:rsid w:val="004A68B1"/>
    <w:rsid w:val="004B336F"/>
    <w:rsid w:val="004B64F3"/>
    <w:rsid w:val="004E3B64"/>
    <w:rsid w:val="005020C5"/>
    <w:rsid w:val="00567FE6"/>
    <w:rsid w:val="0058162A"/>
    <w:rsid w:val="005B3616"/>
    <w:rsid w:val="005E12FA"/>
    <w:rsid w:val="005F1122"/>
    <w:rsid w:val="00683167"/>
    <w:rsid w:val="006A5056"/>
    <w:rsid w:val="006E64C9"/>
    <w:rsid w:val="007048FF"/>
    <w:rsid w:val="00712100"/>
    <w:rsid w:val="0071700D"/>
    <w:rsid w:val="00742652"/>
    <w:rsid w:val="00772600"/>
    <w:rsid w:val="007D5D41"/>
    <w:rsid w:val="007F01F9"/>
    <w:rsid w:val="00856BA1"/>
    <w:rsid w:val="00867620"/>
    <w:rsid w:val="008709E0"/>
    <w:rsid w:val="008A26A1"/>
    <w:rsid w:val="008A6A10"/>
    <w:rsid w:val="008A6A31"/>
    <w:rsid w:val="00904AF4"/>
    <w:rsid w:val="00905542"/>
    <w:rsid w:val="00913ECC"/>
    <w:rsid w:val="00917700"/>
    <w:rsid w:val="00956F74"/>
    <w:rsid w:val="009B0B5F"/>
    <w:rsid w:val="009C04DA"/>
    <w:rsid w:val="009C4C62"/>
    <w:rsid w:val="009C7DE6"/>
    <w:rsid w:val="009E3627"/>
    <w:rsid w:val="009F53E7"/>
    <w:rsid w:val="00A11BF8"/>
    <w:rsid w:val="00A14A33"/>
    <w:rsid w:val="00A6449D"/>
    <w:rsid w:val="00A768DB"/>
    <w:rsid w:val="00AA09C8"/>
    <w:rsid w:val="00AD5F30"/>
    <w:rsid w:val="00B0681D"/>
    <w:rsid w:val="00B32FBD"/>
    <w:rsid w:val="00B9023F"/>
    <w:rsid w:val="00B970E8"/>
    <w:rsid w:val="00BC1FDC"/>
    <w:rsid w:val="00BD0FD8"/>
    <w:rsid w:val="00C44804"/>
    <w:rsid w:val="00C6362A"/>
    <w:rsid w:val="00C81363"/>
    <w:rsid w:val="00CB27A5"/>
    <w:rsid w:val="00CD55ED"/>
    <w:rsid w:val="00CD63C0"/>
    <w:rsid w:val="00CE62A0"/>
    <w:rsid w:val="00D21F0C"/>
    <w:rsid w:val="00D366C1"/>
    <w:rsid w:val="00D877F7"/>
    <w:rsid w:val="00DB2D43"/>
    <w:rsid w:val="00DC15FF"/>
    <w:rsid w:val="00E266F1"/>
    <w:rsid w:val="00EB16A8"/>
    <w:rsid w:val="00EC7904"/>
    <w:rsid w:val="00ED69C1"/>
    <w:rsid w:val="00F72E93"/>
    <w:rsid w:val="00F87A11"/>
    <w:rsid w:val="00FB7E01"/>
    <w:rsid w:val="00FE5F4C"/>
    <w:rsid w:val="00FF39F6"/>
    <w:rsid w:val="05374814"/>
    <w:rsid w:val="0F8F6BFC"/>
    <w:rsid w:val="25463C46"/>
    <w:rsid w:val="25A21129"/>
    <w:rsid w:val="33734144"/>
    <w:rsid w:val="3791647A"/>
    <w:rsid w:val="39066D72"/>
    <w:rsid w:val="3D4F4825"/>
    <w:rsid w:val="455969D8"/>
    <w:rsid w:val="4A9621B8"/>
    <w:rsid w:val="4AAD697D"/>
    <w:rsid w:val="4B04639A"/>
    <w:rsid w:val="526A3656"/>
    <w:rsid w:val="5D643D56"/>
    <w:rsid w:val="69BD0A47"/>
    <w:rsid w:val="71A911C9"/>
    <w:rsid w:val="74426C98"/>
    <w:rsid w:val="7CCC21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2"/>
    <w:qFormat/>
    <w:uiPriority w:val="99"/>
    <w:pPr>
      <w:spacing w:before="100" w:beforeAutospacing="1" w:after="100" w:afterAutospacing="1"/>
      <w:jc w:val="left"/>
      <w:outlineLvl w:val="0"/>
    </w:pPr>
    <w:rPr>
      <w:rFonts w:ascii="宋体" w:hAnsi="宋体" w:cs="宋体"/>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99"/>
    <w:pPr>
      <w:autoSpaceDE w:val="0"/>
      <w:autoSpaceDN w:val="0"/>
      <w:adjustRightInd w:val="0"/>
      <w:snapToGrid w:val="0"/>
      <w:spacing w:line="588" w:lineRule="atLeast"/>
    </w:pPr>
    <w:rPr>
      <w:rFonts w:ascii="宋体" w:hAnsi="宋体" w:eastAsia="仿宋_GB2312" w:cs="宋体"/>
      <w:spacing w:val="-2"/>
      <w:sz w:val="32"/>
      <w:szCs w:val="32"/>
    </w:rPr>
  </w:style>
  <w:style w:type="paragraph" w:styleId="4">
    <w:name w:val="Plain Text"/>
    <w:basedOn w:val="1"/>
    <w:link w:val="14"/>
    <w:qFormat/>
    <w:uiPriority w:val="99"/>
    <w:rPr>
      <w:rFonts w:ascii="宋体" w:hAnsi="Courier New" w:cs="宋体"/>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99"/>
    <w:rPr>
      <w:b/>
      <w:bCs/>
    </w:rPr>
  </w:style>
  <w:style w:type="character" w:styleId="11">
    <w:name w:val="page number"/>
    <w:basedOn w:val="9"/>
    <w:semiHidden/>
    <w:qFormat/>
    <w:uiPriority w:val="99"/>
  </w:style>
  <w:style w:type="character" w:customStyle="1" w:styleId="12">
    <w:name w:val="标题 1 字符"/>
    <w:basedOn w:val="9"/>
    <w:link w:val="2"/>
    <w:qFormat/>
    <w:locked/>
    <w:uiPriority w:val="99"/>
    <w:rPr>
      <w:rFonts w:ascii="宋体" w:hAnsi="宋体" w:eastAsia="宋体" w:cs="宋体"/>
      <w:b/>
      <w:bCs/>
      <w:kern w:val="44"/>
      <w:sz w:val="48"/>
      <w:szCs w:val="48"/>
    </w:rPr>
  </w:style>
  <w:style w:type="character" w:customStyle="1" w:styleId="13">
    <w:name w:val="正文文本 字符"/>
    <w:basedOn w:val="9"/>
    <w:link w:val="3"/>
    <w:semiHidden/>
    <w:qFormat/>
    <w:uiPriority w:val="99"/>
    <w:rPr>
      <w:rFonts w:ascii="Calibri" w:hAnsi="Calibri" w:cs="Calibri"/>
      <w:szCs w:val="21"/>
    </w:rPr>
  </w:style>
  <w:style w:type="character" w:customStyle="1" w:styleId="14">
    <w:name w:val="纯文本 字符"/>
    <w:basedOn w:val="9"/>
    <w:link w:val="4"/>
    <w:locked/>
    <w:uiPriority w:val="99"/>
    <w:rPr>
      <w:rFonts w:ascii="宋体" w:hAnsi="Courier New" w:eastAsia="宋体" w:cs="宋体"/>
      <w:sz w:val="21"/>
      <w:szCs w:val="21"/>
    </w:rPr>
  </w:style>
  <w:style w:type="character" w:customStyle="1" w:styleId="15">
    <w:name w:val="页脚 字符"/>
    <w:basedOn w:val="9"/>
    <w:link w:val="5"/>
    <w:locked/>
    <w:uiPriority w:val="99"/>
    <w:rPr>
      <w:sz w:val="18"/>
      <w:szCs w:val="18"/>
    </w:rPr>
  </w:style>
  <w:style w:type="character" w:customStyle="1" w:styleId="16">
    <w:name w:val="页眉 字符"/>
    <w:basedOn w:val="9"/>
    <w:link w:val="6"/>
    <w:locked/>
    <w:uiPriority w:val="99"/>
    <w:rPr>
      <w:sz w:val="18"/>
      <w:szCs w:val="18"/>
    </w:rPr>
  </w:style>
  <w:style w:type="character" w:customStyle="1" w:styleId="17">
    <w:name w:val="font31"/>
    <w:basedOn w:val="9"/>
    <w:uiPriority w:val="99"/>
    <w:rPr>
      <w:rFonts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798</Words>
  <Characters>4552</Characters>
  <Lines>37</Lines>
  <Paragraphs>10</Paragraphs>
  <TotalTime>0</TotalTime>
  <ScaleCrop>false</ScaleCrop>
  <LinksUpToDate>false</LinksUpToDate>
  <CharactersWithSpaces>5340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2021-05-18T01:37:00Z</dcterms:created>
  <dc:creator>Administrator</dc:creator>
  <cp:lastModifiedBy>Administrator</cp:lastModifiedBy>
  <cp:lastPrinted>2020-04-22T08:40:00Z</cp:lastPrinted>
  <dcterms:modified xsi:type="dcterms:W3CDTF">2024-04-10T03:18:11Z</dcterms:modified>
  <dc:title>部门整体支出绩效评价指标体系评分表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768ADF27F4EA48F38055F6F57897FE03_13</vt:lpwstr>
  </property>
</Properties>
</file>