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Times New Roman"/>
          <w:sz w:val="32"/>
          <w:szCs w:val="32"/>
        </w:rPr>
      </w:pPr>
      <w:r>
        <w:rPr>
          <w:rFonts w:hint="eastAsia" w:ascii="宋体" w:hAnsi="宋体" w:cs="宋体"/>
          <w:b/>
          <w:bCs/>
          <w:sz w:val="44"/>
          <w:szCs w:val="44"/>
        </w:rPr>
        <w:t>部门整体支出绩效评价</w:t>
      </w:r>
      <w:r>
        <w:rPr>
          <w:rFonts w:hint="eastAsia" w:ascii="宋体" w:hAnsi="宋体" w:cs="宋体"/>
          <w:b/>
          <w:bCs/>
          <w:color w:val="000000"/>
          <w:kern w:val="0"/>
          <w:sz w:val="44"/>
          <w:szCs w:val="44"/>
          <w:shd w:val="clear" w:color="auto" w:fill="FFFFFF"/>
        </w:rPr>
        <w:t>指标体系评分表</w:t>
      </w:r>
    </w:p>
    <w:tbl>
      <w:tblPr>
        <w:tblStyle w:val="8"/>
        <w:tblW w:w="984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765"/>
        <w:gridCol w:w="990"/>
        <w:gridCol w:w="3975"/>
        <w:gridCol w:w="2550"/>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95" w:type="dxa"/>
            <w:vMerge w:val="restart"/>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一级指标</w:t>
            </w:r>
          </w:p>
        </w:tc>
        <w:tc>
          <w:tcPr>
            <w:tcW w:w="765" w:type="dxa"/>
            <w:vMerge w:val="restart"/>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二级指标</w:t>
            </w:r>
          </w:p>
        </w:tc>
        <w:tc>
          <w:tcPr>
            <w:tcW w:w="4965" w:type="dxa"/>
            <w:gridSpan w:val="2"/>
            <w:tcBorders>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三级指标</w:t>
            </w:r>
          </w:p>
        </w:tc>
        <w:tc>
          <w:tcPr>
            <w:tcW w:w="2550" w:type="dxa"/>
            <w:vMerge w:val="restart"/>
            <w:tcBorders>
              <w:left w:val="single" w:color="auto" w:sz="4" w:space="0"/>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评分标准</w:t>
            </w:r>
          </w:p>
        </w:tc>
        <w:tc>
          <w:tcPr>
            <w:tcW w:w="765" w:type="dxa"/>
            <w:vMerge w:val="restart"/>
            <w:tcBorders>
              <w:left w:val="single" w:color="auto" w:sz="4" w:space="0"/>
              <w:right w:val="single" w:color="auto" w:sz="4" w:space="0"/>
            </w:tcBorders>
            <w:vAlign w:val="center"/>
          </w:tcPr>
          <w:p>
            <w:pPr>
              <w:widowControl/>
              <w:spacing w:line="240" w:lineRule="exact"/>
              <w:jc w:val="left"/>
              <w:rPr>
                <w:rFonts w:cs="Times New Roman"/>
                <w:b/>
                <w:bCs/>
              </w:rPr>
            </w:pPr>
            <w:r>
              <w:rPr>
                <w:rFonts w:hint="eastAsia" w:ascii="仿宋_GB2312" w:hAnsi="新宋体" w:eastAsia="仿宋_GB2312" w:cs="仿宋_GB2312"/>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95" w:type="dxa"/>
            <w:vMerge w:val="continue"/>
            <w:vAlign w:val="center"/>
          </w:tcPr>
          <w:p>
            <w:pPr>
              <w:rPr>
                <w:rFonts w:ascii="宋体" w:cs="Times New Roman"/>
              </w:rPr>
            </w:pPr>
          </w:p>
        </w:tc>
        <w:tc>
          <w:tcPr>
            <w:tcW w:w="765" w:type="dxa"/>
            <w:vMerge w:val="continue"/>
            <w:vAlign w:val="center"/>
          </w:tcPr>
          <w:p>
            <w:pPr>
              <w:rPr>
                <w:rFonts w:ascii="宋体" w:cs="Times New Roman"/>
              </w:rPr>
            </w:pPr>
          </w:p>
        </w:tc>
        <w:tc>
          <w:tcPr>
            <w:tcW w:w="990" w:type="dxa"/>
            <w:tcBorders>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指标名称</w:t>
            </w:r>
          </w:p>
        </w:tc>
        <w:tc>
          <w:tcPr>
            <w:tcW w:w="3975" w:type="dxa"/>
            <w:tcBorders>
              <w:left w:val="single" w:color="auto" w:sz="4" w:space="0"/>
              <w:right w:val="single" w:color="auto" w:sz="4" w:space="0"/>
            </w:tcBorders>
            <w:vAlign w:val="center"/>
          </w:tcPr>
          <w:p>
            <w:pPr>
              <w:widowControl/>
              <w:spacing w:line="240" w:lineRule="exact"/>
              <w:jc w:val="center"/>
              <w:rPr>
                <w:rFonts w:cs="Times New Roman"/>
                <w:b/>
                <w:bCs/>
              </w:rPr>
            </w:pPr>
            <w:r>
              <w:rPr>
                <w:rFonts w:hint="eastAsia" w:ascii="仿宋_GB2312" w:hAnsi="新宋体" w:eastAsia="仿宋_GB2312" w:cs="仿宋_GB2312"/>
                <w:b/>
                <w:bCs/>
                <w:kern w:val="0"/>
                <w:sz w:val="24"/>
                <w:szCs w:val="24"/>
              </w:rPr>
              <w:t>指标解释说明</w:t>
            </w:r>
          </w:p>
        </w:tc>
        <w:tc>
          <w:tcPr>
            <w:tcW w:w="2550" w:type="dxa"/>
            <w:vMerge w:val="continue"/>
            <w:tcBorders>
              <w:left w:val="single" w:color="auto" w:sz="4" w:space="0"/>
              <w:right w:val="single" w:color="auto" w:sz="4" w:space="0"/>
            </w:tcBorders>
            <w:vAlign w:val="center"/>
          </w:tcPr>
          <w:p>
            <w:pPr>
              <w:rPr>
                <w:rFonts w:ascii="宋体" w:cs="Times New Roman"/>
              </w:rPr>
            </w:pPr>
          </w:p>
        </w:tc>
        <w:tc>
          <w:tcPr>
            <w:tcW w:w="765" w:type="dxa"/>
            <w:vMerge w:val="continue"/>
            <w:tcBorders>
              <w:left w:val="single" w:color="auto" w:sz="4" w:space="0"/>
              <w:right w:val="single" w:color="auto" w:sz="4" w:space="0"/>
            </w:tcBorders>
            <w:vAlign w:val="center"/>
          </w:tcPr>
          <w:p>
            <w:pPr>
              <w:rPr>
                <w:rFonts w:asci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投入（</w:t>
            </w:r>
            <w:r>
              <w:rPr>
                <w:rFonts w:ascii="仿宋_GB2312" w:hAnsi="新宋体" w:eastAsia="仿宋_GB2312" w:cs="仿宋_GB2312"/>
                <w:kern w:val="0"/>
              </w:rPr>
              <w:t>10</w:t>
            </w:r>
            <w:r>
              <w:rPr>
                <w:rFonts w:hint="eastAsia" w:ascii="仿宋_GB2312" w:hAnsi="新宋体" w:eastAsia="仿宋_GB2312" w:cs="仿宋_GB2312"/>
                <w:kern w:val="0"/>
              </w:rPr>
              <w:t>）</w:t>
            </w: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绩效目标设定情况</w:t>
            </w:r>
          </w:p>
          <w:p>
            <w:pPr>
              <w:widowControl/>
              <w:spacing w:line="240" w:lineRule="exact"/>
              <w:jc w:val="left"/>
              <w:rPr>
                <w:rFonts w:cs="Times New Roman"/>
                <w:color w:val="FF0000"/>
              </w:rPr>
            </w:pP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职责明确（</w:t>
            </w:r>
            <w:r>
              <w:rPr>
                <w:rFonts w:ascii="仿宋_GB2312" w:hAnsi="新宋体" w:eastAsia="仿宋_GB2312" w:cs="仿宋_GB2312"/>
                <w:kern w:val="0"/>
              </w:rPr>
              <w:t>1</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部门的职责设定是否符合“三定”方案中所赋予的职责，用以反映和评价部门工作的目的性与计划性。</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符合（</w:t>
            </w:r>
            <w:r>
              <w:rPr>
                <w:rFonts w:ascii="仿宋_GB2312" w:hAnsi="新宋体" w:eastAsia="仿宋_GB2312" w:cs="仿宋_GB2312"/>
                <w:kern w:val="0"/>
              </w:rPr>
              <w:t>1</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pPr>
              <w:widowControl/>
              <w:spacing w:line="240" w:lineRule="exact"/>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活动合规性（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部门的活动是否在职责范围之内并符合部门中长期规划，用以反映和评价部门活动目标与部门履职、年度工作任务的相符性情况。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部门活动的设定在部门所确定的职责范围之内；</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部门活动符合市委、市政府的发展规划及本部门的年度工作安排与发展规划。</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其中一项不符合（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pPr>
              <w:widowControl/>
              <w:spacing w:line="240" w:lineRule="exact"/>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活动合理性（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部门所设立的活动是否明确合理、活动的关键性指标设置是否可衡量，用以反映和评价部门活动目标设定的合理性。</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活动目标的设定是可量化的，可通过清晰、可衡量的关键指标值予以体现；</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在活动目标设定时，将关键指标明细分解为具体的达成目标与工作任务。</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其中一项不符合（</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bottom w:val="single" w:color="auto" w:sz="4" w:space="0"/>
            </w:tcBorders>
            <w:vAlign w:val="center"/>
          </w:tcPr>
          <w:p>
            <w:pPr>
              <w:widowControl/>
              <w:spacing w:line="240" w:lineRule="exact"/>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795" w:type="dxa"/>
            <w:vMerge w:val="continue"/>
            <w:vAlign w:val="center"/>
          </w:tcPr>
          <w:p>
            <w:pPr>
              <w:spacing w:line="240" w:lineRule="exact"/>
              <w:rPr>
                <w:rFonts w:ascii="宋体" w:cs="Times New Roman"/>
              </w:rPr>
            </w:pP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预算配置情况</w:t>
            </w:r>
            <w:r>
              <w:rPr>
                <w:rFonts w:ascii="仿宋_GB2312" w:hAnsi="新宋体" w:eastAsia="仿宋_GB2312" w:cs="仿宋_GB2312"/>
                <w:kern w:val="0"/>
              </w:rPr>
              <w:t>(5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990" w:type="dxa"/>
            <w:tcBorders>
              <w:top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在职人员控制率（</w:t>
            </w:r>
            <w:r>
              <w:rPr>
                <w:rFonts w:ascii="仿宋_GB2312" w:hAnsi="新宋体" w:eastAsia="仿宋_GB2312" w:cs="仿宋_GB2312"/>
                <w:kern w:val="0"/>
              </w:rPr>
              <w:t>1</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部门本年度实际在职人员数与编制数的比率，用以反映和评价部门对人员成本的控制程度。</w:t>
            </w:r>
          </w:p>
          <w:p>
            <w:pPr>
              <w:widowControl/>
              <w:spacing w:line="240" w:lineRule="exact"/>
              <w:jc w:val="left"/>
              <w:rPr>
                <w:rFonts w:cs="Times New Roman"/>
              </w:rPr>
            </w:pPr>
            <w:r>
              <w:rPr>
                <w:rFonts w:hint="eastAsia" w:ascii="仿宋_GB2312" w:hAnsi="新宋体" w:eastAsia="仿宋_GB2312" w:cs="仿宋_GB2312"/>
                <w:kern w:val="0"/>
              </w:rPr>
              <w:t>在职人员控制率</w:t>
            </w:r>
            <w:r>
              <w:rPr>
                <w:rFonts w:ascii="仿宋_GB2312" w:hAnsi="新宋体" w:eastAsia="仿宋_GB2312" w:cs="仿宋_GB2312"/>
                <w:kern w:val="0"/>
              </w:rPr>
              <w:t>=</w:t>
            </w:r>
            <w:r>
              <w:rPr>
                <w:rFonts w:hint="eastAsia" w:ascii="仿宋_GB2312" w:hAnsi="新宋体" w:eastAsia="仿宋_GB2312" w:cs="仿宋_GB2312"/>
                <w:kern w:val="0"/>
              </w:rPr>
              <w:t>（在职人员数</w:t>
            </w:r>
            <w:r>
              <w:rPr>
                <w:rFonts w:ascii="仿宋_GB2312" w:hAnsi="新宋体" w:eastAsia="仿宋_GB2312" w:cs="仿宋_GB2312"/>
                <w:kern w:val="0"/>
              </w:rPr>
              <w:t>/</w:t>
            </w:r>
            <w:r>
              <w:rPr>
                <w:rFonts w:hint="eastAsia" w:ascii="仿宋_GB2312" w:hAnsi="新宋体" w:eastAsia="仿宋_GB2312" w:cs="仿宋_GB2312"/>
                <w:kern w:val="0"/>
              </w:rPr>
              <w:t>编制数）×</w:t>
            </w:r>
            <w:r>
              <w:rPr>
                <w:rFonts w:ascii="仿宋_GB2312" w:hAnsi="新宋体" w:eastAsia="仿宋_GB2312" w:cs="仿宋_GB2312"/>
                <w:kern w:val="0"/>
              </w:rPr>
              <w:t>100%</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在职人员数：部门实际在职人数，以财政部确定的部门决算编制口径为准，由编制部门和人劳部门批复同意的临聘人员除外。</w:t>
            </w:r>
          </w:p>
          <w:p>
            <w:pPr>
              <w:widowControl/>
              <w:spacing w:line="240" w:lineRule="exact"/>
              <w:jc w:val="left"/>
              <w:rPr>
                <w:rFonts w:cs="Times New Roman"/>
              </w:rPr>
            </w:pPr>
            <w:r>
              <w:rPr>
                <w:rFonts w:hint="eastAsia" w:ascii="仿宋_GB2312" w:hAnsi="新宋体" w:eastAsia="仿宋_GB2312" w:cs="仿宋_GB2312"/>
                <w:kern w:val="0"/>
              </w:rPr>
              <w:t>编制数：机构编制部门核定批复的部门人员编制数。</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在职人员控制率小于或等于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在职人员控制率大于或等于</w:t>
            </w:r>
            <w:r>
              <w:rPr>
                <w:rFonts w:ascii="仿宋_GB2312" w:hAnsi="新宋体" w:eastAsia="仿宋_GB2312" w:cs="仿宋_GB2312"/>
                <w:kern w:val="0"/>
              </w:rPr>
              <w:t>115%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在职人员控制率在</w:t>
            </w:r>
            <w:r>
              <w:rPr>
                <w:rFonts w:ascii="仿宋_GB2312" w:hAnsi="新宋体" w:eastAsia="仿宋_GB2312" w:cs="仿宋_GB2312"/>
                <w:kern w:val="0"/>
              </w:rPr>
              <w:t>100%-115%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（在职人员控制率）－某部门在职人员控制率</w:t>
            </w:r>
            <w:r>
              <w:rPr>
                <w:rFonts w:ascii="仿宋_GB2312" w:hAnsi="新宋体" w:eastAsia="仿宋_GB2312" w:cs="仿宋_GB2312"/>
                <w:kern w:val="0"/>
              </w:rPr>
              <w:t>]/[max</w:t>
            </w:r>
            <w:r>
              <w:rPr>
                <w:rFonts w:hint="eastAsia" w:ascii="仿宋_GB2312" w:hAnsi="新宋体" w:eastAsia="仿宋_GB2312" w:cs="仿宋_GB2312"/>
                <w:kern w:val="0"/>
              </w:rPr>
              <w:t>（在职人员控制率）－</w:t>
            </w:r>
            <w:r>
              <w:rPr>
                <w:rFonts w:ascii="仿宋_GB2312" w:hAnsi="新宋体" w:eastAsia="仿宋_GB2312" w:cs="仿宋_GB2312"/>
                <w:kern w:val="0"/>
              </w:rPr>
              <w:t>min</w:t>
            </w:r>
            <w:r>
              <w:rPr>
                <w:rFonts w:hint="eastAsia" w:ascii="仿宋_GB2312" w:hAnsi="新宋体" w:eastAsia="仿宋_GB2312" w:cs="仿宋_GB2312"/>
                <w:kern w:val="0"/>
              </w:rPr>
              <w:t>（在职人员控制率）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pPr>
              <w:widowControl/>
              <w:spacing w:line="240" w:lineRule="exact"/>
              <w:jc w:val="center"/>
              <w:rPr>
                <w:rFonts w:hint="default" w:eastAsia="宋体"/>
                <w:lang w:val="en-US" w:eastAsia="zh-CN"/>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5" w:hRule="atLeast"/>
        </w:trPr>
        <w:tc>
          <w:tcPr>
            <w:tcW w:w="795" w:type="dxa"/>
            <w:vMerge w:val="restart"/>
            <w:vAlign w:val="center"/>
          </w:tcPr>
          <w:p>
            <w:pPr>
              <w:spacing w:line="240" w:lineRule="exact"/>
              <w:rPr>
                <w:rFonts w:ascii="宋体" w:cs="Times New Roman"/>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top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“三公经费”变动率（</w:t>
            </w:r>
            <w:r>
              <w:rPr>
                <w:rFonts w:ascii="仿宋" w:hAnsi="仿宋" w:eastAsia="仿宋" w:cs="仿宋"/>
                <w:color w:val="000000"/>
                <w:kern w:val="0"/>
              </w:rPr>
              <w:t>2</w:t>
            </w:r>
            <w:r>
              <w:rPr>
                <w:rFonts w:hint="eastAsia" w:ascii="仿宋" w:hAnsi="仿宋" w:eastAsia="仿宋" w:cs="仿宋"/>
                <w:color w:val="000000"/>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仿宋" w:hAnsi="仿宋" w:eastAsia="仿宋" w:cs="仿宋"/>
                <w:color w:val="000000"/>
                <w:kern w:val="0"/>
                <w:lang w:eastAsia="zh-CN"/>
              </w:rPr>
            </w:pPr>
            <w:r>
              <w:rPr>
                <w:rFonts w:hint="eastAsia" w:ascii="仿宋" w:hAnsi="仿宋" w:eastAsia="仿宋" w:cs="仿宋"/>
                <w:color w:val="000000"/>
                <w:kern w:val="0"/>
              </w:rPr>
              <w:t>部门本年度“三公经费”预算数与上年度“三公经费”预算数的变动比率，用以反映和考核部门对控制重点行政成本的努力程度。“三公经费”变动率</w:t>
            </w:r>
            <w:r>
              <w:rPr>
                <w:rFonts w:ascii="仿宋" w:hAnsi="仿宋" w:eastAsia="仿宋" w:cs="仿宋"/>
                <w:color w:val="000000"/>
                <w:kern w:val="0"/>
              </w:rPr>
              <w:t>=[</w:t>
            </w:r>
            <w:r>
              <w:rPr>
                <w:rFonts w:hint="eastAsia" w:ascii="仿宋" w:hAnsi="仿宋" w:eastAsia="仿宋" w:cs="仿宋"/>
                <w:color w:val="000000"/>
                <w:kern w:val="0"/>
              </w:rPr>
              <w:t>（本年度“三公经费”总额</w:t>
            </w:r>
            <w:r>
              <w:rPr>
                <w:rFonts w:ascii="仿宋" w:hAnsi="仿宋" w:eastAsia="仿宋" w:cs="仿宋"/>
                <w:color w:val="000000"/>
                <w:kern w:val="0"/>
              </w:rPr>
              <w:t>-</w:t>
            </w:r>
            <w:r>
              <w:rPr>
                <w:rFonts w:hint="eastAsia" w:ascii="仿宋" w:hAnsi="仿宋" w:eastAsia="仿宋" w:cs="仿宋"/>
                <w:color w:val="000000"/>
                <w:kern w:val="0"/>
              </w:rPr>
              <w:t>上年度“三公经费”总额）</w:t>
            </w:r>
            <w:r>
              <w:rPr>
                <w:rFonts w:ascii="仿宋" w:hAnsi="仿宋" w:eastAsia="仿宋" w:cs="仿宋"/>
                <w:color w:val="000000"/>
                <w:kern w:val="0"/>
              </w:rPr>
              <w:t>/</w:t>
            </w:r>
            <w:r>
              <w:rPr>
                <w:rFonts w:hint="eastAsia" w:ascii="仿宋" w:hAnsi="仿宋" w:eastAsia="仿宋" w:cs="仿宋"/>
                <w:color w:val="000000"/>
                <w:kern w:val="0"/>
              </w:rPr>
              <w:t>上年度“三公经费”总额</w:t>
            </w:r>
            <w:r>
              <w:rPr>
                <w:rFonts w:ascii="仿宋" w:hAnsi="仿宋" w:eastAsia="仿宋" w:cs="仿宋"/>
                <w:color w:val="000000"/>
                <w:kern w:val="0"/>
              </w:rPr>
              <w:t>]</w:t>
            </w:r>
            <w:r>
              <w:rPr>
                <w:rFonts w:hint="eastAsia" w:ascii="仿宋" w:hAnsi="仿宋" w:eastAsia="仿宋" w:cs="仿宋"/>
                <w:color w:val="000000"/>
                <w:kern w:val="0"/>
              </w:rPr>
              <w:t>×</w:t>
            </w:r>
            <w:r>
              <w:rPr>
                <w:rFonts w:ascii="仿宋" w:hAnsi="仿宋" w:eastAsia="仿宋" w:cs="仿宋"/>
                <w:color w:val="000000"/>
                <w:kern w:val="0"/>
              </w:rPr>
              <w:t>100%</w:t>
            </w:r>
            <w:r>
              <w:rPr>
                <w:rFonts w:hint="eastAsia" w:ascii="仿宋" w:hAnsi="仿宋" w:eastAsia="仿宋" w:cs="仿宋"/>
                <w:color w:val="000000"/>
                <w:kern w:val="0"/>
              </w:rPr>
              <w:t>。</w:t>
            </w:r>
          </w:p>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“三公经费”：年度预算安排的因公出国（境）费、公务车辆购置及运行费和公务招待费。</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 w:hAnsi="仿宋" w:eastAsia="仿宋" w:cs="仿宋"/>
                <w:color w:val="000000"/>
                <w:kern w:val="0"/>
              </w:rPr>
              <w:t>“三公经费”变动率</w:t>
            </w:r>
            <w:r>
              <w:rPr>
                <w:rFonts w:hint="eastAsia" w:ascii="仿宋_GB2312" w:hAnsi="新宋体" w:eastAsia="仿宋_GB2312" w:cs="仿宋_GB2312"/>
                <w:kern w:val="0"/>
              </w:rPr>
              <w:t>小于或等于</w:t>
            </w:r>
            <w:r>
              <w:rPr>
                <w:rFonts w:ascii="仿宋_GB2312" w:hAnsi="新宋体" w:eastAsia="仿宋_GB2312" w:cs="仿宋_GB2312"/>
                <w:kern w:val="0"/>
              </w:rPr>
              <w:t>-5%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 w:hAnsi="仿宋" w:eastAsia="仿宋" w:cs="仿宋"/>
                <w:color w:val="000000"/>
                <w:kern w:val="0"/>
              </w:rPr>
              <w:t>“三公经费”变动率</w:t>
            </w:r>
            <w:r>
              <w:rPr>
                <w:rFonts w:hint="eastAsia" w:ascii="仿宋_GB2312" w:hAnsi="新宋体" w:eastAsia="仿宋_GB2312" w:cs="仿宋_GB2312"/>
                <w:kern w:val="0"/>
              </w:rPr>
              <w:t>大于或等于</w:t>
            </w:r>
            <w:r>
              <w:rPr>
                <w:rFonts w:ascii="仿宋_GB2312" w:hAnsi="新宋体" w:eastAsia="仿宋_GB2312" w:cs="仿宋_GB2312"/>
                <w:kern w:val="0"/>
              </w:rPr>
              <w:t>10%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在职人员控制率在</w:t>
            </w:r>
            <w:r>
              <w:rPr>
                <w:rFonts w:ascii="仿宋_GB2312" w:hAnsi="新宋体" w:eastAsia="仿宋_GB2312" w:cs="仿宋_GB2312"/>
                <w:kern w:val="0"/>
              </w:rPr>
              <w:t>-5%-10%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textAlignment w:val="center"/>
              <w:rPr>
                <w:rFonts w:ascii="仿宋" w:hAnsi="仿宋" w:eastAsia="仿宋" w:cs="Times New Roman"/>
                <w:kern w:val="0"/>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hint="eastAsia" w:ascii="仿宋_GB2312" w:hAnsi="新宋体" w:eastAsia="仿宋_GB2312" w:cs="仿宋_GB2312"/>
                <w:kern w:val="0"/>
              </w:rPr>
              <w:t>）－</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“三公经费”变动率</w:t>
            </w:r>
            <w:r>
              <w:rPr>
                <w:rFonts w:hint="eastAsia" w:ascii="仿宋_GB2312" w:hAnsi="新宋体" w:eastAsia="仿宋_GB2312" w:cs="仿宋_GB2312"/>
                <w:kern w:val="0"/>
              </w:rPr>
              <w:t>）</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pPr>
              <w:widowControl/>
              <w:spacing w:line="240" w:lineRule="exact"/>
              <w:jc w:val="center"/>
              <w:rPr>
                <w:rFonts w:hint="eastAsia" w:eastAsia="宋体"/>
                <w:lang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top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重点支出安排率（</w:t>
            </w:r>
            <w:r>
              <w:rPr>
                <w:rFonts w:ascii="仿宋" w:hAnsi="仿宋" w:eastAsia="仿宋" w:cs="仿宋"/>
                <w:color w:val="000000"/>
                <w:kern w:val="0"/>
              </w:rPr>
              <w:t>2</w:t>
            </w:r>
            <w:r>
              <w:rPr>
                <w:rFonts w:hint="eastAsia" w:ascii="仿宋" w:hAnsi="仿宋" w:eastAsia="仿宋" w:cs="仿宋"/>
                <w:color w:val="000000"/>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仿宋" w:hAnsi="仿宋" w:eastAsia="仿宋" w:cs="仿宋"/>
                <w:color w:val="000000"/>
                <w:kern w:val="0"/>
                <w:lang w:eastAsia="zh-CN"/>
              </w:rPr>
            </w:pPr>
            <w:r>
              <w:rPr>
                <w:rFonts w:hint="eastAsia" w:ascii="仿宋" w:hAnsi="仿宋" w:eastAsia="仿宋" w:cs="仿宋"/>
                <w:color w:val="000000"/>
                <w:kern w:val="0"/>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rPr>
              <w:t>=</w:t>
            </w:r>
            <w:r>
              <w:rPr>
                <w:rFonts w:hint="eastAsia" w:ascii="仿宋" w:hAnsi="仿宋" w:eastAsia="仿宋" w:cs="仿宋"/>
                <w:color w:val="000000"/>
                <w:kern w:val="0"/>
              </w:rPr>
              <w:t>（重点项目支出</w:t>
            </w:r>
            <w:r>
              <w:rPr>
                <w:rFonts w:ascii="仿宋" w:hAnsi="仿宋" w:eastAsia="仿宋" w:cs="仿宋"/>
                <w:color w:val="000000"/>
                <w:kern w:val="0"/>
              </w:rPr>
              <w:t>/</w:t>
            </w:r>
            <w:r>
              <w:rPr>
                <w:rFonts w:hint="eastAsia" w:ascii="仿宋" w:hAnsi="仿宋" w:eastAsia="仿宋" w:cs="仿宋"/>
                <w:color w:val="000000"/>
                <w:kern w:val="0"/>
              </w:rPr>
              <w:t>项目总支出）×</w:t>
            </w:r>
            <w:r>
              <w:rPr>
                <w:rFonts w:ascii="仿宋" w:hAnsi="仿宋" w:eastAsia="仿宋" w:cs="仿宋"/>
                <w:color w:val="000000"/>
                <w:kern w:val="0"/>
              </w:rPr>
              <w:t>100%</w:t>
            </w:r>
            <w:r>
              <w:rPr>
                <w:rFonts w:hint="eastAsia" w:ascii="仿宋" w:hAnsi="仿宋" w:eastAsia="仿宋" w:cs="仿宋"/>
                <w:color w:val="000000"/>
                <w:kern w:val="0"/>
              </w:rPr>
              <w:t>。</w:t>
            </w:r>
          </w:p>
          <w:p>
            <w:pPr>
              <w:widowControl/>
              <w:spacing w:line="240" w:lineRule="exact"/>
              <w:jc w:val="left"/>
              <w:textAlignment w:val="center"/>
              <w:rPr>
                <w:rFonts w:hint="eastAsia" w:ascii="仿宋" w:hAnsi="仿宋" w:eastAsia="仿宋" w:cs="仿宋"/>
                <w:color w:val="000000"/>
                <w:kern w:val="0"/>
                <w:lang w:eastAsia="zh-CN"/>
              </w:rPr>
            </w:pPr>
            <w:r>
              <w:rPr>
                <w:rFonts w:hint="eastAsia" w:ascii="仿宋" w:hAnsi="仿宋" w:eastAsia="仿宋" w:cs="仿宋"/>
                <w:color w:val="000000"/>
                <w:kern w:val="0"/>
              </w:rPr>
              <w:t>重点项目支出：部门（单位）年度预算安排的，与本部门履职和发展密切相关、具有明显社会和经济影响、党委政府关心或社会比较关注的项目支出总额。</w:t>
            </w:r>
          </w:p>
          <w:p>
            <w:pPr>
              <w:widowControl/>
              <w:spacing w:line="240" w:lineRule="exact"/>
              <w:jc w:val="left"/>
              <w:textAlignment w:val="center"/>
              <w:rPr>
                <w:rFonts w:ascii="仿宋" w:hAnsi="仿宋" w:eastAsia="仿宋" w:cs="Times New Roman"/>
                <w:kern w:val="0"/>
              </w:rPr>
            </w:pPr>
            <w:r>
              <w:rPr>
                <w:rFonts w:hint="eastAsia" w:ascii="仿宋" w:hAnsi="仿宋" w:eastAsia="仿宋" w:cs="仿宋"/>
                <w:color w:val="000000"/>
                <w:kern w:val="0"/>
              </w:rPr>
              <w:t>项目总支出：部门（单位）年度预算安排的项目支出总额。</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 w:hAnsi="仿宋" w:eastAsia="仿宋" w:cs="仿宋"/>
                <w:color w:val="000000"/>
                <w:kern w:val="0"/>
              </w:rPr>
              <w:t>重点支出安排率</w:t>
            </w:r>
            <w:r>
              <w:rPr>
                <w:rFonts w:hint="eastAsia" w:ascii="仿宋_GB2312" w:hAnsi="新宋体" w:eastAsia="仿宋_GB2312" w:cs="仿宋_GB2312"/>
                <w:kern w:val="0"/>
              </w:rPr>
              <w:t>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 w:hAnsi="仿宋" w:eastAsia="仿宋" w:cs="仿宋"/>
                <w:color w:val="000000"/>
                <w:kern w:val="0"/>
              </w:rPr>
              <w:t>重点支出安排率</w:t>
            </w:r>
            <w:r>
              <w:rPr>
                <w:rFonts w:hint="eastAsia" w:ascii="仿宋_GB2312" w:hAnsi="新宋体" w:eastAsia="仿宋_GB2312" w:cs="仿宋_GB2312"/>
                <w:kern w:val="0"/>
              </w:rPr>
              <w:t>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 w:hAnsi="仿宋" w:eastAsia="仿宋" w:cs="仿宋"/>
                <w:color w:val="000000"/>
                <w:kern w:val="0"/>
              </w:rPr>
              <w:t>重点支出安排率</w:t>
            </w:r>
            <w:r>
              <w:rPr>
                <w:rFonts w:hint="eastAsia" w:ascii="仿宋_GB2312" w:hAnsi="新宋体" w:eastAsia="仿宋_GB2312" w:cs="仿宋_GB2312"/>
                <w:kern w:val="0"/>
              </w:rPr>
              <w:t>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textAlignment w:val="center"/>
              <w:rPr>
                <w:rFonts w:ascii="仿宋" w:hAnsi="仿宋" w:eastAsia="仿宋" w:cs="Times New Roman"/>
                <w:kern w:val="0"/>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w:t>
            </w:r>
            <w:r>
              <w:rPr>
                <w:rFonts w:hint="eastAsia" w:ascii="仿宋" w:hAnsi="仿宋" w:eastAsia="仿宋" w:cs="仿宋"/>
                <w:color w:val="000000"/>
                <w:kern w:val="0"/>
              </w:rPr>
              <w:t>重点支出安排率</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min</w:t>
            </w:r>
            <w:r>
              <w:rPr>
                <w:rFonts w:hint="eastAsia" w:ascii="仿宋_GB2312" w:hAnsi="新宋体" w:eastAsia="仿宋_GB2312" w:cs="仿宋_GB2312"/>
                <w:kern w:val="0"/>
              </w:rPr>
              <w:t>（</w:t>
            </w:r>
            <w:r>
              <w:rPr>
                <w:rFonts w:hint="eastAsia" w:ascii="仿宋" w:hAnsi="仿宋" w:eastAsia="仿宋" w:cs="仿宋"/>
                <w:color w:val="000000"/>
                <w:kern w:val="0"/>
              </w:rPr>
              <w:t>重点支出安排率</w:t>
            </w:r>
            <w:r>
              <w:rPr>
                <w:rFonts w:hint="eastAsia" w:ascii="仿宋_GB2312" w:hAnsi="新宋体" w:eastAsia="仿宋_GB2312" w:cs="仿宋_GB2312"/>
                <w:kern w:val="0"/>
              </w:rPr>
              <w:t>）</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top w:val="single" w:color="auto" w:sz="4" w:space="0"/>
              <w:left w:val="single" w:color="auto" w:sz="4" w:space="0"/>
            </w:tcBorders>
            <w:vAlign w:val="center"/>
          </w:tcPr>
          <w:p>
            <w:pPr>
              <w:widowControl/>
              <w:spacing w:line="240" w:lineRule="exact"/>
              <w:jc w:val="center"/>
              <w:rPr>
                <w:rFonts w:hint="eastAsia" w:eastAsia="宋体"/>
                <w:lang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过程</w:t>
            </w:r>
            <w:r>
              <w:rPr>
                <w:rFonts w:ascii="仿宋_GB2312" w:hAnsi="新宋体" w:eastAsia="仿宋_GB2312" w:cs="仿宋_GB2312"/>
                <w:kern w:val="0"/>
              </w:rPr>
              <w:t>(45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预算执行情况</w:t>
            </w:r>
            <w:r>
              <w:rPr>
                <w:rFonts w:ascii="仿宋_GB2312" w:hAnsi="新宋体" w:eastAsia="仿宋_GB2312" w:cs="仿宋_GB2312"/>
                <w:kern w:val="0"/>
              </w:rPr>
              <w:t>(25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预算完成率（</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通过对部门本年度预算完成数与预算数的比较，反映和评价部门预算的完成程度。</w:t>
            </w:r>
          </w:p>
          <w:p>
            <w:pPr>
              <w:widowControl/>
              <w:spacing w:line="240" w:lineRule="exact"/>
              <w:jc w:val="left"/>
              <w:rPr>
                <w:rFonts w:cs="Times New Roman"/>
              </w:rPr>
            </w:pPr>
            <w:r>
              <w:rPr>
                <w:rFonts w:hint="eastAsia" w:ascii="仿宋_GB2312" w:hAnsi="新宋体" w:eastAsia="仿宋_GB2312" w:cs="仿宋_GB2312"/>
                <w:kern w:val="0"/>
              </w:rPr>
              <w:t>预算完成率</w:t>
            </w:r>
            <w:r>
              <w:rPr>
                <w:rFonts w:ascii="仿宋_GB2312" w:hAnsi="新宋体" w:eastAsia="仿宋_GB2312" w:cs="仿宋_GB2312"/>
                <w:kern w:val="0"/>
              </w:rPr>
              <w:t>=</w:t>
            </w:r>
            <w:r>
              <w:rPr>
                <w:rFonts w:hint="eastAsia" w:ascii="仿宋_GB2312" w:hAnsi="新宋体" w:eastAsia="仿宋_GB2312" w:cs="仿宋_GB2312"/>
                <w:kern w:val="0"/>
              </w:rPr>
              <w:t>（预算完成数</w:t>
            </w:r>
            <w:r>
              <w:rPr>
                <w:rFonts w:ascii="仿宋_GB2312" w:hAnsi="新宋体" w:eastAsia="仿宋_GB2312" w:cs="仿宋_GB2312"/>
                <w:kern w:val="0"/>
              </w:rPr>
              <w:t>/</w:t>
            </w:r>
            <w:r>
              <w:rPr>
                <w:rFonts w:hint="eastAsia" w:ascii="仿宋_GB2312" w:hAnsi="新宋体" w:eastAsia="仿宋_GB2312" w:cs="仿宋_GB2312"/>
                <w:kern w:val="0"/>
              </w:rPr>
              <w:t>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预算完成率大于或等于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预算完成率小于或等于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预算完成率在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某部门预算完成率</w:t>
            </w:r>
            <w:r>
              <w:rPr>
                <w:rFonts w:ascii="仿宋_GB2312" w:hAnsi="新宋体" w:eastAsia="仿宋_GB2312" w:cs="仿宋_GB2312"/>
                <w:kern w:val="0"/>
              </w:rPr>
              <w:t>-min</w:t>
            </w:r>
            <w:r>
              <w:rPr>
                <w:rFonts w:hint="eastAsia" w:ascii="仿宋_GB2312" w:hAnsi="新宋体" w:eastAsia="仿宋_GB2312" w:cs="仿宋_GB2312"/>
                <w:kern w:val="0"/>
              </w:rPr>
              <w:t>（预算完成率）</w:t>
            </w:r>
            <w:r>
              <w:rPr>
                <w:rFonts w:ascii="仿宋_GB2312" w:hAnsi="新宋体" w:eastAsia="仿宋_GB2312" w:cs="仿宋_GB2312"/>
                <w:kern w:val="0"/>
              </w:rPr>
              <w:t>]/[max</w:t>
            </w:r>
            <w:r>
              <w:rPr>
                <w:rFonts w:hint="eastAsia" w:ascii="仿宋_GB2312" w:hAnsi="新宋体" w:eastAsia="仿宋_GB2312" w:cs="仿宋_GB2312"/>
                <w:kern w:val="0"/>
              </w:rPr>
              <w:t>（预算完成率）－</w:t>
            </w:r>
            <w:r>
              <w:rPr>
                <w:rFonts w:ascii="仿宋_GB2312" w:hAnsi="新宋体" w:eastAsia="仿宋_GB2312" w:cs="仿宋_GB2312"/>
                <w:kern w:val="0"/>
              </w:rPr>
              <w:t>min</w:t>
            </w:r>
            <w:r>
              <w:rPr>
                <w:rFonts w:hint="eastAsia" w:ascii="仿宋_GB2312" w:hAnsi="新宋体" w:eastAsia="仿宋_GB2312" w:cs="仿宋_GB2312"/>
                <w:kern w:val="0"/>
              </w:rPr>
              <w:t>（预算完成率）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预算调整率（</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部门本年度预算调整数与预算数的比率，用以反映和评价部门预算的调整程度。</w:t>
            </w:r>
          </w:p>
          <w:p>
            <w:pPr>
              <w:widowControl/>
              <w:spacing w:line="240" w:lineRule="exact"/>
              <w:jc w:val="left"/>
              <w:rPr>
                <w:rFonts w:cs="Times New Roman"/>
              </w:rPr>
            </w:pPr>
            <w:r>
              <w:rPr>
                <w:rFonts w:hint="eastAsia" w:ascii="仿宋_GB2312" w:hAnsi="新宋体" w:eastAsia="仿宋_GB2312" w:cs="仿宋_GB2312"/>
                <w:kern w:val="0"/>
              </w:rPr>
              <w:t>预算调整率</w:t>
            </w:r>
            <w:r>
              <w:rPr>
                <w:rFonts w:ascii="仿宋_GB2312" w:hAnsi="新宋体" w:eastAsia="仿宋_GB2312" w:cs="仿宋_GB2312"/>
                <w:kern w:val="0"/>
              </w:rPr>
              <w:t>=</w:t>
            </w:r>
            <w:r>
              <w:rPr>
                <w:rFonts w:hint="eastAsia" w:ascii="仿宋_GB2312" w:hAnsi="新宋体" w:eastAsia="仿宋_GB2312" w:cs="仿宋_GB2312"/>
                <w:kern w:val="0"/>
              </w:rPr>
              <w:t>（预算调整数</w:t>
            </w:r>
            <w:r>
              <w:rPr>
                <w:rFonts w:ascii="仿宋_GB2312" w:hAnsi="新宋体" w:eastAsia="仿宋_GB2312" w:cs="仿宋_GB2312"/>
                <w:kern w:val="0"/>
              </w:rPr>
              <w:t>/</w:t>
            </w:r>
            <w:r>
              <w:rPr>
                <w:rFonts w:hint="eastAsia" w:ascii="仿宋_GB2312" w:hAnsi="新宋体" w:eastAsia="仿宋_GB2312" w:cs="仿宋_GB2312"/>
                <w:kern w:val="0"/>
              </w:rPr>
              <w:t>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预算调整率等于</w:t>
            </w:r>
            <w:r>
              <w:rPr>
                <w:rFonts w:ascii="仿宋_GB2312" w:hAnsi="新宋体" w:eastAsia="仿宋_GB2312" w:cs="仿宋_GB2312"/>
                <w:kern w:val="0"/>
              </w:rPr>
              <w:t>0</w:t>
            </w:r>
            <w:r>
              <w:rPr>
                <w:rFonts w:hint="eastAsia" w:ascii="仿宋_GB2312" w:hAnsi="新宋体" w:eastAsia="仿宋_GB2312" w:cs="仿宋_GB2312"/>
                <w:kern w:val="0"/>
              </w:rPr>
              <w:t>的，得满分；</w:t>
            </w:r>
            <w:r>
              <w:rPr>
                <w:rFonts w:ascii="仿宋_GB2312" w:hAnsi="新宋体" w:eastAsia="仿宋_GB2312" w:cs="仿宋_GB2312"/>
                <w:kern w:val="0"/>
              </w:rPr>
              <w:t xml:space="preserve"> </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预算调整率大于或等于</w:t>
            </w:r>
            <w:r>
              <w:rPr>
                <w:rFonts w:ascii="仿宋_GB2312" w:hAnsi="新宋体" w:eastAsia="仿宋_GB2312" w:cs="仿宋_GB2312"/>
                <w:kern w:val="0"/>
              </w:rPr>
              <w:t>10%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预算调整率在</w:t>
            </w:r>
            <w:r>
              <w:rPr>
                <w:rFonts w:ascii="仿宋_GB2312" w:hAnsi="新宋体" w:eastAsia="仿宋_GB2312" w:cs="仿宋_GB2312"/>
                <w:kern w:val="0"/>
              </w:rPr>
              <w:t>0-10%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分和满分之间确定：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（预算调整率）</w:t>
            </w:r>
            <w:r>
              <w:rPr>
                <w:rFonts w:ascii="仿宋_GB2312" w:hAnsi="新宋体" w:eastAsia="仿宋_GB2312" w:cs="仿宋_GB2312"/>
                <w:kern w:val="0"/>
              </w:rPr>
              <w:t>-</w:t>
            </w:r>
            <w:r>
              <w:rPr>
                <w:rFonts w:hint="eastAsia" w:ascii="仿宋_GB2312" w:hAnsi="新宋体" w:eastAsia="仿宋_GB2312" w:cs="仿宋_GB2312"/>
                <w:kern w:val="0"/>
              </w:rPr>
              <w:t>某部门预算调整率］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（预算调整率）</w:t>
            </w:r>
            <w:r>
              <w:rPr>
                <w:rFonts w:ascii="仿宋_GB2312" w:hAnsi="新宋体" w:eastAsia="仿宋_GB2312" w:cs="仿宋_GB2312"/>
                <w:kern w:val="0"/>
              </w:rPr>
              <w:t>-min</w:t>
            </w:r>
            <w:r>
              <w:rPr>
                <w:rFonts w:hint="eastAsia" w:ascii="仿宋_GB2312" w:hAnsi="新宋体" w:eastAsia="仿宋_GB2312" w:cs="仿宋_GB2312"/>
                <w:kern w:val="0"/>
              </w:rPr>
              <w:t>（预算调整率）］×该指标分值。</w:t>
            </w:r>
          </w:p>
        </w:tc>
        <w:tc>
          <w:tcPr>
            <w:tcW w:w="765" w:type="dxa"/>
            <w:tcBorders>
              <w:left w:val="single" w:color="auto" w:sz="4" w:space="0"/>
            </w:tcBorders>
            <w:vAlign w:val="center"/>
          </w:tcPr>
          <w:p>
            <w:pPr>
              <w:widowControl/>
              <w:spacing w:line="240" w:lineRule="exact"/>
              <w:jc w:val="center"/>
              <w:rPr>
                <w:rFonts w:hint="default" w:eastAsia="宋体"/>
                <w:lang w:val="en-US" w:eastAsia="zh-CN"/>
              </w:rPr>
            </w:pPr>
            <w:r>
              <w:rPr>
                <w:rFonts w:hint="eastAsia"/>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color w:val="000000"/>
                <w:kern w:val="0"/>
              </w:rPr>
              <w:t>支付进度率</w:t>
            </w: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部门年度支付数与年度任务数的比率，用以反映和评价部门预算执行的及时和均衡程度。</w:t>
            </w:r>
          </w:p>
          <w:p>
            <w:pPr>
              <w:widowControl/>
              <w:spacing w:line="240" w:lineRule="exact"/>
              <w:jc w:val="left"/>
              <w:rPr>
                <w:rFonts w:cs="Times New Roman"/>
              </w:rPr>
            </w:pPr>
            <w:r>
              <w:rPr>
                <w:rFonts w:hint="eastAsia" w:ascii="仿宋_GB2312" w:hAnsi="新宋体" w:eastAsia="仿宋_GB2312" w:cs="仿宋_GB2312"/>
                <w:kern w:val="0"/>
              </w:rPr>
              <w:t>支付进度率</w:t>
            </w:r>
            <w:r>
              <w:rPr>
                <w:rFonts w:ascii="仿宋_GB2312" w:hAnsi="新宋体" w:eastAsia="仿宋_GB2312" w:cs="仿宋_GB2312"/>
                <w:kern w:val="0"/>
              </w:rPr>
              <w:t>=</w:t>
            </w:r>
            <w:r>
              <w:rPr>
                <w:rFonts w:hint="eastAsia" w:ascii="仿宋_GB2312" w:hAnsi="新宋体" w:eastAsia="仿宋_GB2312" w:cs="仿宋_GB2312"/>
                <w:kern w:val="0"/>
              </w:rPr>
              <w:t>（年度支付数</w:t>
            </w:r>
            <w:r>
              <w:rPr>
                <w:rFonts w:ascii="仿宋_GB2312" w:hAnsi="新宋体" w:eastAsia="仿宋_GB2312" w:cs="仿宋_GB2312"/>
                <w:kern w:val="0"/>
              </w:rPr>
              <w:t>/</w:t>
            </w:r>
            <w:r>
              <w:rPr>
                <w:rFonts w:hint="eastAsia" w:ascii="仿宋_GB2312" w:hAnsi="新宋体" w:eastAsia="仿宋_GB2312" w:cs="仿宋_GB2312"/>
                <w:kern w:val="0"/>
              </w:rPr>
              <w:t>年度任务数）×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按年度的执行情况进行打分。得分</w:t>
            </w:r>
            <w:r>
              <w:rPr>
                <w:rFonts w:ascii="仿宋_GB2312" w:hAnsi="新宋体" w:eastAsia="仿宋_GB2312" w:cs="仿宋_GB2312"/>
                <w:kern w:val="0"/>
              </w:rPr>
              <w:t>=</w:t>
            </w:r>
            <w:r>
              <w:rPr>
                <w:rFonts w:hint="eastAsia" w:ascii="仿宋_GB2312" w:hAnsi="新宋体" w:eastAsia="仿宋_GB2312" w:cs="仿宋_GB2312"/>
                <w:kern w:val="0"/>
              </w:rPr>
              <w:t>年度支付数</w:t>
            </w:r>
            <w:r>
              <w:rPr>
                <w:rFonts w:ascii="仿宋_GB2312" w:hAnsi="新宋体" w:eastAsia="仿宋_GB2312" w:cs="仿宋_GB2312"/>
                <w:kern w:val="0"/>
              </w:rPr>
              <w:t>/</w:t>
            </w:r>
            <w:r>
              <w:rPr>
                <w:rFonts w:hint="eastAsia" w:ascii="仿宋_GB2312" w:hAnsi="新宋体" w:eastAsia="仿宋_GB2312" w:cs="仿宋_GB2312"/>
                <w:kern w:val="0"/>
              </w:rPr>
              <w:t>年度任务数×该指标分值。</w:t>
            </w:r>
          </w:p>
          <w:p>
            <w:pPr>
              <w:widowControl/>
              <w:spacing w:line="240" w:lineRule="exact"/>
              <w:jc w:val="left"/>
              <w:rPr>
                <w:rFonts w:cs="Times New Roman"/>
              </w:rPr>
            </w:pPr>
          </w:p>
        </w:tc>
        <w:tc>
          <w:tcPr>
            <w:tcW w:w="765" w:type="dxa"/>
            <w:tcBorders>
              <w:left w:val="single" w:color="auto" w:sz="4" w:space="0"/>
            </w:tcBorders>
            <w:vAlign w:val="center"/>
          </w:tcPr>
          <w:p>
            <w:pPr>
              <w:widowControl/>
              <w:spacing w:line="240" w:lineRule="exact"/>
              <w:jc w:val="center"/>
              <w:rPr>
                <w:rFonts w:hint="eastAsia" w:eastAsia="宋体"/>
                <w:lang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结转结余率（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通过对部门本年度结转结余总额与支出预算数的比较，反映和评价部门对本年度结转结余资金的实际控制程度。</w:t>
            </w:r>
          </w:p>
          <w:p>
            <w:pPr>
              <w:widowControl/>
              <w:spacing w:line="240" w:lineRule="exact"/>
              <w:jc w:val="left"/>
              <w:rPr>
                <w:rFonts w:cs="Times New Roman"/>
              </w:rPr>
            </w:pPr>
            <w:r>
              <w:rPr>
                <w:rFonts w:hint="eastAsia" w:ascii="仿宋_GB2312" w:hAnsi="新宋体" w:eastAsia="仿宋_GB2312" w:cs="仿宋_GB2312"/>
                <w:kern w:val="0"/>
              </w:rPr>
              <w:t>结转结余率</w:t>
            </w:r>
            <w:r>
              <w:rPr>
                <w:rFonts w:ascii="仿宋_GB2312" w:hAnsi="新宋体" w:eastAsia="仿宋_GB2312" w:cs="仿宋_GB2312"/>
                <w:kern w:val="0"/>
              </w:rPr>
              <w:t>=</w:t>
            </w:r>
            <w:r>
              <w:rPr>
                <w:rFonts w:hint="eastAsia" w:ascii="仿宋_GB2312" w:hAnsi="新宋体" w:eastAsia="仿宋_GB2312" w:cs="仿宋_GB2312"/>
                <w:kern w:val="0"/>
              </w:rPr>
              <w:t>（结转结余总额</w:t>
            </w:r>
            <w:r>
              <w:rPr>
                <w:rFonts w:ascii="仿宋_GB2312" w:hAnsi="新宋体" w:eastAsia="仿宋_GB2312" w:cs="仿宋_GB2312"/>
                <w:kern w:val="0"/>
              </w:rPr>
              <w:t>/</w:t>
            </w:r>
            <w:r>
              <w:rPr>
                <w:rFonts w:hint="eastAsia" w:ascii="仿宋_GB2312" w:hAnsi="新宋体" w:eastAsia="仿宋_GB2312" w:cs="仿宋_GB2312"/>
                <w:kern w:val="0"/>
              </w:rPr>
              <w:t>支出预算数）×</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结转结余率等于</w:t>
            </w:r>
            <w:r>
              <w:rPr>
                <w:rFonts w:ascii="仿宋_GB2312" w:hAnsi="新宋体" w:eastAsia="仿宋_GB2312" w:cs="仿宋_GB2312"/>
                <w:kern w:val="0"/>
              </w:rPr>
              <w:t>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结转结余率大于或等于</w:t>
            </w:r>
            <w:r>
              <w:rPr>
                <w:rFonts w:ascii="仿宋_GB2312" w:hAnsi="新宋体" w:eastAsia="仿宋_GB2312" w:cs="仿宋_GB2312"/>
                <w:kern w:val="0"/>
              </w:rPr>
              <w:t>50%</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结转结余率在</w:t>
            </w:r>
            <w:r>
              <w:rPr>
                <w:rFonts w:ascii="仿宋_GB2312" w:hAnsi="新宋体" w:eastAsia="仿宋_GB2312" w:cs="仿宋_GB2312"/>
                <w:kern w:val="0"/>
              </w:rPr>
              <w:t>0-50%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=[max</w:t>
            </w:r>
            <w:r>
              <w:rPr>
                <w:rFonts w:hint="eastAsia" w:ascii="仿宋_GB2312" w:hAnsi="新宋体" w:eastAsia="仿宋_GB2312" w:cs="仿宋_GB2312"/>
                <w:kern w:val="0"/>
              </w:rPr>
              <w:t>（结转结余率）－某部门结转结余率</w:t>
            </w:r>
            <w:r>
              <w:rPr>
                <w:rFonts w:ascii="仿宋_GB2312" w:hAnsi="新宋体" w:eastAsia="仿宋_GB2312" w:cs="仿宋_GB2312"/>
                <w:kern w:val="0"/>
              </w:rPr>
              <w:t>]/[max</w:t>
            </w:r>
            <w:r>
              <w:rPr>
                <w:rFonts w:hint="eastAsia" w:ascii="仿宋_GB2312" w:hAnsi="新宋体" w:eastAsia="仿宋_GB2312" w:cs="仿宋_GB2312"/>
                <w:kern w:val="0"/>
              </w:rPr>
              <w:t>（结转结余率）－</w:t>
            </w:r>
            <w:r>
              <w:rPr>
                <w:rFonts w:ascii="仿宋_GB2312" w:hAnsi="新宋体" w:eastAsia="仿宋_GB2312" w:cs="仿宋_GB2312"/>
                <w:kern w:val="0"/>
              </w:rPr>
              <w:t>min</w:t>
            </w:r>
            <w:r>
              <w:rPr>
                <w:rFonts w:hint="eastAsia" w:ascii="仿宋_GB2312" w:hAnsi="新宋体" w:eastAsia="仿宋_GB2312" w:cs="仿宋_GB2312"/>
                <w:kern w:val="0"/>
              </w:rPr>
              <w:t>（结转结余率）</w:t>
            </w:r>
            <w:r>
              <w:rPr>
                <w:rFonts w:ascii="仿宋_GB2312" w:hAnsi="新宋体" w:eastAsia="仿宋_GB2312" w:cs="仿宋_GB2312"/>
                <w:kern w:val="0"/>
              </w:rPr>
              <w:t>]</w:t>
            </w:r>
            <w:r>
              <w:rPr>
                <w:rFonts w:hint="eastAsia" w:ascii="仿宋_GB2312" w:hAnsi="新宋体" w:eastAsia="仿宋_GB2312" w:cs="仿宋_GB2312"/>
                <w:kern w:val="0"/>
              </w:rPr>
              <w:t>×该指标分值。</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公用经费控制率（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通过对部门本年度实际支出的公用经费总额与预算安排的公用经费总额的比率，反映和评价部门对机构运转成本的实际控制程度。</w:t>
            </w:r>
          </w:p>
          <w:p>
            <w:pPr>
              <w:widowControl/>
              <w:spacing w:line="240" w:lineRule="exact"/>
              <w:jc w:val="left"/>
              <w:rPr>
                <w:rFonts w:cs="Times New Roman"/>
              </w:rPr>
            </w:pPr>
            <w:r>
              <w:rPr>
                <w:rFonts w:hint="eastAsia" w:ascii="仿宋_GB2312" w:hAnsi="新宋体" w:eastAsia="仿宋_GB2312" w:cs="仿宋_GB2312"/>
                <w:kern w:val="0"/>
              </w:rPr>
              <w:t>公用经费控制率</w:t>
            </w:r>
            <w:r>
              <w:rPr>
                <w:rFonts w:ascii="仿宋_GB2312" w:hAnsi="新宋体" w:eastAsia="仿宋_GB2312" w:cs="仿宋_GB2312"/>
                <w:kern w:val="0"/>
              </w:rPr>
              <w:t>=</w:t>
            </w:r>
            <w:r>
              <w:rPr>
                <w:rFonts w:hint="eastAsia" w:ascii="仿宋_GB2312" w:hAnsi="新宋体" w:eastAsia="仿宋_GB2312" w:cs="仿宋_GB2312"/>
                <w:kern w:val="0"/>
              </w:rPr>
              <w:t>（实际支出公用经费总额</w:t>
            </w:r>
            <w:r>
              <w:rPr>
                <w:rFonts w:ascii="仿宋_GB2312" w:hAnsi="新宋体" w:eastAsia="仿宋_GB2312" w:cs="仿宋_GB2312"/>
                <w:kern w:val="0"/>
              </w:rPr>
              <w:t>/</w:t>
            </w:r>
            <w:r>
              <w:rPr>
                <w:rFonts w:hint="eastAsia" w:ascii="仿宋_GB2312" w:hAnsi="新宋体" w:eastAsia="仿宋_GB2312" w:cs="仿宋_GB2312"/>
                <w:kern w:val="0"/>
              </w:rPr>
              <w:t>预算安排公用经费总额）×</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公用经费控制率小于或等于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公用经费控制率大于或等于</w:t>
            </w:r>
            <w:r>
              <w:rPr>
                <w:rFonts w:ascii="仿宋_GB2312" w:hAnsi="新宋体" w:eastAsia="仿宋_GB2312" w:cs="仿宋_GB2312"/>
                <w:kern w:val="0"/>
              </w:rPr>
              <w:t>105%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公用经费控制率在</w:t>
            </w:r>
            <w:r>
              <w:rPr>
                <w:rFonts w:ascii="仿宋_GB2312" w:hAnsi="新宋体" w:eastAsia="仿宋_GB2312" w:cs="仿宋_GB2312"/>
                <w:kern w:val="0"/>
              </w:rPr>
              <w:t>100%-105%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（公用经费控制率）</w:t>
            </w:r>
            <w:r>
              <w:rPr>
                <w:rFonts w:ascii="仿宋_GB2312" w:hAnsi="新宋体" w:eastAsia="仿宋_GB2312" w:cs="仿宋_GB2312"/>
                <w:kern w:val="0"/>
              </w:rPr>
              <w:t>-</w:t>
            </w:r>
            <w:r>
              <w:rPr>
                <w:rFonts w:hint="eastAsia" w:ascii="仿宋_GB2312" w:hAnsi="新宋体" w:eastAsia="仿宋_GB2312" w:cs="仿宋_GB2312"/>
                <w:kern w:val="0"/>
              </w:rPr>
              <w:t>某部门公用经费控制率］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（公用经费控制率）</w:t>
            </w:r>
            <w:r>
              <w:rPr>
                <w:rFonts w:ascii="仿宋_GB2312" w:hAnsi="新宋体" w:eastAsia="仿宋_GB2312" w:cs="仿宋_GB2312"/>
                <w:kern w:val="0"/>
              </w:rPr>
              <w:t>-min</w:t>
            </w:r>
            <w:r>
              <w:rPr>
                <w:rFonts w:hint="eastAsia" w:ascii="仿宋_GB2312" w:hAnsi="新宋体" w:eastAsia="仿宋_GB2312" w:cs="仿宋_GB2312"/>
                <w:kern w:val="0"/>
              </w:rPr>
              <w:t>（公用经费控制率）］×该指标分值。</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政府采购执行率（</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通过对部门本年度实际政府采购预算项目个数与政府采购预算项目个数的比较，反映和评价部门政府采购预算执行情况。</w:t>
            </w:r>
          </w:p>
          <w:p>
            <w:pPr>
              <w:widowControl/>
              <w:spacing w:line="240" w:lineRule="exact"/>
              <w:jc w:val="left"/>
              <w:rPr>
                <w:rFonts w:cs="Times New Roman"/>
              </w:rPr>
            </w:pPr>
            <w:r>
              <w:rPr>
                <w:rFonts w:hint="eastAsia" w:ascii="仿宋_GB2312" w:hAnsi="新宋体" w:eastAsia="仿宋_GB2312" w:cs="仿宋_GB2312"/>
                <w:kern w:val="0"/>
              </w:rPr>
              <w:t>政府采购执行率</w:t>
            </w:r>
            <w:r>
              <w:rPr>
                <w:rFonts w:ascii="仿宋_GB2312" w:hAnsi="新宋体" w:eastAsia="仿宋_GB2312" w:cs="仿宋_GB2312"/>
                <w:kern w:val="0"/>
              </w:rPr>
              <w:t>=</w:t>
            </w:r>
            <w:r>
              <w:rPr>
                <w:rFonts w:hint="eastAsia" w:ascii="仿宋_GB2312" w:hAnsi="新宋体" w:eastAsia="仿宋_GB2312" w:cs="仿宋_GB2312"/>
                <w:kern w:val="0"/>
              </w:rPr>
              <w:t>（实际政府采购预算项目个数</w:t>
            </w:r>
            <w:r>
              <w:rPr>
                <w:rFonts w:ascii="仿宋_GB2312" w:hAnsi="新宋体" w:eastAsia="仿宋_GB2312" w:cs="仿宋_GB2312"/>
                <w:kern w:val="0"/>
              </w:rPr>
              <w:t>/</w:t>
            </w:r>
            <w:r>
              <w:rPr>
                <w:rFonts w:hint="eastAsia" w:ascii="仿宋_GB2312" w:hAnsi="新宋体" w:eastAsia="仿宋_GB2312" w:cs="仿宋_GB2312"/>
                <w:kern w:val="0"/>
              </w:rPr>
              <w:t>政府采购预算项目个数）×</w:t>
            </w:r>
            <w:r>
              <w:rPr>
                <w:rFonts w:ascii="仿宋_GB2312" w:hAnsi="新宋体" w:eastAsia="仿宋_GB2312" w:cs="仿宋_GB2312"/>
                <w:kern w:val="0"/>
              </w:rPr>
              <w:t>100%</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政府采购项目中非预算内安排的项目除外。</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政府采购执行率等于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政府采购执行率小于或等于</w:t>
            </w:r>
            <w:r>
              <w:rPr>
                <w:rFonts w:ascii="仿宋_GB2312" w:hAnsi="新宋体" w:eastAsia="仿宋_GB2312" w:cs="仿宋_GB2312"/>
                <w:kern w:val="0"/>
              </w:rPr>
              <w:t>90%</w:t>
            </w:r>
            <w:r>
              <w:rPr>
                <w:rFonts w:hint="eastAsia" w:ascii="仿宋_GB2312" w:hAnsi="新宋体" w:eastAsia="仿宋_GB2312" w:cs="仿宋_GB2312"/>
                <w:kern w:val="0"/>
              </w:rPr>
              <w:t>的，</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政府采购执行率在</w:t>
            </w:r>
            <w:r>
              <w:rPr>
                <w:rFonts w:ascii="仿宋_GB2312" w:hAnsi="新宋体" w:eastAsia="仿宋_GB2312" w:cs="仿宋_GB2312"/>
                <w:kern w:val="0"/>
              </w:rPr>
              <w:t>90%-100%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［某部门政府采购执行率</w:t>
            </w:r>
            <w:r>
              <w:rPr>
                <w:rFonts w:ascii="仿宋_GB2312" w:hAnsi="新宋体" w:eastAsia="仿宋_GB2312" w:cs="仿宋_GB2312"/>
                <w:kern w:val="0"/>
              </w:rPr>
              <w:t>-min</w:t>
            </w:r>
            <w:r>
              <w:rPr>
                <w:rFonts w:hint="eastAsia" w:ascii="仿宋_GB2312" w:hAnsi="新宋体" w:eastAsia="仿宋_GB2312" w:cs="仿宋_GB2312"/>
                <w:kern w:val="0"/>
              </w:rPr>
              <w:t>（政府采购执行率）］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（政府采购执行率）</w:t>
            </w:r>
            <w:r>
              <w:rPr>
                <w:rFonts w:ascii="仿宋_GB2312" w:hAnsi="新宋体" w:eastAsia="仿宋_GB2312" w:cs="仿宋_GB2312"/>
                <w:kern w:val="0"/>
              </w:rPr>
              <w:t>-min</w:t>
            </w:r>
            <w:r>
              <w:rPr>
                <w:rFonts w:hint="eastAsia" w:ascii="仿宋_GB2312" w:hAnsi="新宋体" w:eastAsia="仿宋_GB2312" w:cs="仿宋_GB2312"/>
                <w:kern w:val="0"/>
              </w:rPr>
              <w:t>（政府采购执行率）］×该指标分值。</w:t>
            </w:r>
          </w:p>
        </w:tc>
        <w:tc>
          <w:tcPr>
            <w:tcW w:w="765" w:type="dxa"/>
            <w:tcBorders>
              <w:left w:val="single" w:color="auto" w:sz="4" w:space="0"/>
            </w:tcBorders>
            <w:vAlign w:val="center"/>
          </w:tcPr>
          <w:p>
            <w:pPr>
              <w:widowControl/>
              <w:spacing w:line="240" w:lineRule="exact"/>
              <w:jc w:val="center"/>
              <w:rPr>
                <w:rFonts w:hint="eastAsia" w:eastAsia="宋体"/>
                <w:lang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0" w:hRule="atLeast"/>
        </w:trPr>
        <w:tc>
          <w:tcPr>
            <w:tcW w:w="795" w:type="dxa"/>
            <w:vMerge w:val="continue"/>
            <w:vAlign w:val="center"/>
          </w:tcPr>
          <w:p>
            <w:pPr>
              <w:spacing w:line="240" w:lineRule="exact"/>
              <w:rPr>
                <w:rFonts w:ascii="宋体" w:cs="Times New Roman"/>
              </w:rPr>
            </w:pP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预算管理情况</w:t>
            </w:r>
          </w:p>
          <w:p>
            <w:pPr>
              <w:widowControl/>
              <w:spacing w:line="240" w:lineRule="exact"/>
              <w:jc w:val="left"/>
              <w:rPr>
                <w:rFonts w:cs="Times New Roman"/>
              </w:rPr>
            </w:pPr>
            <w:r>
              <w:rPr>
                <w:rFonts w:hint="eastAsia" w:ascii="仿宋_GB2312" w:hAnsi="新宋体" w:eastAsia="仿宋_GB2312" w:cs="仿宋_GB2312"/>
                <w:kern w:val="0"/>
              </w:rPr>
              <w:t>（</w:t>
            </w:r>
            <w:r>
              <w:rPr>
                <w:rFonts w:ascii="仿宋_GB2312" w:hAnsi="新宋体" w:eastAsia="仿宋_GB2312" w:cs="仿宋_GB2312"/>
                <w:kern w:val="0"/>
              </w:rPr>
              <w:t>15</w:t>
            </w:r>
            <w:r>
              <w:rPr>
                <w:rFonts w:hint="eastAsia" w:ascii="仿宋_GB2312" w:hAnsi="新宋体" w:eastAsia="仿宋_GB2312" w:cs="仿宋_GB2312"/>
                <w:kern w:val="0"/>
              </w:rPr>
              <w:t>）</w:t>
            </w: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资金使用合规性（</w:t>
            </w:r>
            <w:r>
              <w:rPr>
                <w:rFonts w:ascii="仿宋_GB2312" w:hAnsi="新宋体" w:eastAsia="仿宋_GB2312" w:cs="仿宋_GB2312"/>
                <w:kern w:val="0"/>
              </w:rPr>
              <w:t>8</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部门使用预算资金是否符合相关的预算财务管理制度的规定，反映和评价部门预算资金的规范运行情况。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符合国家财经法规和财务管理制度规定以及有关部门资金管理办法的规定；</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资金的拨付有完整的审批过程和手续；</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项目的重大开支经过评估论证；</w:t>
            </w:r>
          </w:p>
          <w:p>
            <w:pPr>
              <w:widowControl/>
              <w:spacing w:line="240" w:lineRule="exact"/>
              <w:jc w:val="left"/>
              <w:rPr>
                <w:rFonts w:cs="Times New Roman"/>
              </w:rPr>
            </w:pPr>
            <w:r>
              <w:rPr>
                <w:rFonts w:ascii="仿宋_GB2312" w:hAnsi="新宋体" w:eastAsia="仿宋_GB2312" w:cs="仿宋_GB2312"/>
                <w:kern w:val="0"/>
              </w:rPr>
              <w:t>4.</w:t>
            </w:r>
            <w:r>
              <w:rPr>
                <w:rFonts w:hint="eastAsia" w:ascii="仿宋_GB2312" w:hAnsi="新宋体" w:eastAsia="仿宋_GB2312" w:cs="仿宋_GB2312"/>
                <w:kern w:val="0"/>
              </w:rPr>
              <w:t>符合部门预算批复的用途；</w:t>
            </w:r>
          </w:p>
          <w:p>
            <w:pPr>
              <w:widowControl/>
              <w:spacing w:line="240" w:lineRule="exact"/>
              <w:jc w:val="left"/>
              <w:rPr>
                <w:rFonts w:cs="Times New Roman"/>
              </w:rPr>
            </w:pPr>
            <w:r>
              <w:rPr>
                <w:rFonts w:ascii="仿宋_GB2312" w:hAnsi="新宋体" w:eastAsia="仿宋_GB2312" w:cs="仿宋_GB2312"/>
                <w:kern w:val="0"/>
              </w:rPr>
              <w:t>5.</w:t>
            </w:r>
            <w:r>
              <w:rPr>
                <w:rFonts w:hint="eastAsia" w:ascii="仿宋_GB2312" w:hAnsi="新宋体" w:eastAsia="仿宋_GB2312" w:cs="仿宋_GB2312"/>
                <w:kern w:val="0"/>
              </w:rPr>
              <w:t>不存在截留情况；</w:t>
            </w:r>
          </w:p>
          <w:p>
            <w:pPr>
              <w:widowControl/>
              <w:spacing w:line="240" w:lineRule="exact"/>
              <w:jc w:val="left"/>
              <w:rPr>
                <w:rFonts w:cs="Times New Roman"/>
              </w:rPr>
            </w:pPr>
            <w:r>
              <w:rPr>
                <w:rFonts w:ascii="仿宋_GB2312" w:hAnsi="新宋体" w:eastAsia="仿宋_GB2312" w:cs="仿宋_GB2312"/>
                <w:kern w:val="0"/>
              </w:rPr>
              <w:t>6.</w:t>
            </w:r>
            <w:r>
              <w:rPr>
                <w:rFonts w:hint="eastAsia" w:ascii="仿宋_GB2312" w:hAnsi="新宋体" w:eastAsia="仿宋_GB2312" w:cs="仿宋_GB2312"/>
                <w:kern w:val="0"/>
              </w:rPr>
              <w:t>不存在挤占情况；</w:t>
            </w:r>
          </w:p>
          <w:p>
            <w:pPr>
              <w:widowControl/>
              <w:spacing w:line="240" w:lineRule="exact"/>
              <w:jc w:val="left"/>
              <w:rPr>
                <w:rFonts w:cs="Times New Roman"/>
              </w:rPr>
            </w:pPr>
            <w:r>
              <w:rPr>
                <w:rFonts w:ascii="仿宋_GB2312" w:hAnsi="新宋体" w:eastAsia="仿宋_GB2312" w:cs="仿宋_GB2312"/>
                <w:kern w:val="0"/>
              </w:rPr>
              <w:t>7.</w:t>
            </w:r>
            <w:r>
              <w:rPr>
                <w:rFonts w:hint="eastAsia" w:ascii="仿宋_GB2312" w:hAnsi="新宋体" w:eastAsia="仿宋_GB2312" w:cs="仿宋_GB2312"/>
                <w:kern w:val="0"/>
              </w:rPr>
              <w:t>不存在挪用情况；</w:t>
            </w:r>
          </w:p>
          <w:p>
            <w:pPr>
              <w:widowControl/>
              <w:spacing w:line="240" w:lineRule="exact"/>
              <w:jc w:val="left"/>
              <w:rPr>
                <w:rFonts w:cs="Times New Roman"/>
              </w:rPr>
            </w:pPr>
            <w:r>
              <w:rPr>
                <w:rFonts w:ascii="仿宋_GB2312" w:hAnsi="新宋体" w:eastAsia="仿宋_GB2312" w:cs="仿宋_GB2312"/>
                <w:kern w:val="0"/>
              </w:rPr>
              <w:t>8.</w:t>
            </w:r>
            <w:r>
              <w:rPr>
                <w:rFonts w:hint="eastAsia" w:ascii="仿宋_GB2312" w:hAnsi="新宋体" w:eastAsia="仿宋_GB2312" w:cs="仿宋_GB2312"/>
                <w:kern w:val="0"/>
              </w:rPr>
              <w:t>不存在虚列支出情况。</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8</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符合其中七项（</w:t>
            </w:r>
            <w:r>
              <w:rPr>
                <w:rFonts w:ascii="仿宋_GB2312" w:hAnsi="新宋体" w:eastAsia="仿宋_GB2312" w:cs="仿宋_GB2312"/>
                <w:kern w:val="0"/>
              </w:rPr>
              <w:t>6</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符合其中六项（</w:t>
            </w:r>
            <w:r>
              <w:rPr>
                <w:rFonts w:ascii="仿宋_GB2312" w:hAnsi="新宋体" w:eastAsia="仿宋_GB2312" w:cs="仿宋_GB2312"/>
                <w:kern w:val="0"/>
              </w:rPr>
              <w:t>4</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符合其中五项（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符合其中四项及以下（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pPr>
              <w:widowControl/>
              <w:spacing w:line="240" w:lineRule="exact"/>
              <w:jc w:val="center"/>
            </w:pPr>
            <w: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预决算信息公开性（</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部门是否按照政府信息公开有关规定公开相关预决算信息，用以反映和评价部门预决算管理的公开透明情况。</w:t>
            </w:r>
          </w:p>
          <w:p>
            <w:pPr>
              <w:widowControl/>
              <w:spacing w:line="240" w:lineRule="exact"/>
              <w:jc w:val="left"/>
              <w:rPr>
                <w:rFonts w:cs="Times New Roman"/>
              </w:rPr>
            </w:pPr>
            <w:r>
              <w:rPr>
                <w:rFonts w:hint="eastAsia" w:ascii="仿宋_GB2312" w:hAnsi="新宋体" w:eastAsia="仿宋_GB2312" w:cs="仿宋_GB2312"/>
                <w:kern w:val="0"/>
              </w:rPr>
              <w:t>预决算信息是指与部门预算、执行、决算、监督、绩效等管理相关的信息。</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公开预决算信息；</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按规定内容公开预决算信息；</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按规定时限公开预决算信息。</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全部符合（</w:t>
            </w:r>
            <w:r>
              <w:rPr>
                <w:rFonts w:ascii="仿宋_GB2312" w:hAnsi="新宋体" w:eastAsia="仿宋_GB2312" w:cs="仿宋_GB2312"/>
                <w:kern w:val="0"/>
              </w:rPr>
              <w:t>3</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符合其中一项及以下（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pPr>
              <w:widowControl/>
              <w:spacing w:line="240" w:lineRule="exact"/>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color w:val="000000"/>
                <w:kern w:val="0"/>
              </w:rPr>
              <w:t>基础信息完善性</w:t>
            </w:r>
            <w:r>
              <w:rPr>
                <w:rFonts w:hint="eastAsia" w:ascii="仿宋_GB2312" w:hAnsi="新宋体" w:eastAsia="仿宋_GB2312" w:cs="仿宋_GB2312"/>
                <w:kern w:val="0"/>
              </w:rPr>
              <w:t>（</w:t>
            </w:r>
            <w:r>
              <w:rPr>
                <w:rFonts w:ascii="仿宋_GB2312" w:hAnsi="新宋体" w:eastAsia="仿宋_GB2312" w:cs="仿宋_GB2312"/>
                <w:kern w:val="0"/>
              </w:rPr>
              <w:t>4</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部门基础信息是否完善，用以反映和评价基础信息对预算管理工作的支撑情况。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基本财务管理制度健全；</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基础数据信息和会计信息资料真实；</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基础数据信息和会计信息资料完整；</w:t>
            </w:r>
          </w:p>
          <w:p>
            <w:pPr>
              <w:widowControl/>
              <w:spacing w:line="240" w:lineRule="exact"/>
              <w:jc w:val="left"/>
              <w:rPr>
                <w:rFonts w:cs="Times New Roman"/>
              </w:rPr>
            </w:pPr>
            <w:r>
              <w:rPr>
                <w:rFonts w:ascii="仿宋_GB2312" w:hAnsi="新宋体" w:eastAsia="仿宋_GB2312" w:cs="仿宋_GB2312"/>
                <w:kern w:val="0"/>
              </w:rPr>
              <w:t>4.</w:t>
            </w:r>
            <w:r>
              <w:rPr>
                <w:rFonts w:hint="eastAsia" w:ascii="仿宋_GB2312" w:hAnsi="新宋体" w:eastAsia="仿宋_GB2312" w:cs="仿宋_GB2312"/>
                <w:kern w:val="0"/>
              </w:rPr>
              <w:t>基础数据信息和会计信息资料准确。</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符合全部四项（</w:t>
            </w:r>
            <w:r>
              <w:rPr>
                <w:rFonts w:ascii="仿宋_GB2312" w:hAnsi="新宋体" w:eastAsia="仿宋_GB2312" w:cs="仿宋_GB2312"/>
                <w:kern w:val="0"/>
              </w:rPr>
              <w:t>4</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符合其中三项（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1</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符合其中一项及以下（</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left w:val="single" w:color="auto" w:sz="4" w:space="0"/>
            </w:tcBorders>
            <w:vAlign w:val="center"/>
          </w:tcPr>
          <w:p>
            <w:pPr>
              <w:widowControl/>
              <w:spacing w:line="240" w:lineRule="exact"/>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trPr>
        <w:tc>
          <w:tcPr>
            <w:tcW w:w="795" w:type="dxa"/>
            <w:vMerge w:val="continue"/>
            <w:vAlign w:val="center"/>
          </w:tcPr>
          <w:p>
            <w:pPr>
              <w:spacing w:line="240" w:lineRule="exact"/>
              <w:rPr>
                <w:rFonts w:ascii="宋体" w:cs="Times New Roman"/>
              </w:rPr>
            </w:pP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资产管理情况（</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990" w:type="dxa"/>
            <w:tcBorders>
              <w:top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资产管理完整性（</w:t>
            </w:r>
            <w:r>
              <w:rPr>
                <w:rFonts w:ascii="仿宋_GB2312" w:hAnsi="新宋体" w:eastAsia="仿宋_GB2312" w:cs="仿宋_GB2312"/>
                <w:kern w:val="0"/>
              </w:rPr>
              <w:t>2</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部门的资产是否保存完整、使用合规、收入及时足额上缴，用以反映和评价部门资产运行情况。</w:t>
            </w:r>
          </w:p>
          <w:p>
            <w:pPr>
              <w:widowControl/>
              <w:spacing w:line="240" w:lineRule="exact"/>
              <w:jc w:val="left"/>
              <w:rPr>
                <w:rFonts w:cs="Times New Roman"/>
              </w:rPr>
            </w:pPr>
            <w:r>
              <w:rPr>
                <w:rFonts w:hint="eastAsia" w:ascii="仿宋_GB2312" w:hAnsi="新宋体" w:eastAsia="仿宋_GB2312" w:cs="仿宋_GB2312"/>
                <w:kern w:val="0"/>
              </w:rPr>
              <w:t>评价要点：</w:t>
            </w:r>
          </w:p>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资产保存完整；</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资产账务管理是否合规，帐实相符；</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资产有偿使用及处置收入及时足额上缴。</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符合全部三项（</w:t>
            </w:r>
            <w:r>
              <w:rPr>
                <w:rFonts w:ascii="仿宋_GB2312" w:hAnsi="新宋体" w:eastAsia="仿宋_GB2312" w:cs="仿宋_GB2312"/>
                <w:kern w:val="0"/>
              </w:rPr>
              <w:t>3</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符合其中两项（</w:t>
            </w:r>
            <w:r>
              <w:rPr>
                <w:rFonts w:ascii="仿宋_GB2312" w:hAnsi="新宋体" w:eastAsia="仿宋_GB2312" w:cs="仿宋_GB2312"/>
                <w:kern w:val="0"/>
              </w:rPr>
              <w:t>2</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符合其中一项（</w:t>
            </w:r>
            <w:r>
              <w:rPr>
                <w:rFonts w:ascii="仿宋_GB2312" w:hAnsi="新宋体" w:eastAsia="仿宋_GB2312" w:cs="仿宋_GB2312"/>
                <w:kern w:val="0"/>
              </w:rPr>
              <w:t>1</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符合零项（</w:t>
            </w:r>
            <w:r>
              <w:rPr>
                <w:rFonts w:ascii="仿宋_GB2312" w:hAnsi="新宋体" w:eastAsia="仿宋_GB2312" w:cs="仿宋_GB2312"/>
                <w:kern w:val="0"/>
              </w:rPr>
              <w:t>0</w:t>
            </w:r>
            <w:r>
              <w:rPr>
                <w:rFonts w:hint="eastAsia" w:ascii="仿宋_GB2312" w:hAnsi="新宋体" w:eastAsia="仿宋_GB2312" w:cs="仿宋_GB2312"/>
                <w:kern w:val="0"/>
              </w:rPr>
              <w:t>）。</w:t>
            </w:r>
          </w:p>
        </w:tc>
        <w:tc>
          <w:tcPr>
            <w:tcW w:w="765" w:type="dxa"/>
            <w:tcBorders>
              <w:top w:val="single" w:color="auto" w:sz="4" w:space="0"/>
              <w:left w:val="single" w:color="auto" w:sz="4" w:space="0"/>
            </w:tcBorders>
            <w:vAlign w:val="center"/>
          </w:tcPr>
          <w:p>
            <w:pPr>
              <w:widowControl/>
              <w:spacing w:line="240" w:lineRule="exact"/>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5"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top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固定资产利用率（</w:t>
            </w:r>
            <w:r>
              <w:rPr>
                <w:rFonts w:ascii="仿宋_GB2312" w:hAnsi="新宋体" w:eastAsia="仿宋_GB2312" w:cs="仿宋_GB2312"/>
                <w:kern w:val="0"/>
              </w:rPr>
              <w:t>3</w:t>
            </w:r>
            <w:r>
              <w:rPr>
                <w:rFonts w:hint="eastAsia" w:ascii="仿宋_GB2312" w:hAnsi="新宋体" w:eastAsia="仿宋_GB2312" w:cs="仿宋_GB2312"/>
                <w:kern w:val="0"/>
              </w:rPr>
              <w:t>分）</w:t>
            </w:r>
          </w:p>
        </w:tc>
        <w:tc>
          <w:tcPr>
            <w:tcW w:w="3975"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部门实际在用固定资产总额与所有固定资产总额的比率，用以反映和评价部门固定资产使用效率。</w:t>
            </w:r>
          </w:p>
          <w:p>
            <w:pPr>
              <w:widowControl/>
              <w:spacing w:line="240" w:lineRule="exact"/>
              <w:jc w:val="left"/>
              <w:rPr>
                <w:rFonts w:cs="Times New Roman"/>
              </w:rPr>
            </w:pPr>
            <w:r>
              <w:rPr>
                <w:rFonts w:hint="eastAsia" w:ascii="仿宋_GB2312" w:hAnsi="新宋体" w:eastAsia="仿宋_GB2312" w:cs="仿宋_GB2312"/>
                <w:kern w:val="0"/>
              </w:rPr>
              <w:t>固定资产利用率</w:t>
            </w:r>
            <w:r>
              <w:rPr>
                <w:rFonts w:ascii="仿宋_GB2312" w:hAnsi="新宋体" w:eastAsia="仿宋_GB2312" w:cs="仿宋_GB2312"/>
                <w:kern w:val="0"/>
              </w:rPr>
              <w:t>=</w:t>
            </w:r>
            <w:r>
              <w:rPr>
                <w:rFonts w:hint="eastAsia" w:ascii="仿宋_GB2312" w:hAnsi="新宋体" w:eastAsia="仿宋_GB2312" w:cs="仿宋_GB2312"/>
                <w:kern w:val="0"/>
              </w:rPr>
              <w:t>（实际在用固定资产总额</w:t>
            </w:r>
            <w:r>
              <w:rPr>
                <w:rFonts w:ascii="仿宋_GB2312" w:hAnsi="新宋体" w:eastAsia="仿宋_GB2312" w:cs="仿宋_GB2312"/>
                <w:kern w:val="0"/>
              </w:rPr>
              <w:t>/</w:t>
            </w:r>
            <w:r>
              <w:rPr>
                <w:rFonts w:hint="eastAsia" w:ascii="仿宋_GB2312" w:hAnsi="新宋体" w:eastAsia="仿宋_GB2312" w:cs="仿宋_GB2312"/>
                <w:kern w:val="0"/>
              </w:rPr>
              <w:t>所有固定资产总额）×</w:t>
            </w:r>
            <w:r>
              <w:rPr>
                <w:rFonts w:ascii="仿宋_GB2312" w:hAnsi="新宋体" w:eastAsia="仿宋_GB2312" w:cs="仿宋_GB2312"/>
                <w:kern w:val="0"/>
              </w:rPr>
              <w:t>100%</w:t>
            </w:r>
            <w:r>
              <w:rPr>
                <w:rFonts w:hint="eastAsia" w:ascii="仿宋_GB2312" w:hAnsi="新宋体" w:eastAsia="仿宋_GB2312" w:cs="仿宋_GB2312"/>
                <w:kern w:val="0"/>
              </w:rPr>
              <w:t>。</w:t>
            </w:r>
          </w:p>
        </w:tc>
        <w:tc>
          <w:tcPr>
            <w:tcW w:w="2550" w:type="dxa"/>
            <w:tcBorders>
              <w:top w:val="single" w:color="auto" w:sz="4" w:space="0"/>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固定资产利用率大于或等于</w:t>
            </w:r>
            <w:r>
              <w:rPr>
                <w:rFonts w:ascii="仿宋_GB2312" w:hAnsi="新宋体" w:eastAsia="仿宋_GB2312" w:cs="仿宋_GB2312"/>
                <w:kern w:val="0"/>
              </w:rPr>
              <w:t>95%</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固定资产利用率小于或等于</w:t>
            </w:r>
            <w:r>
              <w:rPr>
                <w:rFonts w:ascii="仿宋_GB2312" w:hAnsi="新宋体" w:eastAsia="仿宋_GB2312" w:cs="仿宋_GB2312"/>
                <w:kern w:val="0"/>
              </w:rPr>
              <w:t>85%</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固定资产利用率在</w:t>
            </w:r>
            <w:r>
              <w:rPr>
                <w:rFonts w:ascii="仿宋_GB2312" w:hAnsi="新宋体" w:eastAsia="仿宋_GB2312" w:cs="仿宋_GB2312"/>
                <w:kern w:val="0"/>
              </w:rPr>
              <w:t>85%-95%</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［某部门固定资产利用率</w:t>
            </w:r>
            <w:r>
              <w:rPr>
                <w:rFonts w:ascii="仿宋_GB2312" w:hAnsi="新宋体" w:eastAsia="仿宋_GB2312" w:cs="仿宋_GB2312"/>
                <w:kern w:val="0"/>
              </w:rPr>
              <w:t>-min</w:t>
            </w:r>
            <w:r>
              <w:rPr>
                <w:rFonts w:hint="eastAsia" w:ascii="仿宋_GB2312" w:hAnsi="新宋体" w:eastAsia="仿宋_GB2312" w:cs="仿宋_GB2312"/>
                <w:kern w:val="0"/>
              </w:rPr>
              <w:t>（固定资产利用率）］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（固定资产利用率）</w:t>
            </w:r>
            <w:r>
              <w:rPr>
                <w:rFonts w:ascii="仿宋_GB2312" w:hAnsi="新宋体" w:eastAsia="仿宋_GB2312" w:cs="仿宋_GB2312"/>
                <w:kern w:val="0"/>
              </w:rPr>
              <w:t>-min</w:t>
            </w:r>
            <w:r>
              <w:rPr>
                <w:rFonts w:hint="eastAsia" w:ascii="仿宋_GB2312" w:hAnsi="新宋体" w:eastAsia="仿宋_GB2312" w:cs="仿宋_GB2312"/>
                <w:kern w:val="0"/>
              </w:rPr>
              <w:t>（固定资产利用率）］×该指标分值。</w:t>
            </w:r>
          </w:p>
        </w:tc>
        <w:tc>
          <w:tcPr>
            <w:tcW w:w="765" w:type="dxa"/>
            <w:tcBorders>
              <w:top w:val="single" w:color="auto" w:sz="4" w:space="0"/>
              <w:left w:val="single" w:color="auto" w:sz="4" w:space="0"/>
            </w:tcBorders>
            <w:vAlign w:val="center"/>
          </w:tcPr>
          <w:p>
            <w:pPr>
              <w:widowControl/>
              <w:spacing w:line="240" w:lineRule="exact"/>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0"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产出</w:t>
            </w:r>
            <w:r>
              <w:rPr>
                <w:rFonts w:ascii="仿宋_GB2312" w:hAnsi="新宋体" w:eastAsia="仿宋_GB2312" w:cs="仿宋_GB2312"/>
                <w:kern w:val="0"/>
              </w:rPr>
              <w:t>(25</w:t>
            </w:r>
            <w:r>
              <w:rPr>
                <w:rFonts w:hint="eastAsia" w:ascii="仿宋_GB2312" w:hAnsi="新宋体" w:eastAsia="仿宋_GB2312" w:cs="仿宋_GB2312"/>
                <w:kern w:val="0"/>
              </w:rPr>
              <w:t>分</w:t>
            </w:r>
            <w:r>
              <w:rPr>
                <w:rFonts w:ascii="仿宋_GB2312" w:hAnsi="新宋体" w:eastAsia="仿宋_GB2312" w:cs="仿宋_GB2312"/>
                <w:kern w:val="0"/>
              </w:rPr>
              <w:t>)</w:t>
            </w:r>
          </w:p>
        </w:tc>
        <w:tc>
          <w:tcPr>
            <w:tcW w:w="76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职责履行情况（</w:t>
            </w:r>
            <w:r>
              <w:rPr>
                <w:rFonts w:ascii="仿宋_GB2312" w:hAnsi="新宋体" w:eastAsia="仿宋_GB2312" w:cs="仿宋_GB2312"/>
                <w:kern w:val="0"/>
              </w:rPr>
              <w:t>25</w:t>
            </w:r>
            <w:r>
              <w:rPr>
                <w:rFonts w:hint="eastAsia" w:ascii="仿宋_GB2312" w:hAnsi="新宋体" w:eastAsia="仿宋_GB2312" w:cs="仿宋_GB2312"/>
                <w:kern w:val="0"/>
              </w:rPr>
              <w:t>）</w:t>
            </w:r>
          </w:p>
        </w:tc>
        <w:tc>
          <w:tcPr>
            <w:tcW w:w="990" w:type="dxa"/>
            <w:tcBorders>
              <w:bottom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履职完成情况（</w:t>
            </w:r>
            <w:r>
              <w:rPr>
                <w:rFonts w:ascii="仿宋_GB2312" w:hAnsi="新宋体" w:eastAsia="仿宋_GB2312" w:cs="仿宋_GB2312"/>
                <w:kern w:val="0"/>
              </w:rPr>
              <w:t>10</w:t>
            </w:r>
            <w:r>
              <w:rPr>
                <w:rFonts w:hint="eastAsia" w:ascii="仿宋_GB2312" w:hAnsi="新宋体" w:eastAsia="仿宋_GB2312" w:cs="仿宋_GB2312"/>
                <w:kern w:val="0"/>
              </w:rPr>
              <w:t>分）</w:t>
            </w:r>
          </w:p>
        </w:tc>
        <w:tc>
          <w:tcPr>
            <w:tcW w:w="3975" w:type="dxa"/>
            <w:tcBorders>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仿宋" w:hAnsi="仿宋" w:eastAsia="仿宋" w:cs="仿宋"/>
                <w:color w:val="000000"/>
                <w:kern w:val="0"/>
                <w:lang w:eastAsia="zh-CN"/>
              </w:rPr>
            </w:pPr>
            <w:r>
              <w:rPr>
                <w:rFonts w:hint="eastAsia" w:ascii="仿宋" w:hAnsi="仿宋" w:eastAsia="仿宋" w:cs="仿宋"/>
                <w:color w:val="000000"/>
                <w:kern w:val="0"/>
              </w:rPr>
              <w:t>根据年度主要任务分解表的的具体任务，逐项评价任务量化指标完成情况、实施效果和责任制建立情况。用以反映和考核部门（单位）履职工作任务目标的完成情况。评价要点：</w:t>
            </w:r>
          </w:p>
          <w:p>
            <w:pPr>
              <w:widowControl/>
              <w:spacing w:line="240" w:lineRule="exact"/>
              <w:jc w:val="left"/>
              <w:textAlignment w:val="center"/>
              <w:rPr>
                <w:rFonts w:hint="eastAsia" w:ascii="仿宋" w:hAnsi="仿宋" w:eastAsia="仿宋" w:cs="仿宋"/>
                <w:color w:val="000000"/>
                <w:kern w:val="0"/>
                <w:lang w:eastAsia="zh-CN"/>
              </w:rPr>
            </w:pPr>
            <w:r>
              <w:rPr>
                <w:rFonts w:ascii="仿宋" w:hAnsi="仿宋" w:eastAsia="仿宋" w:cs="仿宋"/>
                <w:color w:val="000000"/>
                <w:kern w:val="0"/>
              </w:rPr>
              <w:t>1.</w:t>
            </w:r>
            <w:r>
              <w:rPr>
                <w:rFonts w:hint="eastAsia" w:ascii="仿宋" w:hAnsi="仿宋" w:eastAsia="仿宋" w:cs="仿宋"/>
                <w:color w:val="000000"/>
                <w:kern w:val="0"/>
              </w:rPr>
              <w:t>每项任务是否已制定了明确、具体、可量化、可衡量的绩效指标；</w:t>
            </w:r>
            <w:r>
              <w:rPr>
                <w:rFonts w:ascii="仿宋" w:hAnsi="仿宋" w:eastAsia="仿宋" w:cs="仿宋"/>
                <w:color w:val="000000"/>
                <w:kern w:val="0"/>
              </w:rPr>
              <w:t xml:space="preserve">           </w:t>
            </w:r>
          </w:p>
          <w:p>
            <w:pPr>
              <w:widowControl/>
              <w:spacing w:line="240" w:lineRule="exact"/>
              <w:jc w:val="left"/>
              <w:textAlignment w:val="center"/>
              <w:rPr>
                <w:rFonts w:hint="eastAsia" w:ascii="仿宋" w:hAnsi="仿宋" w:eastAsia="仿宋" w:cs="仿宋"/>
                <w:color w:val="000000"/>
                <w:kern w:val="0"/>
                <w:lang w:eastAsia="zh-CN"/>
              </w:rPr>
            </w:pPr>
            <w:r>
              <w:rPr>
                <w:rFonts w:ascii="仿宋" w:hAnsi="仿宋" w:eastAsia="仿宋" w:cs="仿宋"/>
                <w:color w:val="000000"/>
                <w:kern w:val="0"/>
              </w:rPr>
              <w:t>2.</w:t>
            </w:r>
            <w:r>
              <w:rPr>
                <w:rFonts w:hint="eastAsia" w:ascii="仿宋" w:hAnsi="仿宋" w:eastAsia="仿宋" w:cs="仿宋"/>
                <w:color w:val="000000"/>
                <w:kern w:val="0"/>
              </w:rPr>
              <w:t>每项任务绩效指标的完成情况，是全部完成、基本完成、未完成，还是未实施；</w:t>
            </w:r>
          </w:p>
          <w:p>
            <w:pPr>
              <w:widowControl/>
              <w:spacing w:line="240" w:lineRule="exact"/>
              <w:jc w:val="left"/>
              <w:textAlignment w:val="center"/>
              <w:rPr>
                <w:rFonts w:hint="eastAsia" w:ascii="仿宋" w:hAnsi="仿宋" w:eastAsia="仿宋" w:cs="仿宋"/>
                <w:color w:val="000000"/>
                <w:kern w:val="0"/>
                <w:lang w:eastAsia="zh-CN"/>
              </w:rPr>
            </w:pPr>
            <w:r>
              <w:rPr>
                <w:rFonts w:ascii="仿宋" w:hAnsi="仿宋" w:eastAsia="仿宋" w:cs="仿宋"/>
                <w:color w:val="000000"/>
                <w:kern w:val="0"/>
              </w:rPr>
              <w:t>3.</w:t>
            </w:r>
            <w:r>
              <w:rPr>
                <w:rFonts w:hint="eastAsia" w:ascii="仿宋" w:hAnsi="仿宋" w:eastAsia="仿宋" w:cs="仿宋"/>
                <w:color w:val="000000"/>
                <w:kern w:val="0"/>
              </w:rPr>
              <w:t>每项任务实施效果情况，是优秀、良好、一般，还是无效果；</w:t>
            </w:r>
          </w:p>
          <w:p>
            <w:pPr>
              <w:widowControl/>
              <w:spacing w:line="240" w:lineRule="exact"/>
              <w:jc w:val="left"/>
              <w:textAlignment w:val="center"/>
              <w:rPr>
                <w:rFonts w:cs="Times New Roman"/>
              </w:rPr>
            </w:pPr>
            <w:r>
              <w:rPr>
                <w:rFonts w:ascii="仿宋" w:hAnsi="仿宋" w:eastAsia="仿宋" w:cs="仿宋"/>
                <w:color w:val="000000"/>
                <w:kern w:val="0"/>
              </w:rPr>
              <w:t>4.</w:t>
            </w:r>
            <w:r>
              <w:rPr>
                <w:rFonts w:hint="eastAsia" w:ascii="仿宋" w:hAnsi="仿宋" w:eastAsia="仿宋" w:cs="仿宋"/>
                <w:color w:val="000000"/>
                <w:kern w:val="0"/>
              </w:rPr>
              <w:t>每项任务是否建立了目标责任制，是否落实到具体部门和人员负责。</w:t>
            </w:r>
          </w:p>
        </w:tc>
        <w:tc>
          <w:tcPr>
            <w:tcW w:w="2550" w:type="dxa"/>
            <w:tcBorders>
              <w:left w:val="single" w:color="auto" w:sz="4" w:space="0"/>
              <w:bottom w:val="single" w:color="auto" w:sz="4" w:space="0"/>
              <w:right w:val="single" w:color="auto" w:sz="4" w:space="0"/>
            </w:tcBorders>
            <w:vAlign w:val="center"/>
          </w:tcPr>
          <w:p>
            <w:pPr>
              <w:widowControl/>
              <w:spacing w:line="240" w:lineRule="exact"/>
              <w:jc w:val="left"/>
              <w:textAlignment w:val="center"/>
              <w:rPr>
                <w:rFonts w:cs="Times New Roman"/>
              </w:rPr>
            </w:pPr>
            <w:r>
              <w:rPr>
                <w:rFonts w:hint="eastAsia" w:ascii="仿宋" w:hAnsi="仿宋" w:eastAsia="仿宋" w:cs="仿宋"/>
                <w:color w:val="000000"/>
                <w:kern w:val="0"/>
              </w:rPr>
              <w:t>根据不同部门履职的内容和特点，具体测算部门履职工作任务目标的完成情况。</w:t>
            </w:r>
          </w:p>
        </w:tc>
        <w:tc>
          <w:tcPr>
            <w:tcW w:w="765" w:type="dxa"/>
            <w:tcBorders>
              <w:left w:val="single" w:color="auto" w:sz="4" w:space="0"/>
              <w:bottom w:val="single" w:color="auto" w:sz="4" w:space="0"/>
            </w:tcBorders>
            <w:vAlign w:val="center"/>
          </w:tcPr>
          <w:p>
            <w:pPr>
              <w:widowControl/>
              <w:spacing w:line="240" w:lineRule="exact"/>
              <w:jc w:val="center"/>
              <w:rPr>
                <w:rFonts w:hint="default" w:eastAsia="宋体"/>
                <w:lang w:val="en-US" w:eastAsia="zh-CN"/>
              </w:rPr>
            </w:pPr>
            <w:r>
              <w:rPr>
                <w:rFonts w:hint="eastAsia"/>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0" w:hRule="atLeast"/>
        </w:trPr>
        <w:tc>
          <w:tcPr>
            <w:tcW w:w="795" w:type="dxa"/>
            <w:vMerge w:val="continue"/>
            <w:vAlign w:val="center"/>
          </w:tcPr>
          <w:p>
            <w:pPr>
              <w:spacing w:line="240" w:lineRule="exact"/>
              <w:rPr>
                <w:rFonts w:ascii="宋体" w:cs="Times New Roman"/>
              </w:rPr>
            </w:pPr>
          </w:p>
        </w:tc>
        <w:tc>
          <w:tcPr>
            <w:tcW w:w="765" w:type="dxa"/>
            <w:vMerge w:val="continue"/>
            <w:vAlign w:val="center"/>
          </w:tcPr>
          <w:p>
            <w:pPr>
              <w:spacing w:line="240" w:lineRule="exact"/>
              <w:rPr>
                <w:rFonts w:ascii="宋体"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项目完成质量达标率（</w:t>
            </w:r>
            <w:r>
              <w:rPr>
                <w:rFonts w:ascii="仿宋_GB2312" w:hAnsi="新宋体" w:eastAsia="仿宋_GB2312" w:cs="仿宋_GB2312"/>
                <w:kern w:val="0"/>
              </w:rPr>
              <w:t>15</w:t>
            </w:r>
            <w:r>
              <w:rPr>
                <w:rFonts w:hint="eastAsia" w:ascii="仿宋_GB2312" w:hAnsi="新宋体" w:eastAsia="仿宋_GB2312" w:cs="仿宋_GB2312"/>
                <w:kern w:val="0"/>
              </w:rPr>
              <w:t>）</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部门已完成项目中质量达标项目个数占已完成项目个数的比率</w:t>
            </w:r>
            <w:r>
              <w:rPr>
                <w:rFonts w:ascii="仿宋_GB2312" w:hAnsi="新宋体" w:eastAsia="仿宋_GB2312" w:cs="仿宋_GB2312"/>
                <w:kern w:val="0"/>
              </w:rPr>
              <w:t>,</w:t>
            </w:r>
            <w:r>
              <w:rPr>
                <w:rFonts w:hint="eastAsia" w:ascii="仿宋_GB2312" w:hAnsi="新宋体" w:eastAsia="仿宋_GB2312" w:cs="仿宋_GB2312"/>
                <w:kern w:val="0"/>
              </w:rPr>
              <w:t>用以反映和评价部门履职质量目标的实现程度。</w:t>
            </w:r>
          </w:p>
          <w:p>
            <w:pPr>
              <w:widowControl/>
              <w:spacing w:line="240" w:lineRule="exact"/>
              <w:jc w:val="left"/>
              <w:rPr>
                <w:rFonts w:cs="Times New Roman"/>
              </w:rPr>
            </w:pPr>
            <w:r>
              <w:rPr>
                <w:rFonts w:hint="eastAsia" w:ascii="仿宋_GB2312" w:hAnsi="新宋体" w:eastAsia="仿宋_GB2312" w:cs="仿宋_GB2312"/>
                <w:kern w:val="0"/>
              </w:rPr>
              <w:t>项目质量达标率</w:t>
            </w:r>
            <w:r>
              <w:rPr>
                <w:rFonts w:ascii="仿宋_GB2312" w:hAnsi="新宋体" w:eastAsia="仿宋_GB2312" w:cs="仿宋_GB2312"/>
                <w:kern w:val="0"/>
              </w:rPr>
              <w:t>=</w:t>
            </w:r>
            <w:r>
              <w:rPr>
                <w:rFonts w:hint="eastAsia" w:ascii="仿宋_GB2312" w:hAnsi="新宋体" w:eastAsia="仿宋_GB2312" w:cs="仿宋_GB2312"/>
                <w:kern w:val="0"/>
              </w:rPr>
              <w:t>（已完成项目中质量达标项目个数</w:t>
            </w:r>
            <w:r>
              <w:rPr>
                <w:rFonts w:ascii="仿宋_GB2312" w:hAnsi="新宋体" w:eastAsia="仿宋_GB2312" w:cs="仿宋_GB2312"/>
                <w:kern w:val="0"/>
              </w:rPr>
              <w:t>/</w:t>
            </w:r>
            <w:r>
              <w:rPr>
                <w:rFonts w:hint="eastAsia" w:ascii="仿宋_GB2312" w:hAnsi="新宋体" w:eastAsia="仿宋_GB2312" w:cs="仿宋_GB2312"/>
                <w:kern w:val="0"/>
              </w:rPr>
              <w:t>已完成项目个数）×</w:t>
            </w:r>
            <w:r>
              <w:rPr>
                <w:rFonts w:ascii="仿宋_GB2312" w:hAnsi="新宋体" w:eastAsia="仿宋_GB2312" w:cs="仿宋_GB2312"/>
                <w:kern w:val="0"/>
              </w:rPr>
              <w:t>100%</w:t>
            </w:r>
            <w:r>
              <w:rPr>
                <w:rFonts w:hint="eastAsia" w:ascii="仿宋_GB2312" w:hAnsi="新宋体" w:eastAsia="仿宋_GB2312" w:cs="仿宋_GB2312"/>
                <w:kern w:val="0"/>
              </w:rPr>
              <w:t>。</w:t>
            </w:r>
          </w:p>
          <w:p>
            <w:pPr>
              <w:widowControl/>
              <w:spacing w:line="240" w:lineRule="exact"/>
              <w:jc w:val="left"/>
              <w:rPr>
                <w:rFonts w:cs="Times New Roman"/>
              </w:rPr>
            </w:pPr>
            <w:r>
              <w:rPr>
                <w:rFonts w:hint="eastAsia" w:ascii="仿宋_GB2312" w:hAnsi="新宋体" w:eastAsia="仿宋_GB2312" w:cs="仿宋_GB2312"/>
                <w:kern w:val="0"/>
              </w:rPr>
              <w:t>项目质量达标是指项目决算验收合格。</w:t>
            </w:r>
          </w:p>
        </w:tc>
        <w:tc>
          <w:tcPr>
            <w:tcW w:w="2550" w:type="dxa"/>
            <w:tcBorders>
              <w:left w:val="single" w:color="auto" w:sz="4" w:space="0"/>
              <w:right w:val="single" w:color="auto" w:sz="4" w:space="0"/>
            </w:tcBorders>
            <w:vAlign w:val="center"/>
          </w:tcPr>
          <w:p>
            <w:pPr>
              <w:widowControl/>
              <w:spacing w:line="240" w:lineRule="exact"/>
              <w:jc w:val="left"/>
              <w:rPr>
                <w:rFonts w:cs="Times New Roman"/>
              </w:rPr>
            </w:pPr>
            <w:r>
              <w:rPr>
                <w:rFonts w:ascii="仿宋_GB2312" w:hAnsi="新宋体" w:eastAsia="仿宋_GB2312" w:cs="仿宋_GB2312"/>
                <w:kern w:val="0"/>
              </w:rPr>
              <w:t>1.</w:t>
            </w:r>
            <w:r>
              <w:rPr>
                <w:rFonts w:hint="eastAsia" w:ascii="仿宋_GB2312" w:hAnsi="新宋体" w:eastAsia="仿宋_GB2312" w:cs="仿宋_GB2312"/>
                <w:kern w:val="0"/>
              </w:rPr>
              <w:t>项目质量达标率等于</w:t>
            </w:r>
            <w:r>
              <w:rPr>
                <w:rFonts w:ascii="仿宋_GB2312" w:hAnsi="新宋体" w:eastAsia="仿宋_GB2312" w:cs="仿宋_GB2312"/>
                <w:kern w:val="0"/>
              </w:rPr>
              <w:t>100%</w:t>
            </w:r>
            <w:r>
              <w:rPr>
                <w:rFonts w:hint="eastAsia" w:ascii="仿宋_GB2312" w:hAnsi="新宋体" w:eastAsia="仿宋_GB2312" w:cs="仿宋_GB2312"/>
                <w:kern w:val="0"/>
              </w:rPr>
              <w:t>的，得满分；</w:t>
            </w:r>
          </w:p>
          <w:p>
            <w:pPr>
              <w:widowControl/>
              <w:spacing w:line="240" w:lineRule="exact"/>
              <w:jc w:val="left"/>
              <w:rPr>
                <w:rFonts w:cs="Times New Roman"/>
              </w:rPr>
            </w:pPr>
            <w:r>
              <w:rPr>
                <w:rFonts w:ascii="仿宋_GB2312" w:hAnsi="新宋体" w:eastAsia="仿宋_GB2312" w:cs="仿宋_GB2312"/>
                <w:kern w:val="0"/>
              </w:rPr>
              <w:t>2.</w:t>
            </w:r>
            <w:r>
              <w:rPr>
                <w:rFonts w:hint="eastAsia" w:ascii="仿宋_GB2312" w:hAnsi="新宋体" w:eastAsia="仿宋_GB2312" w:cs="仿宋_GB2312"/>
                <w:kern w:val="0"/>
              </w:rPr>
              <w:t>项目质量达标率小于或等于</w:t>
            </w:r>
            <w:r>
              <w:rPr>
                <w:rFonts w:ascii="仿宋_GB2312" w:hAnsi="新宋体" w:eastAsia="仿宋_GB2312" w:cs="仿宋_GB2312"/>
                <w:kern w:val="0"/>
              </w:rPr>
              <w:t>99%</w:t>
            </w:r>
            <w:r>
              <w:rPr>
                <w:rFonts w:hint="eastAsia" w:ascii="仿宋_GB2312" w:hAnsi="新宋体" w:eastAsia="仿宋_GB2312" w:cs="仿宋_GB2312"/>
                <w:kern w:val="0"/>
              </w:rPr>
              <w:t>的，得</w:t>
            </w:r>
            <w:r>
              <w:rPr>
                <w:rFonts w:ascii="仿宋_GB2312" w:hAnsi="新宋体" w:eastAsia="仿宋_GB2312" w:cs="仿宋_GB2312"/>
                <w:kern w:val="0"/>
              </w:rPr>
              <w:t>0</w:t>
            </w:r>
            <w:r>
              <w:rPr>
                <w:rFonts w:hint="eastAsia" w:ascii="仿宋_GB2312" w:hAnsi="新宋体" w:eastAsia="仿宋_GB2312" w:cs="仿宋_GB2312"/>
                <w:kern w:val="0"/>
              </w:rPr>
              <w:t>分；</w:t>
            </w:r>
          </w:p>
          <w:p>
            <w:pPr>
              <w:widowControl/>
              <w:spacing w:line="240" w:lineRule="exact"/>
              <w:jc w:val="left"/>
              <w:rPr>
                <w:rFonts w:cs="Times New Roman"/>
              </w:rPr>
            </w:pPr>
            <w:r>
              <w:rPr>
                <w:rFonts w:ascii="仿宋_GB2312" w:hAnsi="新宋体" w:eastAsia="仿宋_GB2312" w:cs="仿宋_GB2312"/>
                <w:kern w:val="0"/>
              </w:rPr>
              <w:t>3.</w:t>
            </w:r>
            <w:r>
              <w:rPr>
                <w:rFonts w:hint="eastAsia" w:ascii="仿宋_GB2312" w:hAnsi="新宋体" w:eastAsia="仿宋_GB2312" w:cs="仿宋_GB2312"/>
                <w:kern w:val="0"/>
              </w:rPr>
              <w:t>项目质量达标率在</w:t>
            </w:r>
            <w:r>
              <w:rPr>
                <w:rFonts w:ascii="仿宋_GB2312" w:hAnsi="新宋体" w:eastAsia="仿宋_GB2312" w:cs="仿宋_GB2312"/>
                <w:kern w:val="0"/>
              </w:rPr>
              <w:t>99%-100%</w:t>
            </w:r>
            <w:r>
              <w:rPr>
                <w:rFonts w:hint="eastAsia" w:ascii="仿宋_GB2312" w:hAnsi="新宋体" w:eastAsia="仿宋_GB2312" w:cs="仿宋_GB2312"/>
                <w:kern w:val="0"/>
              </w:rPr>
              <w:t>之间的，在</w:t>
            </w:r>
            <w:r>
              <w:rPr>
                <w:rFonts w:ascii="仿宋_GB2312" w:hAnsi="新宋体" w:eastAsia="仿宋_GB2312" w:cs="仿宋_GB2312"/>
                <w:kern w:val="0"/>
              </w:rPr>
              <w:t>0</w:t>
            </w:r>
            <w:r>
              <w:rPr>
                <w:rFonts w:hint="eastAsia" w:ascii="仿宋_GB2312" w:hAnsi="新宋体" w:eastAsia="仿宋_GB2312" w:cs="仿宋_GB2312"/>
                <w:kern w:val="0"/>
              </w:rPr>
              <w:t>和满分之间计算确定：</w:t>
            </w:r>
            <w:r>
              <w:rPr>
                <w:rFonts w:ascii="仿宋_GB2312" w:hAnsi="新宋体" w:eastAsia="仿宋_GB2312" w:cs="仿宋_GB2312"/>
                <w:kern w:val="0"/>
              </w:rPr>
              <w:t xml:space="preserve"> </w:t>
            </w:r>
          </w:p>
          <w:p>
            <w:pPr>
              <w:widowControl/>
              <w:spacing w:line="240" w:lineRule="exact"/>
              <w:jc w:val="left"/>
              <w:rPr>
                <w:rFonts w:cs="Times New Roman"/>
              </w:rPr>
            </w:pPr>
            <w:r>
              <w:rPr>
                <w:rFonts w:hint="eastAsia" w:ascii="仿宋_GB2312" w:hAnsi="新宋体" w:eastAsia="仿宋_GB2312" w:cs="仿宋_GB2312"/>
                <w:kern w:val="0"/>
              </w:rPr>
              <w:t>得分</w:t>
            </w:r>
            <w:r>
              <w:rPr>
                <w:rFonts w:ascii="仿宋_GB2312" w:hAnsi="新宋体" w:eastAsia="仿宋_GB2312" w:cs="仿宋_GB2312"/>
                <w:kern w:val="0"/>
              </w:rPr>
              <w:t>=</w:t>
            </w:r>
            <w:r>
              <w:rPr>
                <w:rFonts w:hint="eastAsia" w:ascii="仿宋_GB2312" w:hAnsi="新宋体" w:eastAsia="仿宋_GB2312" w:cs="仿宋_GB2312"/>
                <w:kern w:val="0"/>
              </w:rPr>
              <w:t>［某部门项目质量达标率</w:t>
            </w:r>
            <w:r>
              <w:rPr>
                <w:rFonts w:ascii="仿宋_GB2312" w:hAnsi="新宋体" w:eastAsia="仿宋_GB2312" w:cs="仿宋_GB2312"/>
                <w:kern w:val="0"/>
              </w:rPr>
              <w:t>-min</w:t>
            </w:r>
            <w:r>
              <w:rPr>
                <w:rFonts w:hint="eastAsia" w:ascii="仿宋_GB2312" w:hAnsi="新宋体" w:eastAsia="仿宋_GB2312" w:cs="仿宋_GB2312"/>
                <w:kern w:val="0"/>
              </w:rPr>
              <w:t>（项目质量达标率）］</w:t>
            </w:r>
            <w:r>
              <w:rPr>
                <w:rFonts w:ascii="仿宋_GB2312" w:hAnsi="新宋体" w:eastAsia="仿宋_GB2312" w:cs="仿宋_GB2312"/>
                <w:kern w:val="0"/>
              </w:rPr>
              <w:t>/</w:t>
            </w:r>
            <w:r>
              <w:rPr>
                <w:rFonts w:hint="eastAsia" w:ascii="仿宋_GB2312" w:hAnsi="新宋体" w:eastAsia="仿宋_GB2312" w:cs="仿宋_GB2312"/>
                <w:kern w:val="0"/>
              </w:rPr>
              <w:t>［</w:t>
            </w:r>
            <w:r>
              <w:rPr>
                <w:rFonts w:ascii="仿宋_GB2312" w:hAnsi="新宋体" w:eastAsia="仿宋_GB2312" w:cs="仿宋_GB2312"/>
                <w:kern w:val="0"/>
              </w:rPr>
              <w:t>max</w:t>
            </w:r>
            <w:r>
              <w:rPr>
                <w:rFonts w:hint="eastAsia" w:ascii="仿宋_GB2312" w:hAnsi="新宋体" w:eastAsia="仿宋_GB2312" w:cs="仿宋_GB2312"/>
                <w:kern w:val="0"/>
              </w:rPr>
              <w:t>（项目质量达标率）</w:t>
            </w:r>
            <w:r>
              <w:rPr>
                <w:rFonts w:ascii="仿宋_GB2312" w:hAnsi="新宋体" w:eastAsia="仿宋_GB2312" w:cs="仿宋_GB2312"/>
                <w:kern w:val="0"/>
              </w:rPr>
              <w:t>-min</w:t>
            </w:r>
            <w:r>
              <w:rPr>
                <w:rFonts w:hint="eastAsia" w:ascii="仿宋_GB2312" w:hAnsi="新宋体" w:eastAsia="仿宋_GB2312" w:cs="仿宋_GB2312"/>
                <w:kern w:val="0"/>
              </w:rPr>
              <w:t>（项目质量达标率）］×该指标分值。</w:t>
            </w:r>
          </w:p>
        </w:tc>
        <w:tc>
          <w:tcPr>
            <w:tcW w:w="765" w:type="dxa"/>
            <w:tcBorders>
              <w:left w:val="single" w:color="auto" w:sz="4" w:space="0"/>
              <w:bottom w:val="single" w:color="auto" w:sz="4" w:space="0"/>
            </w:tcBorders>
            <w:vAlign w:val="center"/>
          </w:tcPr>
          <w:p>
            <w:pPr>
              <w:widowControl/>
              <w:spacing w:line="240" w:lineRule="exact"/>
              <w:jc w:val="center"/>
            </w:pPr>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restart"/>
            <w:vAlign w:val="center"/>
          </w:tcPr>
          <w:p>
            <w:pPr>
              <w:widowControl/>
              <w:spacing w:line="240" w:lineRule="exact"/>
              <w:jc w:val="left"/>
              <w:rPr>
                <w:rFonts w:cs="Times New Roman"/>
              </w:rPr>
            </w:pPr>
            <w:r>
              <w:rPr>
                <w:rFonts w:hint="eastAsia" w:ascii="仿宋_GB2312" w:hAnsi="新宋体" w:eastAsia="仿宋_GB2312" w:cs="仿宋_GB2312"/>
                <w:kern w:val="0"/>
              </w:rPr>
              <w:t>效果（</w:t>
            </w:r>
            <w:r>
              <w:rPr>
                <w:rFonts w:ascii="仿宋_GB2312" w:hAnsi="新宋体" w:eastAsia="仿宋_GB2312" w:cs="仿宋_GB2312"/>
                <w:kern w:val="0"/>
              </w:rPr>
              <w:t>20</w:t>
            </w:r>
            <w:r>
              <w:rPr>
                <w:rFonts w:hint="eastAsia" w:ascii="仿宋_GB2312" w:hAnsi="新宋体" w:eastAsia="仿宋_GB2312" w:cs="仿宋_GB2312"/>
                <w:kern w:val="0"/>
              </w:rPr>
              <w:t>分）</w:t>
            </w:r>
          </w:p>
        </w:tc>
        <w:tc>
          <w:tcPr>
            <w:tcW w:w="765" w:type="dxa"/>
            <w:vMerge w:val="restart"/>
            <w:tcBorders>
              <w:top w:val="single" w:color="auto" w:sz="4" w:space="0"/>
            </w:tcBorders>
            <w:vAlign w:val="center"/>
          </w:tcPr>
          <w:p>
            <w:pPr>
              <w:widowControl/>
              <w:spacing w:line="240" w:lineRule="exact"/>
              <w:jc w:val="left"/>
              <w:rPr>
                <w:rFonts w:ascii="仿宋_GB2312" w:hAnsi="新宋体" w:eastAsia="仿宋_GB2312" w:cs="Times New Roman"/>
                <w:kern w:val="0"/>
              </w:rPr>
            </w:pPr>
          </w:p>
          <w:p>
            <w:pPr>
              <w:widowControl/>
              <w:spacing w:line="240" w:lineRule="exact"/>
              <w:jc w:val="left"/>
              <w:rPr>
                <w:rFonts w:ascii="仿宋_GB2312" w:hAnsi="新宋体" w:eastAsia="仿宋_GB2312" w:cs="Times New Roman"/>
                <w:kern w:val="0"/>
              </w:rPr>
            </w:pPr>
            <w:r>
              <w:rPr>
                <w:rFonts w:hint="eastAsia" w:ascii="仿宋_GB2312" w:hAnsi="新宋体" w:eastAsia="仿宋_GB2312" w:cs="仿宋_GB2312"/>
                <w:kern w:val="0"/>
              </w:rPr>
              <w:t>履职效益情况</w:t>
            </w:r>
          </w:p>
          <w:p>
            <w:pPr>
              <w:widowControl/>
              <w:spacing w:line="240" w:lineRule="exact"/>
              <w:jc w:val="left"/>
              <w:rPr>
                <w:rFonts w:ascii="仿宋_GB2312" w:hAnsi="新宋体" w:eastAsia="仿宋_GB2312" w:cs="Times New Roman"/>
                <w:kern w:val="0"/>
              </w:rPr>
            </w:pPr>
            <w:r>
              <w:rPr>
                <w:rFonts w:hint="eastAsia" w:ascii="仿宋_GB2312" w:hAnsi="新宋体" w:eastAsia="仿宋_GB2312" w:cs="仿宋_GB2312"/>
                <w:kern w:val="0"/>
              </w:rPr>
              <w:t>（</w:t>
            </w:r>
            <w:r>
              <w:rPr>
                <w:rFonts w:ascii="仿宋_GB2312" w:hAnsi="新宋体" w:eastAsia="仿宋_GB2312" w:cs="仿宋_GB2312"/>
                <w:kern w:val="0"/>
              </w:rPr>
              <w:t>20</w:t>
            </w:r>
            <w:r>
              <w:rPr>
                <w:rFonts w:hint="eastAsia" w:ascii="仿宋_GB2312" w:hAnsi="新宋体" w:eastAsia="仿宋_GB2312" w:cs="仿宋_GB2312"/>
                <w:kern w:val="0"/>
              </w:rPr>
              <w:t>分）</w:t>
            </w: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color w:val="000000"/>
                <w:kern w:val="0"/>
              </w:rPr>
              <w:t>经济效益</w:t>
            </w:r>
            <w:r>
              <w:rPr>
                <w:rFonts w:hint="eastAsia" w:ascii="仿宋_GB2312" w:hAnsi="新宋体" w:eastAsia="仿宋_GB2312" w:cs="仿宋_GB2312"/>
                <w:kern w:val="0"/>
              </w:rPr>
              <w:t>（</w:t>
            </w:r>
            <w:r>
              <w:rPr>
                <w:rFonts w:ascii="仿宋_GB2312" w:hAnsi="新宋体" w:eastAsia="仿宋_GB2312" w:cs="仿宋_GB2312"/>
                <w:kern w:val="0"/>
              </w:rPr>
              <w:t>5</w:t>
            </w:r>
            <w:r>
              <w:rPr>
                <w:rFonts w:hint="eastAsia" w:ascii="仿宋_GB2312" w:hAnsi="新宋体" w:eastAsia="仿宋_GB2312" w:cs="仿宋_GB2312"/>
                <w:kern w:val="0"/>
              </w:rPr>
              <w:t>分）</w:t>
            </w:r>
          </w:p>
        </w:tc>
        <w:tc>
          <w:tcPr>
            <w:tcW w:w="3975"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部门及所属二级单位通过履行职责和预算安排支出项目的实施，对我市带来的经济影响。</w:t>
            </w:r>
          </w:p>
          <w:p>
            <w:pPr>
              <w:widowControl/>
              <w:spacing w:line="240" w:lineRule="exact"/>
              <w:jc w:val="left"/>
              <w:textAlignment w:val="center"/>
              <w:rPr>
                <w:rFonts w:hint="eastAsia" w:ascii="仿宋" w:hAnsi="仿宋" w:eastAsia="仿宋" w:cs="仿宋"/>
                <w:color w:val="000000"/>
                <w:kern w:val="0"/>
                <w:lang w:eastAsia="zh-CN"/>
              </w:rPr>
            </w:pPr>
            <w:r>
              <w:rPr>
                <w:rFonts w:hint="eastAsia" w:ascii="仿宋" w:hAnsi="仿宋" w:eastAsia="仿宋" w:cs="仿宋"/>
                <w:color w:val="000000"/>
                <w:kern w:val="0"/>
              </w:rPr>
              <w:t>评价要点：</w:t>
            </w:r>
          </w:p>
          <w:p>
            <w:pPr>
              <w:widowControl/>
              <w:spacing w:line="240" w:lineRule="exact"/>
              <w:jc w:val="left"/>
              <w:textAlignment w:val="center"/>
              <w:rPr>
                <w:rFonts w:hint="eastAsia" w:ascii="仿宋" w:hAnsi="仿宋" w:eastAsia="仿宋" w:cs="仿宋"/>
                <w:color w:val="000000"/>
                <w:kern w:val="0"/>
                <w:lang w:eastAsia="zh-CN"/>
              </w:rPr>
            </w:pPr>
            <w:r>
              <w:rPr>
                <w:rFonts w:ascii="仿宋" w:hAnsi="仿宋" w:eastAsia="仿宋" w:cs="仿宋"/>
                <w:color w:val="000000"/>
                <w:kern w:val="0"/>
              </w:rPr>
              <w:t>1.</w:t>
            </w:r>
            <w:r>
              <w:rPr>
                <w:rFonts w:hint="eastAsia" w:ascii="仿宋" w:hAnsi="仿宋" w:eastAsia="仿宋" w:cs="仿宋"/>
                <w:color w:val="000000"/>
                <w:kern w:val="0"/>
              </w:rPr>
              <w:t>通过部门所属企事业单位改革，促进了企事业单位效益增长情况；</w:t>
            </w:r>
            <w:r>
              <w:rPr>
                <w:rFonts w:ascii="仿宋" w:hAnsi="仿宋" w:eastAsia="仿宋" w:cs="仿宋"/>
                <w:color w:val="000000"/>
                <w:kern w:val="0"/>
              </w:rPr>
              <w:t xml:space="preserve">          </w:t>
            </w:r>
          </w:p>
          <w:p>
            <w:pPr>
              <w:widowControl/>
              <w:spacing w:line="240" w:lineRule="exact"/>
              <w:jc w:val="left"/>
              <w:textAlignment w:val="center"/>
              <w:rPr>
                <w:rFonts w:hint="eastAsia" w:ascii="仿宋" w:hAnsi="仿宋" w:eastAsia="仿宋" w:cs="仿宋"/>
                <w:color w:val="000000"/>
                <w:kern w:val="0"/>
                <w:lang w:eastAsia="zh-CN"/>
              </w:rPr>
            </w:pPr>
            <w:r>
              <w:rPr>
                <w:rFonts w:ascii="仿宋" w:hAnsi="仿宋" w:eastAsia="仿宋" w:cs="仿宋"/>
                <w:color w:val="000000"/>
                <w:kern w:val="0"/>
              </w:rPr>
              <w:t>2.</w:t>
            </w:r>
            <w:r>
              <w:rPr>
                <w:rFonts w:hint="eastAsia" w:ascii="仿宋" w:hAnsi="仿宋" w:eastAsia="仿宋" w:cs="仿宋"/>
                <w:color w:val="000000"/>
                <w:kern w:val="0"/>
              </w:rPr>
              <w:t>通过预算支出项目的实施，促进了行业生产能力增长，从而带动行业经济效益增长；</w:t>
            </w:r>
          </w:p>
          <w:p>
            <w:pPr>
              <w:widowControl/>
              <w:spacing w:line="240" w:lineRule="exact"/>
              <w:jc w:val="left"/>
              <w:textAlignment w:val="center"/>
              <w:rPr>
                <w:rFonts w:hint="eastAsia" w:ascii="仿宋" w:hAnsi="仿宋" w:eastAsia="仿宋" w:cs="仿宋"/>
                <w:color w:val="000000"/>
                <w:kern w:val="0"/>
                <w:lang w:eastAsia="zh-CN"/>
              </w:rPr>
            </w:pPr>
            <w:r>
              <w:rPr>
                <w:rFonts w:ascii="仿宋" w:hAnsi="仿宋" w:eastAsia="仿宋" w:cs="仿宋"/>
                <w:color w:val="000000"/>
                <w:kern w:val="0"/>
              </w:rPr>
              <w:t>3.</w:t>
            </w:r>
            <w:r>
              <w:rPr>
                <w:rFonts w:hint="eastAsia" w:ascii="仿宋" w:hAnsi="仿宋" w:eastAsia="仿宋" w:cs="仿宋"/>
                <w:color w:val="000000"/>
                <w:kern w:val="0"/>
              </w:rPr>
              <w:t>通过预算支出项目的实施，有效提高劳动效率，节约成本费用；</w:t>
            </w:r>
          </w:p>
          <w:p>
            <w:pPr>
              <w:widowControl/>
              <w:spacing w:line="240" w:lineRule="exact"/>
              <w:jc w:val="left"/>
              <w:textAlignment w:val="center"/>
              <w:rPr>
                <w:rFonts w:hint="eastAsia" w:ascii="仿宋" w:hAnsi="仿宋" w:eastAsia="仿宋" w:cs="仿宋"/>
                <w:color w:val="000000"/>
                <w:kern w:val="0"/>
                <w:lang w:eastAsia="zh-CN"/>
              </w:rPr>
            </w:pPr>
            <w:r>
              <w:rPr>
                <w:rFonts w:ascii="仿宋" w:hAnsi="仿宋" w:eastAsia="仿宋" w:cs="仿宋"/>
                <w:color w:val="000000"/>
                <w:kern w:val="0"/>
              </w:rPr>
              <w:t>4.</w:t>
            </w:r>
            <w:r>
              <w:rPr>
                <w:rFonts w:hint="eastAsia" w:ascii="仿宋" w:hAnsi="仿宋" w:eastAsia="仿宋" w:cs="仿宋"/>
                <w:color w:val="000000"/>
                <w:kern w:val="0"/>
              </w:rPr>
              <w:t>通过预算支出项目的实施，降低了损耗，从而提高了生产效益；</w:t>
            </w:r>
          </w:p>
          <w:p>
            <w:pPr>
              <w:widowControl/>
              <w:spacing w:line="240" w:lineRule="exact"/>
              <w:jc w:val="left"/>
              <w:textAlignment w:val="center"/>
              <w:rPr>
                <w:rFonts w:ascii="仿宋" w:hAnsi="仿宋" w:eastAsia="仿宋" w:cs="Times New Roman"/>
              </w:rPr>
            </w:pPr>
            <w:r>
              <w:rPr>
                <w:rFonts w:ascii="仿宋" w:hAnsi="仿宋" w:eastAsia="仿宋" w:cs="仿宋"/>
                <w:color w:val="000000"/>
                <w:kern w:val="0"/>
              </w:rPr>
              <w:t>5.</w:t>
            </w:r>
            <w:r>
              <w:rPr>
                <w:rFonts w:hint="eastAsia" w:ascii="仿宋" w:hAnsi="仿宋" w:eastAsia="仿宋" w:cs="仿宋"/>
                <w:color w:val="000000"/>
                <w:kern w:val="0"/>
              </w:rPr>
              <w:t>通过预算支出项目的实施，完善了突发情况的监测预警，保障了生产安全，降低了生产损失。</w:t>
            </w:r>
          </w:p>
        </w:tc>
        <w:tc>
          <w:tcPr>
            <w:tcW w:w="2550"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rPr>
            </w:pPr>
            <w:r>
              <w:rPr>
                <w:rFonts w:hint="eastAsia" w:ascii="仿宋" w:hAnsi="仿宋" w:eastAsia="仿宋" w:cs="仿宋"/>
                <w:color w:val="000000"/>
                <w:kern w:val="0"/>
              </w:rPr>
              <w:t>根据不同部门履职的内容和特点，具体测算部门履职产生的经济效益。</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widowControl/>
              <w:spacing w:line="240" w:lineRule="exact"/>
              <w:jc w:val="left"/>
              <w:rPr>
                <w:rFonts w:ascii="仿宋_GB2312" w:hAnsi="新宋体" w:eastAsia="仿宋_GB2312" w:cs="Times New Roman"/>
                <w:kern w:val="0"/>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right w:val="single" w:color="auto" w:sz="4" w:space="0"/>
            </w:tcBorders>
            <w:vAlign w:val="center"/>
          </w:tcPr>
          <w:p>
            <w:pPr>
              <w:widowControl/>
              <w:spacing w:line="240" w:lineRule="exact"/>
              <w:rPr>
                <w:rFonts w:ascii="仿宋_GB2312" w:hAnsi="新宋体" w:eastAsia="仿宋_GB2312" w:cs="Times New Roman"/>
                <w:color w:val="000000"/>
                <w:kern w:val="0"/>
              </w:rPr>
            </w:pPr>
            <w:r>
              <w:rPr>
                <w:rFonts w:hint="eastAsia" w:ascii="仿宋_GB2312" w:hAnsi="新宋体" w:eastAsia="仿宋_GB2312" w:cs="仿宋_GB2312"/>
                <w:color w:val="000000"/>
                <w:kern w:val="0"/>
              </w:rPr>
              <w:t>社会效益（</w:t>
            </w:r>
            <w:r>
              <w:rPr>
                <w:rFonts w:ascii="仿宋_GB2312" w:hAnsi="新宋体" w:eastAsia="仿宋_GB2312" w:cs="仿宋_GB2312"/>
                <w:color w:val="000000"/>
                <w:kern w:val="0"/>
              </w:rPr>
              <w:t>5</w:t>
            </w:r>
            <w:r>
              <w:rPr>
                <w:rFonts w:hint="eastAsia" w:ascii="仿宋_GB2312" w:hAnsi="新宋体" w:eastAsia="仿宋_GB2312" w:cs="仿宋_GB2312"/>
                <w:color w:val="000000"/>
                <w:kern w:val="0"/>
              </w:rPr>
              <w:t>分）</w:t>
            </w:r>
          </w:p>
        </w:tc>
        <w:tc>
          <w:tcPr>
            <w:tcW w:w="3975" w:type="dxa"/>
            <w:tcBorders>
              <w:left w:val="single" w:color="auto" w:sz="4" w:space="0"/>
              <w:right w:val="single" w:color="auto" w:sz="4" w:space="0"/>
            </w:tcBorders>
            <w:vAlign w:val="center"/>
          </w:tcPr>
          <w:p>
            <w:pPr>
              <w:widowControl/>
              <w:spacing w:line="240" w:lineRule="exac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部门及所属二级单位履行职责对社会发展所带来的直接或间接影响。</w:t>
            </w:r>
          </w:p>
          <w:p>
            <w:pPr>
              <w:widowControl/>
              <w:spacing w:line="240" w:lineRule="exact"/>
              <w:textAlignment w:val="center"/>
              <w:rPr>
                <w:rFonts w:hint="eastAsia" w:ascii="仿宋" w:hAnsi="仿宋" w:eastAsia="仿宋" w:cs="仿宋"/>
                <w:color w:val="000000"/>
                <w:kern w:val="0"/>
                <w:lang w:eastAsia="zh-CN"/>
              </w:rPr>
            </w:pPr>
            <w:r>
              <w:rPr>
                <w:rFonts w:hint="eastAsia" w:ascii="仿宋" w:hAnsi="仿宋" w:eastAsia="仿宋" w:cs="仿宋"/>
                <w:color w:val="000000"/>
                <w:kern w:val="0"/>
              </w:rPr>
              <w:t>评价要点：</w:t>
            </w:r>
          </w:p>
          <w:p>
            <w:pPr>
              <w:widowControl/>
              <w:spacing w:line="240" w:lineRule="exact"/>
              <w:textAlignment w:val="center"/>
              <w:rPr>
                <w:rFonts w:hint="eastAsia" w:ascii="仿宋" w:hAnsi="仿宋" w:eastAsia="仿宋" w:cs="仿宋"/>
                <w:color w:val="000000"/>
                <w:kern w:val="0"/>
                <w:lang w:eastAsia="zh-CN"/>
              </w:rPr>
            </w:pPr>
            <w:r>
              <w:rPr>
                <w:rFonts w:ascii="仿宋" w:hAnsi="仿宋" w:eastAsia="仿宋" w:cs="仿宋"/>
                <w:color w:val="000000"/>
                <w:kern w:val="0"/>
              </w:rPr>
              <w:t>1.</w:t>
            </w:r>
            <w:r>
              <w:rPr>
                <w:rFonts w:hint="eastAsia" w:ascii="仿宋" w:hAnsi="仿宋" w:eastAsia="仿宋" w:cs="仿宋"/>
                <w:color w:val="000000"/>
                <w:kern w:val="0"/>
              </w:rPr>
              <w:t>通过部门所属企事业单位的改革，促进了企事业单位可持续发展，带动就业增长情况；</w:t>
            </w:r>
            <w:r>
              <w:rPr>
                <w:rFonts w:ascii="仿宋" w:hAnsi="仿宋" w:eastAsia="仿宋" w:cs="仿宋"/>
                <w:color w:val="000000"/>
                <w:kern w:val="0"/>
              </w:rPr>
              <w:t xml:space="preserve">          </w:t>
            </w:r>
          </w:p>
          <w:p>
            <w:pPr>
              <w:widowControl/>
              <w:spacing w:line="240" w:lineRule="exact"/>
              <w:textAlignment w:val="center"/>
              <w:rPr>
                <w:rFonts w:hint="eastAsia" w:ascii="仿宋" w:hAnsi="仿宋" w:eastAsia="仿宋" w:cs="仿宋"/>
                <w:color w:val="000000"/>
                <w:kern w:val="0"/>
                <w:lang w:eastAsia="zh-CN"/>
              </w:rPr>
            </w:pPr>
            <w:r>
              <w:rPr>
                <w:rFonts w:ascii="仿宋" w:hAnsi="仿宋" w:eastAsia="仿宋" w:cs="仿宋"/>
                <w:color w:val="000000"/>
                <w:kern w:val="0"/>
              </w:rPr>
              <w:t>2.</w:t>
            </w:r>
            <w:r>
              <w:rPr>
                <w:rFonts w:hint="eastAsia" w:ascii="仿宋" w:hAnsi="仿宋" w:eastAsia="仿宋" w:cs="仿宋"/>
                <w:color w:val="000000"/>
                <w:kern w:val="0"/>
              </w:rPr>
              <w:t>通过预算支出项目的实施，是否明显促进了行业精神文明建设；</w:t>
            </w:r>
          </w:p>
          <w:p>
            <w:pPr>
              <w:widowControl/>
              <w:spacing w:line="240" w:lineRule="exact"/>
              <w:textAlignment w:val="center"/>
              <w:rPr>
                <w:rFonts w:hint="eastAsia" w:ascii="仿宋" w:hAnsi="仿宋" w:eastAsia="仿宋" w:cs="仿宋"/>
                <w:color w:val="000000"/>
                <w:kern w:val="0"/>
                <w:lang w:eastAsia="zh-CN"/>
              </w:rPr>
            </w:pPr>
            <w:r>
              <w:rPr>
                <w:rFonts w:ascii="仿宋" w:hAnsi="仿宋" w:eastAsia="仿宋" w:cs="仿宋"/>
                <w:color w:val="000000"/>
                <w:kern w:val="0"/>
              </w:rPr>
              <w:t>3.</w:t>
            </w:r>
            <w:r>
              <w:rPr>
                <w:rFonts w:hint="eastAsia" w:ascii="仿宋" w:hAnsi="仿宋" w:eastAsia="仿宋" w:cs="仿宋"/>
                <w:color w:val="000000"/>
                <w:kern w:val="0"/>
              </w:rPr>
              <w:t>通过部门履职是否明显提高城乡居民生活水平，满足了人们日益增长的物质与文化生活需求；</w:t>
            </w:r>
          </w:p>
          <w:p>
            <w:pPr>
              <w:widowControl/>
              <w:spacing w:line="240" w:lineRule="exact"/>
              <w:textAlignment w:val="center"/>
              <w:rPr>
                <w:rFonts w:hint="eastAsia" w:ascii="仿宋" w:hAnsi="仿宋" w:eastAsia="仿宋" w:cs="仿宋"/>
                <w:color w:val="000000"/>
                <w:kern w:val="0"/>
                <w:lang w:eastAsia="zh-CN"/>
              </w:rPr>
            </w:pPr>
            <w:r>
              <w:rPr>
                <w:rFonts w:ascii="仿宋" w:hAnsi="仿宋" w:eastAsia="仿宋" w:cs="仿宋"/>
                <w:color w:val="000000"/>
                <w:kern w:val="0"/>
              </w:rPr>
              <w:t>4.</w:t>
            </w:r>
            <w:r>
              <w:rPr>
                <w:rFonts w:hint="eastAsia" w:ascii="仿宋" w:hAnsi="仿宋" w:eastAsia="仿宋" w:cs="仿宋"/>
                <w:color w:val="000000"/>
                <w:kern w:val="0"/>
              </w:rPr>
              <w:t>通过预算项目的实施，是否提高了劳动生产率，降低了劳动强度，促进了劳动人民的身心健康；</w:t>
            </w:r>
          </w:p>
          <w:p>
            <w:pPr>
              <w:widowControl/>
              <w:spacing w:line="240" w:lineRule="exact"/>
              <w:textAlignment w:val="center"/>
              <w:rPr>
                <w:rFonts w:ascii="仿宋" w:hAnsi="仿宋" w:eastAsia="仿宋" w:cs="Times New Roman"/>
                <w:color w:val="000000"/>
                <w:kern w:val="0"/>
              </w:rPr>
            </w:pPr>
            <w:r>
              <w:rPr>
                <w:rFonts w:ascii="仿宋" w:hAnsi="仿宋" w:eastAsia="仿宋" w:cs="仿宋"/>
                <w:color w:val="000000"/>
                <w:kern w:val="0"/>
              </w:rPr>
              <w:t>5.</w:t>
            </w:r>
            <w:r>
              <w:rPr>
                <w:rFonts w:hint="eastAsia" w:ascii="仿宋" w:hAnsi="仿宋" w:eastAsia="仿宋" w:cs="仿宋"/>
                <w:color w:val="000000"/>
                <w:kern w:val="0"/>
              </w:rPr>
              <w:t>通过部门履职行业形象是否得到了大大提升了，增强了部门影响力。</w:t>
            </w:r>
          </w:p>
        </w:tc>
        <w:tc>
          <w:tcPr>
            <w:tcW w:w="2550" w:type="dxa"/>
            <w:tcBorders>
              <w:left w:val="single" w:color="auto" w:sz="4" w:space="0"/>
              <w:right w:val="single" w:color="auto" w:sz="4" w:space="0"/>
            </w:tcBorders>
            <w:vAlign w:val="center"/>
          </w:tcPr>
          <w:p>
            <w:pPr>
              <w:widowControl/>
              <w:spacing w:line="240" w:lineRule="exact"/>
              <w:textAlignment w:val="center"/>
              <w:rPr>
                <w:rFonts w:ascii="仿宋" w:hAnsi="仿宋" w:eastAsia="仿宋" w:cs="Times New Roman"/>
              </w:rPr>
            </w:pPr>
            <w:r>
              <w:rPr>
                <w:rFonts w:hint="eastAsia" w:ascii="仿宋" w:hAnsi="仿宋" w:eastAsia="仿宋" w:cs="仿宋"/>
                <w:color w:val="000000"/>
                <w:kern w:val="0"/>
              </w:rPr>
              <w:t>根据不同部门履职的内容和特点，具体测算部门履职产生的社会效益。</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widowControl/>
              <w:spacing w:line="240" w:lineRule="exact"/>
              <w:jc w:val="left"/>
              <w:rPr>
                <w:rFonts w:ascii="仿宋_GB2312" w:hAnsi="新宋体" w:eastAsia="仿宋_GB2312" w:cs="Times New Roman"/>
                <w:kern w:val="0"/>
              </w:rPr>
            </w:pPr>
          </w:p>
        </w:tc>
        <w:tc>
          <w:tcPr>
            <w:tcW w:w="765" w:type="dxa"/>
            <w:vMerge w:val="continue"/>
            <w:vAlign w:val="center"/>
          </w:tcPr>
          <w:p>
            <w:pPr>
              <w:widowControl/>
              <w:spacing w:line="240" w:lineRule="exact"/>
              <w:jc w:val="left"/>
              <w:rPr>
                <w:rFonts w:ascii="仿宋_GB2312" w:hAnsi="新宋体" w:eastAsia="仿宋_GB2312" w:cs="Times New Roman"/>
                <w:kern w:val="0"/>
              </w:rPr>
            </w:pPr>
          </w:p>
        </w:tc>
        <w:tc>
          <w:tcPr>
            <w:tcW w:w="990" w:type="dxa"/>
            <w:tcBorders>
              <w:right w:val="single" w:color="auto" w:sz="4" w:space="0"/>
            </w:tcBorders>
            <w:vAlign w:val="center"/>
          </w:tcPr>
          <w:p>
            <w:pPr>
              <w:widowControl/>
              <w:spacing w:line="240" w:lineRule="exact"/>
              <w:jc w:val="left"/>
              <w:rPr>
                <w:rFonts w:ascii="仿宋_GB2312" w:hAnsi="新宋体" w:eastAsia="仿宋_GB2312" w:cs="Times New Roman"/>
                <w:color w:val="000000"/>
                <w:kern w:val="0"/>
              </w:rPr>
            </w:pPr>
            <w:r>
              <w:rPr>
                <w:rFonts w:hint="eastAsia" w:ascii="仿宋_GB2312" w:hAnsi="新宋体" w:eastAsia="仿宋_GB2312" w:cs="仿宋_GB2312"/>
                <w:color w:val="000000"/>
                <w:kern w:val="0"/>
              </w:rPr>
              <w:t>生态效益（</w:t>
            </w:r>
            <w:r>
              <w:rPr>
                <w:rFonts w:ascii="仿宋_GB2312" w:hAnsi="新宋体" w:eastAsia="仿宋_GB2312" w:cs="仿宋_GB2312"/>
                <w:color w:val="000000"/>
                <w:kern w:val="0"/>
              </w:rPr>
              <w:t>5</w:t>
            </w:r>
            <w:r>
              <w:rPr>
                <w:rFonts w:hint="eastAsia" w:ascii="仿宋_GB2312" w:hAnsi="新宋体" w:eastAsia="仿宋_GB2312" w:cs="仿宋_GB2312"/>
                <w:color w:val="000000"/>
                <w:kern w:val="0"/>
              </w:rPr>
              <w:t>分）</w:t>
            </w:r>
          </w:p>
        </w:tc>
        <w:tc>
          <w:tcPr>
            <w:tcW w:w="3975" w:type="dxa"/>
            <w:tcBorders>
              <w:left w:val="single" w:color="auto" w:sz="4" w:space="0"/>
              <w:right w:val="single" w:color="auto" w:sz="4" w:space="0"/>
            </w:tcBorders>
            <w:vAlign w:val="center"/>
          </w:tcPr>
          <w:p>
            <w:pPr>
              <w:widowControl/>
              <w:spacing w:line="240" w:lineRule="exact"/>
              <w:jc w:val="left"/>
              <w:textAlignment w:val="center"/>
              <w:rPr>
                <w:rFonts w:ascii="仿宋" w:hAnsi="仿宋" w:eastAsia="仿宋" w:cs="Times New Roman"/>
                <w:color w:val="000000"/>
                <w:kern w:val="0"/>
              </w:rPr>
            </w:pPr>
            <w:r>
              <w:rPr>
                <w:rFonts w:hint="eastAsia" w:ascii="仿宋" w:hAnsi="仿宋" w:eastAsia="仿宋" w:cs="仿宋"/>
                <w:color w:val="000000"/>
                <w:kern w:val="0"/>
              </w:rPr>
              <w:t>部门及所属二级单位履行职责对生态环境所带来的直接或间接影响。</w:t>
            </w:r>
          </w:p>
          <w:p>
            <w:pPr>
              <w:widowControl/>
              <w:spacing w:line="240" w:lineRule="exact"/>
              <w:jc w:val="left"/>
              <w:textAlignment w:val="center"/>
              <w:rPr>
                <w:rFonts w:hint="eastAsia" w:ascii="仿宋" w:hAnsi="仿宋" w:eastAsia="仿宋" w:cs="仿宋"/>
                <w:color w:val="000000"/>
                <w:kern w:val="0"/>
                <w:lang w:eastAsia="zh-CN"/>
              </w:rPr>
            </w:pPr>
            <w:r>
              <w:rPr>
                <w:rFonts w:hint="eastAsia" w:ascii="仿宋" w:hAnsi="仿宋" w:eastAsia="仿宋" w:cs="仿宋"/>
                <w:color w:val="000000"/>
                <w:kern w:val="0"/>
              </w:rPr>
              <w:t>评价要点：</w:t>
            </w:r>
          </w:p>
          <w:p>
            <w:pPr>
              <w:widowControl/>
              <w:spacing w:line="240" w:lineRule="exact"/>
              <w:jc w:val="left"/>
              <w:textAlignment w:val="center"/>
              <w:rPr>
                <w:rFonts w:hint="eastAsia" w:ascii="仿宋" w:hAnsi="仿宋" w:eastAsia="仿宋" w:cs="仿宋"/>
                <w:color w:val="000000"/>
                <w:kern w:val="0"/>
                <w:lang w:eastAsia="zh-CN"/>
              </w:rPr>
            </w:pPr>
            <w:r>
              <w:rPr>
                <w:rFonts w:ascii="仿宋" w:hAnsi="仿宋" w:eastAsia="仿宋" w:cs="仿宋"/>
                <w:color w:val="000000"/>
                <w:kern w:val="0"/>
              </w:rPr>
              <w:t>1.</w:t>
            </w:r>
            <w:r>
              <w:rPr>
                <w:rFonts w:hint="eastAsia" w:ascii="仿宋" w:hAnsi="仿宋" w:eastAsia="仿宋" w:cs="仿宋"/>
                <w:color w:val="000000"/>
                <w:kern w:val="0"/>
              </w:rPr>
              <w:t>通过预算支出项目的实施，绿色、节能环保新技术的应用和推广，明显带动各环节的节能减排，也具有一定的环境效益；</w:t>
            </w:r>
          </w:p>
          <w:p>
            <w:pPr>
              <w:widowControl/>
              <w:spacing w:line="240" w:lineRule="exact"/>
              <w:jc w:val="left"/>
              <w:textAlignment w:val="center"/>
              <w:rPr>
                <w:rFonts w:hint="eastAsia" w:ascii="仿宋" w:hAnsi="仿宋" w:eastAsia="仿宋" w:cs="仿宋"/>
                <w:color w:val="000000"/>
                <w:kern w:val="0"/>
                <w:lang w:eastAsia="zh-CN"/>
              </w:rPr>
            </w:pPr>
            <w:r>
              <w:rPr>
                <w:rFonts w:ascii="仿宋" w:hAnsi="仿宋" w:eastAsia="仿宋" w:cs="仿宋"/>
                <w:color w:val="000000"/>
                <w:kern w:val="0"/>
              </w:rPr>
              <w:t>2.</w:t>
            </w:r>
            <w:r>
              <w:rPr>
                <w:rFonts w:hint="eastAsia" w:ascii="仿宋" w:hAnsi="仿宋" w:eastAsia="仿宋" w:cs="仿宋"/>
                <w:color w:val="000000"/>
                <w:kern w:val="0"/>
              </w:rPr>
              <w:t>通过履职有效地控制虚假、伪劣、霉变等劣质产品进入市场，影响了人民生活质量，净化地市场环境；</w:t>
            </w:r>
          </w:p>
          <w:p>
            <w:pPr>
              <w:widowControl/>
              <w:spacing w:line="240" w:lineRule="exact"/>
              <w:jc w:val="left"/>
              <w:textAlignment w:val="center"/>
              <w:rPr>
                <w:rFonts w:hint="eastAsia" w:ascii="仿宋" w:hAnsi="仿宋" w:eastAsia="仿宋" w:cs="仿宋"/>
                <w:color w:val="000000"/>
                <w:kern w:val="0"/>
                <w:lang w:eastAsia="zh-CN"/>
              </w:rPr>
            </w:pPr>
            <w:r>
              <w:rPr>
                <w:rFonts w:ascii="仿宋" w:hAnsi="仿宋" w:eastAsia="仿宋" w:cs="仿宋"/>
                <w:color w:val="000000"/>
                <w:kern w:val="0"/>
              </w:rPr>
              <w:t>3.</w:t>
            </w:r>
            <w:r>
              <w:rPr>
                <w:rFonts w:hint="eastAsia" w:ascii="仿宋" w:hAnsi="仿宋" w:eastAsia="仿宋" w:cs="仿宋"/>
                <w:color w:val="000000"/>
                <w:kern w:val="0"/>
              </w:rPr>
              <w:t>通过预算支出项目的实施，是否达到减少污染物排放；</w:t>
            </w:r>
          </w:p>
          <w:p>
            <w:pPr>
              <w:widowControl/>
              <w:spacing w:line="240" w:lineRule="exact"/>
              <w:jc w:val="left"/>
              <w:textAlignment w:val="center"/>
              <w:rPr>
                <w:rFonts w:ascii="仿宋" w:hAnsi="仿宋" w:eastAsia="仿宋" w:cs="Times New Roman"/>
                <w:color w:val="000000"/>
                <w:kern w:val="0"/>
              </w:rPr>
            </w:pPr>
            <w:r>
              <w:rPr>
                <w:rFonts w:ascii="仿宋" w:hAnsi="仿宋" w:eastAsia="仿宋" w:cs="仿宋"/>
                <w:color w:val="000000"/>
                <w:kern w:val="0"/>
              </w:rPr>
              <w:t>4.</w:t>
            </w:r>
            <w:r>
              <w:rPr>
                <w:rFonts w:hint="eastAsia" w:ascii="仿宋" w:hAnsi="仿宋" w:eastAsia="仿宋" w:cs="仿宋"/>
                <w:color w:val="000000"/>
                <w:kern w:val="0"/>
              </w:rPr>
              <w:t>通过预算支出项目的实施，周围环境得到了整治，面貌得到了改善。</w:t>
            </w:r>
          </w:p>
        </w:tc>
        <w:tc>
          <w:tcPr>
            <w:tcW w:w="2550" w:type="dxa"/>
            <w:tcBorders>
              <w:left w:val="single" w:color="auto" w:sz="4" w:space="0"/>
              <w:right w:val="single" w:color="auto" w:sz="4" w:space="0"/>
            </w:tcBorders>
            <w:vAlign w:val="center"/>
          </w:tcPr>
          <w:p>
            <w:pPr>
              <w:widowControl/>
              <w:spacing w:line="240" w:lineRule="exact"/>
              <w:jc w:val="left"/>
              <w:textAlignment w:val="center"/>
              <w:rPr>
                <w:rFonts w:cs="Times New Roman"/>
              </w:rPr>
            </w:pPr>
            <w:r>
              <w:rPr>
                <w:rFonts w:hint="eastAsia" w:ascii="仿宋" w:hAnsi="仿宋" w:eastAsia="仿宋" w:cs="仿宋"/>
                <w:color w:val="000000"/>
                <w:kern w:val="0"/>
              </w:rPr>
              <w:t>根据不同部门履职的内容和特点，具体测算部门履职产生的生态效益。</w:t>
            </w:r>
          </w:p>
        </w:tc>
        <w:tc>
          <w:tcPr>
            <w:tcW w:w="765" w:type="dxa"/>
            <w:tcBorders>
              <w:left w:val="single" w:color="auto" w:sz="4" w:space="0"/>
            </w:tcBorders>
            <w:vAlign w:val="center"/>
          </w:tcPr>
          <w:p>
            <w:pPr>
              <w:widowControl/>
              <w:spacing w:line="240" w:lineRule="exact"/>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95" w:type="dxa"/>
            <w:vMerge w:val="continue"/>
            <w:vAlign w:val="center"/>
          </w:tcPr>
          <w:p>
            <w:pPr>
              <w:spacing w:line="240" w:lineRule="exact"/>
              <w:rPr>
                <w:rFonts w:ascii="宋体" w:cs="Times New Roman"/>
              </w:rPr>
            </w:pPr>
          </w:p>
        </w:tc>
        <w:tc>
          <w:tcPr>
            <w:tcW w:w="765" w:type="dxa"/>
            <w:vMerge w:val="continue"/>
            <w:tcBorders>
              <w:bottom w:val="single" w:color="auto" w:sz="4" w:space="0"/>
            </w:tcBorders>
            <w:vAlign w:val="center"/>
          </w:tcPr>
          <w:p>
            <w:pPr>
              <w:widowControl/>
              <w:spacing w:line="240" w:lineRule="exact"/>
              <w:jc w:val="left"/>
              <w:rPr>
                <w:rFonts w:cs="Times New Roman"/>
              </w:rPr>
            </w:pPr>
          </w:p>
        </w:tc>
        <w:tc>
          <w:tcPr>
            <w:tcW w:w="990" w:type="dxa"/>
            <w:tcBorders>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服务对象满意度（</w:t>
            </w:r>
            <w:r>
              <w:rPr>
                <w:rFonts w:ascii="仿宋_GB2312" w:hAnsi="新宋体" w:eastAsia="仿宋_GB2312" w:cs="仿宋_GB2312"/>
                <w:kern w:val="0"/>
              </w:rPr>
              <w:t>5</w:t>
            </w:r>
            <w:r>
              <w:rPr>
                <w:rFonts w:hint="eastAsia" w:ascii="仿宋_GB2312" w:hAnsi="新宋体" w:eastAsia="仿宋_GB2312" w:cs="仿宋_GB2312"/>
                <w:kern w:val="0"/>
              </w:rPr>
              <w:t>）</w:t>
            </w:r>
          </w:p>
        </w:tc>
        <w:tc>
          <w:tcPr>
            <w:tcW w:w="3975" w:type="dxa"/>
            <w:tcBorders>
              <w:left w:val="single" w:color="auto" w:sz="4" w:space="0"/>
              <w:right w:val="single" w:color="auto" w:sz="4" w:space="0"/>
            </w:tcBorders>
            <w:vAlign w:val="center"/>
          </w:tcPr>
          <w:p>
            <w:pPr>
              <w:widowControl/>
              <w:spacing w:line="240" w:lineRule="exact"/>
              <w:jc w:val="left"/>
              <w:rPr>
                <w:rFonts w:cs="Times New Roman"/>
              </w:rPr>
            </w:pPr>
            <w:r>
              <w:rPr>
                <w:rFonts w:hint="eastAsia" w:ascii="仿宋_GB2312" w:hAnsi="新宋体" w:eastAsia="仿宋_GB2312" w:cs="仿宋_GB2312"/>
                <w:kern w:val="0"/>
              </w:rPr>
              <w:t>通过对部门（单位）的服务对象对部门履职效果的满意程度调查，反映和考核社会公众或服务对象对部门履职的满意度。</w:t>
            </w:r>
          </w:p>
        </w:tc>
        <w:tc>
          <w:tcPr>
            <w:tcW w:w="2550" w:type="dxa"/>
            <w:tcBorders>
              <w:left w:val="single" w:color="auto" w:sz="4" w:space="0"/>
              <w:right w:val="single" w:color="auto" w:sz="4" w:space="0"/>
            </w:tcBorders>
            <w:vAlign w:val="center"/>
          </w:tcPr>
          <w:p>
            <w:pPr>
              <w:widowControl/>
              <w:spacing w:line="240" w:lineRule="exact"/>
              <w:rPr>
                <w:rFonts w:ascii="仿宋" w:hAnsi="仿宋" w:eastAsia="仿宋" w:cs="Times New Roman"/>
                <w:kern w:val="0"/>
              </w:rPr>
            </w:pPr>
            <w:r>
              <w:rPr>
                <w:rFonts w:hint="eastAsia" w:ascii="仿宋" w:hAnsi="仿宋" w:eastAsia="仿宋" w:cs="仿宋"/>
                <w:kern w:val="0"/>
              </w:rPr>
              <w:t>按照满意度调查的优秀、良好、合格、不合格给予该项指标打分：</w:t>
            </w:r>
          </w:p>
          <w:p>
            <w:pPr>
              <w:widowControl/>
              <w:spacing w:line="240" w:lineRule="exact"/>
              <w:rPr>
                <w:rFonts w:cs="Times New Roman"/>
              </w:rPr>
            </w:pPr>
            <w:r>
              <w:rPr>
                <w:rFonts w:hint="eastAsia" w:ascii="仿宋" w:hAnsi="仿宋" w:eastAsia="仿宋" w:cs="仿宋"/>
                <w:kern w:val="0"/>
              </w:rPr>
              <w:t>优秀（</w:t>
            </w:r>
            <w:r>
              <w:rPr>
                <w:rFonts w:ascii="仿宋" w:hAnsi="仿宋" w:eastAsia="仿宋" w:cs="仿宋"/>
                <w:kern w:val="0"/>
              </w:rPr>
              <w:t>5</w:t>
            </w:r>
            <w:r>
              <w:rPr>
                <w:rFonts w:hint="eastAsia" w:ascii="仿宋" w:hAnsi="仿宋" w:eastAsia="仿宋" w:cs="仿宋"/>
                <w:kern w:val="0"/>
              </w:rPr>
              <w:t>）；良好（</w:t>
            </w:r>
            <w:r>
              <w:rPr>
                <w:rFonts w:ascii="仿宋" w:hAnsi="仿宋" w:eastAsia="仿宋" w:cs="仿宋"/>
                <w:kern w:val="0"/>
              </w:rPr>
              <w:t>3</w:t>
            </w:r>
            <w:r>
              <w:rPr>
                <w:rFonts w:hint="eastAsia" w:ascii="仿宋" w:hAnsi="仿宋" w:eastAsia="仿宋" w:cs="仿宋"/>
                <w:kern w:val="0"/>
              </w:rPr>
              <w:t>）；合格（</w:t>
            </w:r>
            <w:r>
              <w:rPr>
                <w:rFonts w:ascii="仿宋" w:hAnsi="仿宋" w:eastAsia="仿宋" w:cs="仿宋"/>
                <w:kern w:val="0"/>
              </w:rPr>
              <w:t>1</w:t>
            </w:r>
            <w:r>
              <w:rPr>
                <w:rFonts w:hint="eastAsia" w:ascii="仿宋" w:hAnsi="仿宋" w:eastAsia="仿宋" w:cs="仿宋"/>
                <w:kern w:val="0"/>
              </w:rPr>
              <w:t>）；不合格（</w:t>
            </w:r>
            <w:r>
              <w:rPr>
                <w:rFonts w:ascii="仿宋" w:hAnsi="仿宋" w:eastAsia="仿宋" w:cs="仿宋"/>
                <w:kern w:val="0"/>
              </w:rPr>
              <w:t>0</w:t>
            </w:r>
            <w:r>
              <w:rPr>
                <w:rFonts w:hint="eastAsia" w:ascii="仿宋" w:hAnsi="仿宋" w:eastAsia="仿宋" w:cs="仿宋"/>
                <w:kern w:val="0"/>
              </w:rPr>
              <w:t>）。</w:t>
            </w:r>
          </w:p>
        </w:tc>
        <w:tc>
          <w:tcPr>
            <w:tcW w:w="765" w:type="dxa"/>
            <w:tcBorders>
              <w:left w:val="single" w:color="auto" w:sz="4" w:space="0"/>
            </w:tcBorders>
            <w:vAlign w:val="center"/>
          </w:tcPr>
          <w:p>
            <w:pPr>
              <w:widowControl/>
              <w:spacing w:line="240" w:lineRule="exact"/>
              <w:jc w:val="center"/>
            </w:pPr>
            <w:r>
              <w:t>5</w:t>
            </w:r>
          </w:p>
        </w:tc>
      </w:tr>
    </w:tbl>
    <w:p>
      <w:pPr>
        <w:spacing w:line="240" w:lineRule="exact"/>
        <w:rPr>
          <w:rFonts w:ascii="仿宋" w:hAnsi="仿宋" w:eastAsia="仿宋" w:cs="Times New Roman"/>
          <w:sz w:val="32"/>
          <w:szCs w:val="32"/>
        </w:rPr>
      </w:pPr>
    </w:p>
    <w:p>
      <w:pPr>
        <w:spacing w:line="240" w:lineRule="exact"/>
        <w:rPr>
          <w:rFonts w:ascii="仿宋" w:hAnsi="仿宋" w:eastAsia="仿宋" w:cs="Times New Roman"/>
          <w:sz w:val="32"/>
          <w:szCs w:val="32"/>
        </w:rPr>
      </w:pPr>
    </w:p>
    <w:p>
      <w:pPr>
        <w:rPr>
          <w:rFonts w:ascii="仿宋" w:hAnsi="仿宋" w:eastAsia="仿宋" w:cs="Times New Roman"/>
          <w:sz w:val="32"/>
          <w:szCs w:val="32"/>
        </w:rPr>
      </w:pPr>
    </w:p>
    <w:sectPr>
      <w:footerReference r:id="rId3" w:type="default"/>
      <w:pgSz w:w="11906" w:h="16838"/>
      <w:pgMar w:top="1701" w:right="1418" w:bottom="1701" w:left="1418" w:header="851" w:footer="1701"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1"/>
        <w:rFonts w:ascii="宋体" w:cs="宋体"/>
        <w:sz w:val="28"/>
        <w:szCs w:val="28"/>
      </w:rPr>
    </w:pPr>
    <w:r>
      <w:rPr>
        <w:rStyle w:val="11"/>
        <w:rFonts w:ascii="宋体" w:cs="宋体"/>
        <w:sz w:val="28"/>
        <w:szCs w:val="28"/>
      </w:rPr>
      <w:t>-</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2</w:t>
    </w:r>
    <w:r>
      <w:rPr>
        <w:rStyle w:val="11"/>
        <w:rFonts w:ascii="宋体" w:hAnsi="宋体" w:cs="宋体"/>
        <w:sz w:val="28"/>
        <w:szCs w:val="28"/>
      </w:rPr>
      <w:fldChar w:fldCharType="end"/>
    </w:r>
    <w:r>
      <w:rPr>
        <w:rStyle w:val="11"/>
        <w:rFonts w:ascii="宋体" w:cs="宋体"/>
        <w:sz w:val="28"/>
        <w:szCs w:val="28"/>
      </w:rPr>
      <w:t>-</w:t>
    </w:r>
  </w:p>
  <w:p>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313"/>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YjFiNmEwNzk3OWIzOTYyZTE4YTUyNjY1ZmU1Mjg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11487"/>
    <w:rsid w:val="00225AE6"/>
    <w:rsid w:val="00235F0F"/>
    <w:rsid w:val="00255783"/>
    <w:rsid w:val="002563F9"/>
    <w:rsid w:val="00290BA1"/>
    <w:rsid w:val="002A6AEA"/>
    <w:rsid w:val="002F2268"/>
    <w:rsid w:val="003C50C2"/>
    <w:rsid w:val="0041099F"/>
    <w:rsid w:val="00436A1D"/>
    <w:rsid w:val="004379D7"/>
    <w:rsid w:val="004755B3"/>
    <w:rsid w:val="004A68B1"/>
    <w:rsid w:val="004B64F3"/>
    <w:rsid w:val="004E3B64"/>
    <w:rsid w:val="005020C5"/>
    <w:rsid w:val="00567FE6"/>
    <w:rsid w:val="0058162A"/>
    <w:rsid w:val="005B3616"/>
    <w:rsid w:val="005E12FA"/>
    <w:rsid w:val="005F1122"/>
    <w:rsid w:val="00683167"/>
    <w:rsid w:val="006A5056"/>
    <w:rsid w:val="006E64C9"/>
    <w:rsid w:val="007048FF"/>
    <w:rsid w:val="00712100"/>
    <w:rsid w:val="0071700D"/>
    <w:rsid w:val="00742652"/>
    <w:rsid w:val="00772600"/>
    <w:rsid w:val="007D5D41"/>
    <w:rsid w:val="007F01F9"/>
    <w:rsid w:val="00856BA1"/>
    <w:rsid w:val="00867620"/>
    <w:rsid w:val="008709E0"/>
    <w:rsid w:val="008A26A1"/>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32FBD"/>
    <w:rsid w:val="00B9023F"/>
    <w:rsid w:val="00B970E8"/>
    <w:rsid w:val="00BC1FDC"/>
    <w:rsid w:val="00BD0FD8"/>
    <w:rsid w:val="00C44804"/>
    <w:rsid w:val="00C6362A"/>
    <w:rsid w:val="00C81363"/>
    <w:rsid w:val="00CB27A5"/>
    <w:rsid w:val="00CD55ED"/>
    <w:rsid w:val="00CD63C0"/>
    <w:rsid w:val="00CE62A0"/>
    <w:rsid w:val="00D21F0C"/>
    <w:rsid w:val="00D366C1"/>
    <w:rsid w:val="00D877F7"/>
    <w:rsid w:val="00DB2D43"/>
    <w:rsid w:val="00DC15FF"/>
    <w:rsid w:val="00E266F1"/>
    <w:rsid w:val="00EB16A8"/>
    <w:rsid w:val="00EC7904"/>
    <w:rsid w:val="00ED69C1"/>
    <w:rsid w:val="00F72E93"/>
    <w:rsid w:val="00F87A11"/>
    <w:rsid w:val="00FB7E01"/>
    <w:rsid w:val="00FE5F4C"/>
    <w:rsid w:val="00FF39F6"/>
    <w:rsid w:val="032174A7"/>
    <w:rsid w:val="05374814"/>
    <w:rsid w:val="0F8F6BFC"/>
    <w:rsid w:val="17935082"/>
    <w:rsid w:val="25463C46"/>
    <w:rsid w:val="25A21129"/>
    <w:rsid w:val="33734144"/>
    <w:rsid w:val="34BB131C"/>
    <w:rsid w:val="3791647A"/>
    <w:rsid w:val="387939C8"/>
    <w:rsid w:val="39066D72"/>
    <w:rsid w:val="3BF84C04"/>
    <w:rsid w:val="3D4F4825"/>
    <w:rsid w:val="455969D8"/>
    <w:rsid w:val="49927E75"/>
    <w:rsid w:val="4A0F37D4"/>
    <w:rsid w:val="4B04639A"/>
    <w:rsid w:val="4D5117AD"/>
    <w:rsid w:val="4FFE4A87"/>
    <w:rsid w:val="526A3656"/>
    <w:rsid w:val="52F31DB7"/>
    <w:rsid w:val="537D5CC3"/>
    <w:rsid w:val="5A6574B1"/>
    <w:rsid w:val="5B101B12"/>
    <w:rsid w:val="5B8B6EA9"/>
    <w:rsid w:val="5D643D56"/>
    <w:rsid w:val="6470717E"/>
    <w:rsid w:val="692119D9"/>
    <w:rsid w:val="69246805"/>
    <w:rsid w:val="69BD0A47"/>
    <w:rsid w:val="6B016D82"/>
    <w:rsid w:val="71A911C9"/>
    <w:rsid w:val="7CCC213E"/>
    <w:rsid w:val="7E9C52E7"/>
    <w:rsid w:val="7FF505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autoSpaceDE w:val="0"/>
      <w:autoSpaceDN w:val="0"/>
      <w:adjustRightInd w:val="0"/>
      <w:snapToGrid w:val="0"/>
      <w:spacing w:line="588" w:lineRule="atLeast"/>
    </w:pPr>
    <w:rPr>
      <w:rFonts w:ascii="宋体" w:hAnsi="宋体" w:eastAsia="仿宋_GB2312" w:cs="宋体"/>
      <w:spacing w:val="-2"/>
      <w:sz w:val="32"/>
      <w:szCs w:val="32"/>
    </w:rPr>
  </w:style>
  <w:style w:type="paragraph" w:styleId="4">
    <w:name w:val="Plain Text"/>
    <w:basedOn w:val="1"/>
    <w:link w:val="14"/>
    <w:qFormat/>
    <w:uiPriority w:val="99"/>
    <w:rPr>
      <w:rFonts w:ascii="宋体" w:hAnsi="Courier New" w:cs="宋体"/>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b/>
      <w:bCs/>
    </w:rPr>
  </w:style>
  <w:style w:type="character" w:styleId="11">
    <w:name w:val="page number"/>
    <w:basedOn w:val="9"/>
    <w:semiHidden/>
    <w:qFormat/>
    <w:uiPriority w:val="99"/>
  </w:style>
  <w:style w:type="character" w:customStyle="1" w:styleId="12">
    <w:name w:val="Heading 1 Char"/>
    <w:basedOn w:val="9"/>
    <w:link w:val="2"/>
    <w:qFormat/>
    <w:locked/>
    <w:uiPriority w:val="99"/>
    <w:rPr>
      <w:rFonts w:ascii="宋体" w:hAnsi="宋体" w:eastAsia="宋体" w:cs="宋体"/>
      <w:b/>
      <w:bCs/>
      <w:kern w:val="44"/>
      <w:sz w:val="48"/>
      <w:szCs w:val="48"/>
    </w:rPr>
  </w:style>
  <w:style w:type="character" w:customStyle="1" w:styleId="13">
    <w:name w:val="Body Text Char"/>
    <w:basedOn w:val="9"/>
    <w:link w:val="3"/>
    <w:semiHidden/>
    <w:qFormat/>
    <w:uiPriority w:val="99"/>
    <w:rPr>
      <w:rFonts w:ascii="Calibri" w:hAnsi="Calibri" w:cs="Calibri"/>
      <w:szCs w:val="21"/>
    </w:rPr>
  </w:style>
  <w:style w:type="character" w:customStyle="1" w:styleId="14">
    <w:name w:val="Plain Text Char"/>
    <w:basedOn w:val="9"/>
    <w:link w:val="4"/>
    <w:qFormat/>
    <w:locked/>
    <w:uiPriority w:val="99"/>
    <w:rPr>
      <w:rFonts w:ascii="宋体" w:hAnsi="Courier New" w:eastAsia="宋体" w:cs="宋体"/>
      <w:sz w:val="21"/>
      <w:szCs w:val="21"/>
    </w:rPr>
  </w:style>
  <w:style w:type="character" w:customStyle="1" w:styleId="15">
    <w:name w:val="Footer Char"/>
    <w:basedOn w:val="9"/>
    <w:link w:val="5"/>
    <w:qFormat/>
    <w:locked/>
    <w:uiPriority w:val="99"/>
    <w:rPr>
      <w:sz w:val="18"/>
      <w:szCs w:val="18"/>
    </w:rPr>
  </w:style>
  <w:style w:type="character" w:customStyle="1" w:styleId="16">
    <w:name w:val="Header Char"/>
    <w:basedOn w:val="9"/>
    <w:link w:val="6"/>
    <w:qFormat/>
    <w:locked/>
    <w:uiPriority w:val="99"/>
    <w:rPr>
      <w:sz w:val="18"/>
      <w:szCs w:val="18"/>
    </w:rPr>
  </w:style>
  <w:style w:type="character" w:customStyle="1" w:styleId="17">
    <w:name w:val="font31"/>
    <w:basedOn w:val="9"/>
    <w:qFormat/>
    <w:uiPriority w:val="99"/>
    <w:rPr>
      <w:rFonts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4705</Words>
  <Characters>5025</Characters>
  <Lines>0</Lines>
  <Paragraphs>0</Paragraphs>
  <TotalTime>100</TotalTime>
  <ScaleCrop>false</ScaleCrop>
  <LinksUpToDate>false</LinksUpToDate>
  <CharactersWithSpaces>5058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2021-05-18T01:37:00Z</dcterms:created>
  <dc:creator>Administrator</dc:creator>
  <cp:lastModifiedBy>Administrator</cp:lastModifiedBy>
  <cp:lastPrinted>2020-04-22T08:40:00Z</cp:lastPrinted>
  <dcterms:modified xsi:type="dcterms:W3CDTF">2022-07-20T08:11:37Z</dcterms:modified>
  <dc:title>部门整体支出绩效评价指标体系评分表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0220A53A9D57436F9C2BDF33D8F578EB</vt:lpwstr>
  </property>
</Properties>
</file>