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eastAsia" w:ascii="宋体" w:hAnsi="宋体" w:eastAsia="宋体" w:cs="宋体"/>
          <w:b/>
          <w:sz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cs="仿宋" w:eastAsiaTheme="majorEastAsia"/>
          <w:b/>
          <w:bCs w:val="0"/>
          <w:sz w:val="44"/>
          <w:szCs w:val="36"/>
        </w:rPr>
      </w:pPr>
      <w:r>
        <w:rPr>
          <w:rFonts w:hint="eastAsia" w:ascii="仿宋" w:hAnsi="仿宋" w:cs="仿宋" w:eastAsiaTheme="majorEastAsia"/>
          <w:b/>
          <w:bCs w:val="0"/>
          <w:sz w:val="44"/>
          <w:szCs w:val="36"/>
        </w:rPr>
        <w:t>沙河市科技和工业信息化局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
          <w:bCs w:val="0"/>
          <w:sz w:val="36"/>
          <w:szCs w:val="36"/>
        </w:rPr>
      </w:pPr>
      <w:r>
        <w:rPr>
          <w:rFonts w:hint="eastAsia" w:ascii="仿宋" w:hAnsi="仿宋" w:cs="仿宋" w:eastAsiaTheme="majorEastAsia"/>
          <w:b/>
          <w:bCs w:val="0"/>
          <w:sz w:val="44"/>
          <w:szCs w:val="36"/>
          <w:lang w:eastAsia="zh-CN"/>
        </w:rPr>
        <w:t>2021</w:t>
      </w:r>
      <w:r>
        <w:rPr>
          <w:rFonts w:hint="eastAsia" w:ascii="仿宋" w:hAnsi="仿宋" w:cs="仿宋" w:eastAsiaTheme="majorEastAsia"/>
          <w:b/>
          <w:bCs w:val="0"/>
          <w:sz w:val="44"/>
          <w:szCs w:val="36"/>
        </w:rPr>
        <w:t>年</w:t>
      </w:r>
      <w:r>
        <w:rPr>
          <w:rFonts w:ascii="仿宋" w:hAnsi="仿宋" w:cs="仿宋" w:eastAsiaTheme="majorEastAsia"/>
          <w:b/>
          <w:bCs w:val="0"/>
          <w:sz w:val="44"/>
          <w:szCs w:val="36"/>
        </w:rPr>
        <w:t>整体支出绩效评价报告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b/>
          <w:bCs w:val="0"/>
          <w:sz w:val="36"/>
          <w:szCs w:val="36"/>
        </w:rPr>
      </w:pPr>
    </w:p>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b/>
          <w:color w:val="000000"/>
          <w:kern w:val="0"/>
          <w:sz w:val="32"/>
          <w:szCs w:val="30"/>
        </w:rPr>
      </w:pPr>
      <w:r>
        <w:rPr>
          <w:rFonts w:hint="eastAsia" w:ascii="仿宋" w:hAnsi="仿宋" w:eastAsia="仿宋" w:cs="仿宋"/>
          <w:b/>
          <w:color w:val="000000"/>
          <w:kern w:val="0"/>
          <w:sz w:val="32"/>
          <w:szCs w:val="30"/>
        </w:rPr>
        <w:t>一、沙河市科技和工业信息化局主要职责：</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（1）贯彻落实国家和省、市工业、信息化发展及中小企业、民营企业发展的方针、政策和法律、法规。</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w:t>
      </w:r>
      <w:r>
        <w:rPr>
          <w:rFonts w:hint="eastAsia" w:ascii="仿宋" w:hAnsi="仿宋" w:eastAsia="仿宋" w:cs="仿宋"/>
          <w:color w:val="000000"/>
          <w:kern w:val="0"/>
          <w:sz w:val="32"/>
          <w:szCs w:val="30"/>
          <w:lang w:val="en-US" w:eastAsia="zh-CN"/>
        </w:rPr>
        <w:t>2</w:t>
      </w:r>
      <w:r>
        <w:rPr>
          <w:rFonts w:hint="eastAsia" w:ascii="仿宋" w:hAnsi="仿宋" w:eastAsia="仿宋" w:cs="仿宋"/>
          <w:color w:val="000000"/>
          <w:kern w:val="0"/>
          <w:sz w:val="32"/>
          <w:szCs w:val="30"/>
        </w:rPr>
        <w:t>）制定并组织实施全市工业行业和信息化规划、计划和产业政策。</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w:t>
      </w:r>
      <w:r>
        <w:rPr>
          <w:rFonts w:hint="eastAsia" w:ascii="仿宋" w:hAnsi="仿宋" w:eastAsia="仿宋" w:cs="仿宋"/>
          <w:color w:val="000000"/>
          <w:kern w:val="0"/>
          <w:sz w:val="32"/>
          <w:szCs w:val="30"/>
          <w:lang w:val="en-US" w:eastAsia="zh-CN"/>
        </w:rPr>
        <w:t>3</w:t>
      </w:r>
      <w:r>
        <w:rPr>
          <w:rFonts w:hint="eastAsia" w:ascii="仿宋" w:hAnsi="仿宋" w:eastAsia="仿宋" w:cs="仿宋"/>
          <w:color w:val="000000"/>
          <w:kern w:val="0"/>
          <w:sz w:val="32"/>
          <w:szCs w:val="30"/>
        </w:rPr>
        <w:t>）监测、分析全市工业运行态势，统计并发布相关信息并进行预测预警和信息引导。</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（4）承担全市振兴装备制造业的组织协调责任，贯彻执行发展中重大问题。</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（5）指导和推进中小企业转变发展方式；提出中小企业融资的政策措施。</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sz w:val="32"/>
          <w:szCs w:val="30"/>
        </w:rPr>
      </w:pPr>
      <w:r>
        <w:rPr>
          <w:rFonts w:hint="eastAsia" w:ascii="仿宋" w:hAnsi="仿宋" w:eastAsia="仿宋" w:cs="仿宋"/>
          <w:color w:val="000000"/>
          <w:kern w:val="0"/>
          <w:sz w:val="32"/>
          <w:szCs w:val="30"/>
        </w:rPr>
        <w:t>（</w:t>
      </w:r>
      <w:r>
        <w:rPr>
          <w:rFonts w:hint="eastAsia" w:ascii="仿宋" w:hAnsi="仿宋" w:eastAsia="仿宋" w:cs="仿宋"/>
          <w:color w:val="000000"/>
          <w:kern w:val="0"/>
          <w:sz w:val="32"/>
          <w:szCs w:val="30"/>
          <w:lang w:val="en-US" w:eastAsia="zh-CN"/>
        </w:rPr>
        <w:t>6</w:t>
      </w:r>
      <w:r>
        <w:rPr>
          <w:rFonts w:hint="eastAsia" w:ascii="仿宋" w:hAnsi="仿宋" w:eastAsia="仿宋" w:cs="仿宋"/>
          <w:color w:val="000000"/>
          <w:kern w:val="0"/>
          <w:sz w:val="32"/>
          <w:szCs w:val="30"/>
        </w:rPr>
        <w:t>）</w:t>
      </w:r>
      <w:r>
        <w:rPr>
          <w:rFonts w:hint="eastAsia" w:ascii="仿宋" w:hAnsi="仿宋" w:eastAsia="仿宋" w:cs="仿宋"/>
          <w:sz w:val="32"/>
          <w:szCs w:val="30"/>
        </w:rPr>
        <w:t>落实科技管理平台和科研项目资金协调、评估、监管机制。拟定重大科技创新基地建设规划并监督实施。</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sz w:val="32"/>
          <w:szCs w:val="30"/>
        </w:rPr>
      </w:pPr>
      <w:r>
        <w:rPr>
          <w:rFonts w:hint="eastAsia" w:ascii="仿宋" w:hAnsi="仿宋" w:eastAsia="仿宋" w:cs="仿宋"/>
          <w:color w:val="000000"/>
          <w:kern w:val="0"/>
          <w:sz w:val="32"/>
          <w:szCs w:val="30"/>
        </w:rPr>
        <w:t>（</w:t>
      </w:r>
      <w:r>
        <w:rPr>
          <w:rFonts w:hint="eastAsia" w:ascii="仿宋" w:hAnsi="仿宋" w:eastAsia="仿宋" w:cs="仿宋"/>
          <w:color w:val="000000"/>
          <w:kern w:val="0"/>
          <w:sz w:val="32"/>
          <w:szCs w:val="30"/>
          <w:lang w:val="en-US" w:eastAsia="zh-CN"/>
        </w:rPr>
        <w:t>7</w:t>
      </w:r>
      <w:r>
        <w:rPr>
          <w:rFonts w:hint="eastAsia" w:ascii="仿宋" w:hAnsi="仿宋" w:eastAsia="仿宋" w:cs="仿宋"/>
          <w:color w:val="000000"/>
          <w:kern w:val="0"/>
          <w:sz w:val="32"/>
          <w:szCs w:val="30"/>
        </w:rPr>
        <w:t>）</w:t>
      </w:r>
      <w:r>
        <w:rPr>
          <w:rFonts w:hint="eastAsia" w:ascii="仿宋" w:hAnsi="仿宋" w:eastAsia="仿宋" w:cs="仿宋"/>
          <w:sz w:val="32"/>
          <w:szCs w:val="30"/>
        </w:rPr>
        <w:t>编制市科技项目规划并监督实施，统筹关键性技术</w:t>
      </w:r>
      <w:r>
        <w:rPr>
          <w:rFonts w:hint="eastAsia" w:ascii="仿宋" w:hAnsi="仿宋" w:eastAsia="仿宋" w:cs="仿宋"/>
          <w:sz w:val="32"/>
          <w:szCs w:val="30"/>
          <w:lang w:eastAsia="zh-CN"/>
        </w:rPr>
        <w:t>攻关</w:t>
      </w:r>
      <w:r>
        <w:rPr>
          <w:rFonts w:hint="eastAsia" w:ascii="仿宋" w:hAnsi="仿宋" w:eastAsia="仿宋" w:cs="仿宋"/>
          <w:sz w:val="32"/>
          <w:szCs w:val="30"/>
        </w:rPr>
        <w:t>。组织协调相关重大示范工程和新产品、新技术、新设备、新材料推广应用。</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sz w:val="32"/>
          <w:szCs w:val="30"/>
        </w:rPr>
      </w:pPr>
      <w:r>
        <w:rPr>
          <w:rFonts w:hint="eastAsia" w:ascii="仿宋" w:hAnsi="仿宋" w:eastAsia="仿宋" w:cs="仿宋"/>
          <w:sz w:val="32"/>
          <w:szCs w:val="30"/>
        </w:rPr>
        <w:t>（8）组织拟定高新技术发展及产业化、科技促进农业农村和社会发展的规划、政策和措施。</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sz w:val="32"/>
          <w:szCs w:val="28"/>
        </w:rPr>
      </w:pPr>
      <w:r>
        <w:rPr>
          <w:rFonts w:hint="eastAsia" w:ascii="仿宋" w:hAnsi="仿宋" w:eastAsia="仿宋" w:cs="仿宋"/>
          <w:sz w:val="32"/>
          <w:szCs w:val="30"/>
        </w:rPr>
        <w:t>（9）牵头技术转移体系建设，拟定科技成果转移转化和促进产学研结合的相关政策</w:t>
      </w:r>
      <w:r>
        <w:rPr>
          <w:rFonts w:hint="eastAsia" w:ascii="仿宋" w:hAnsi="仿宋" w:eastAsia="仿宋" w:cs="仿宋"/>
          <w:sz w:val="32"/>
          <w:szCs w:val="28"/>
        </w:rPr>
        <w:t>措施并监督实施。</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sz w:val="32"/>
          <w:szCs w:val="30"/>
        </w:rPr>
      </w:pPr>
      <w:r>
        <w:rPr>
          <w:rFonts w:hint="eastAsia" w:ascii="仿宋" w:hAnsi="仿宋" w:eastAsia="仿宋" w:cs="仿宋"/>
          <w:sz w:val="32"/>
          <w:szCs w:val="30"/>
        </w:rPr>
        <w:t>（10）统筹区域科技创新体系建设，指导区域创新发展。</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color w:val="000000"/>
          <w:kern w:val="0"/>
          <w:sz w:val="32"/>
          <w:szCs w:val="30"/>
        </w:rPr>
      </w:pPr>
    </w:p>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color w:val="000000"/>
          <w:kern w:val="0"/>
          <w:sz w:val="32"/>
          <w:szCs w:val="30"/>
        </w:rPr>
      </w:pPr>
      <w:r>
        <w:rPr>
          <w:rFonts w:hint="eastAsia" w:ascii="仿宋" w:hAnsi="仿宋" w:eastAsia="仿宋" w:cs="仿宋"/>
          <w:b/>
          <w:color w:val="000000"/>
          <w:kern w:val="0"/>
          <w:sz w:val="32"/>
          <w:szCs w:val="30"/>
        </w:rPr>
        <w:t>二、沙河市科技和工业信息化局部门决算单位构成</w:t>
      </w:r>
    </w:p>
    <w:p>
      <w:pPr>
        <w:keepNext w:val="0"/>
        <w:keepLines w:val="0"/>
        <w:pageBreakBefore w:val="0"/>
        <w:widowControl w:val="0"/>
        <w:kinsoku/>
        <w:wordWrap/>
        <w:overflowPunct/>
        <w:topLinePunct w:val="0"/>
        <w:bidi w:val="0"/>
        <w:adjustRightInd/>
        <w:snapToGrid/>
        <w:spacing w:line="240" w:lineRule="auto"/>
        <w:ind w:firstLine="3680" w:firstLineChars="1150"/>
        <w:jc w:val="both"/>
        <w:textAlignment w:val="auto"/>
        <w:outlineLvl w:val="0"/>
        <w:rPr>
          <w:rFonts w:hint="eastAsia" w:ascii="仿宋" w:hAnsi="仿宋" w:eastAsia="仿宋" w:cs="仿宋"/>
          <w:sz w:val="32"/>
          <w:szCs w:val="28"/>
        </w:rPr>
      </w:pPr>
      <w:r>
        <w:rPr>
          <w:rFonts w:hint="eastAsia" w:ascii="仿宋" w:hAnsi="仿宋" w:eastAsia="仿宋" w:cs="仿宋"/>
          <w:sz w:val="32"/>
          <w:szCs w:val="28"/>
        </w:rPr>
        <w:t>部门机构设置情况</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41"/>
        <w:gridCol w:w="1430"/>
        <w:gridCol w:w="1113"/>
        <w:gridCol w:w="2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019" w:type="pct"/>
            <w:vMerge w:val="restart"/>
            <w:vAlign w:val="center"/>
          </w:tcPr>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b/>
                <w:sz w:val="32"/>
                <w:szCs w:val="24"/>
              </w:rPr>
            </w:pPr>
            <w:r>
              <w:rPr>
                <w:rFonts w:hint="eastAsia" w:ascii="仿宋" w:hAnsi="仿宋" w:eastAsia="仿宋" w:cs="仿宋"/>
                <w:b/>
                <w:sz w:val="32"/>
                <w:szCs w:val="24"/>
              </w:rPr>
              <w:t>单位名称</w:t>
            </w:r>
          </w:p>
        </w:tc>
        <w:tc>
          <w:tcPr>
            <w:tcW w:w="839" w:type="pct"/>
            <w:vMerge w:val="restart"/>
            <w:vAlign w:val="center"/>
          </w:tcPr>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b/>
                <w:sz w:val="32"/>
                <w:szCs w:val="24"/>
              </w:rPr>
            </w:pPr>
            <w:r>
              <w:rPr>
                <w:rFonts w:hint="eastAsia" w:ascii="仿宋" w:hAnsi="仿宋" w:eastAsia="仿宋" w:cs="仿宋"/>
                <w:b/>
                <w:sz w:val="32"/>
                <w:szCs w:val="24"/>
              </w:rPr>
              <w:t>单位性质</w:t>
            </w:r>
          </w:p>
        </w:tc>
        <w:tc>
          <w:tcPr>
            <w:tcW w:w="653" w:type="pct"/>
            <w:vMerge w:val="restart"/>
            <w:vAlign w:val="center"/>
          </w:tcPr>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b/>
                <w:sz w:val="32"/>
                <w:szCs w:val="24"/>
              </w:rPr>
            </w:pPr>
            <w:r>
              <w:rPr>
                <w:rFonts w:hint="eastAsia" w:ascii="仿宋" w:hAnsi="仿宋" w:eastAsia="仿宋" w:cs="仿宋"/>
                <w:b/>
                <w:sz w:val="32"/>
                <w:szCs w:val="24"/>
              </w:rPr>
              <w:t>单位规格</w:t>
            </w:r>
          </w:p>
        </w:tc>
        <w:tc>
          <w:tcPr>
            <w:tcW w:w="1487" w:type="pct"/>
            <w:vMerge w:val="restart"/>
            <w:vAlign w:val="center"/>
          </w:tcPr>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b/>
                <w:sz w:val="32"/>
                <w:szCs w:val="24"/>
              </w:rPr>
            </w:pPr>
            <w:r>
              <w:rPr>
                <w:rFonts w:hint="eastAsia" w:ascii="仿宋" w:hAnsi="仿宋" w:eastAsia="仿宋" w:cs="仿宋"/>
                <w:b/>
                <w:sz w:val="32"/>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019" w:type="pct"/>
            <w:vMerge w:val="continue"/>
            <w:vAlign w:val="center"/>
          </w:tcPr>
          <w:p>
            <w:pPr>
              <w:keepNext w:val="0"/>
              <w:keepLines w:val="0"/>
              <w:pageBreakBefore w:val="0"/>
              <w:widowControl w:val="0"/>
              <w:kinsoku/>
              <w:wordWrap/>
              <w:overflowPunct/>
              <w:topLinePunct w:val="0"/>
              <w:bidi w:val="0"/>
              <w:adjustRightInd/>
              <w:snapToGrid/>
              <w:spacing w:line="240" w:lineRule="auto"/>
              <w:jc w:val="both"/>
              <w:textAlignment w:val="auto"/>
              <w:outlineLvl w:val="0"/>
              <w:rPr>
                <w:rFonts w:hint="eastAsia" w:ascii="仿宋" w:hAnsi="仿宋" w:eastAsia="仿宋" w:cs="仿宋"/>
                <w:sz w:val="32"/>
                <w:szCs w:val="24"/>
              </w:rPr>
            </w:pPr>
          </w:p>
        </w:tc>
        <w:tc>
          <w:tcPr>
            <w:tcW w:w="839" w:type="pct"/>
            <w:vMerge w:val="continue"/>
            <w:vAlign w:val="center"/>
          </w:tcPr>
          <w:p>
            <w:pPr>
              <w:keepNext w:val="0"/>
              <w:keepLines w:val="0"/>
              <w:pageBreakBefore w:val="0"/>
              <w:widowControl w:val="0"/>
              <w:kinsoku/>
              <w:wordWrap/>
              <w:overflowPunct/>
              <w:topLinePunct w:val="0"/>
              <w:bidi w:val="0"/>
              <w:adjustRightInd/>
              <w:snapToGrid/>
              <w:spacing w:line="240" w:lineRule="auto"/>
              <w:jc w:val="both"/>
              <w:textAlignment w:val="auto"/>
              <w:outlineLvl w:val="0"/>
              <w:rPr>
                <w:rFonts w:hint="eastAsia" w:ascii="仿宋" w:hAnsi="仿宋" w:eastAsia="仿宋" w:cs="仿宋"/>
                <w:sz w:val="32"/>
                <w:szCs w:val="24"/>
              </w:rPr>
            </w:pPr>
          </w:p>
        </w:tc>
        <w:tc>
          <w:tcPr>
            <w:tcW w:w="653" w:type="pct"/>
            <w:vMerge w:val="continue"/>
            <w:vAlign w:val="center"/>
          </w:tcPr>
          <w:p>
            <w:pPr>
              <w:keepNext w:val="0"/>
              <w:keepLines w:val="0"/>
              <w:pageBreakBefore w:val="0"/>
              <w:widowControl w:val="0"/>
              <w:kinsoku/>
              <w:wordWrap/>
              <w:overflowPunct/>
              <w:topLinePunct w:val="0"/>
              <w:bidi w:val="0"/>
              <w:adjustRightInd/>
              <w:snapToGrid/>
              <w:spacing w:line="240" w:lineRule="auto"/>
              <w:jc w:val="both"/>
              <w:textAlignment w:val="auto"/>
              <w:outlineLvl w:val="0"/>
              <w:rPr>
                <w:rFonts w:hint="eastAsia" w:ascii="仿宋" w:hAnsi="仿宋" w:eastAsia="仿宋" w:cs="仿宋"/>
                <w:sz w:val="32"/>
                <w:szCs w:val="24"/>
              </w:rPr>
            </w:pPr>
          </w:p>
        </w:tc>
        <w:tc>
          <w:tcPr>
            <w:tcW w:w="1487" w:type="pct"/>
            <w:vMerge w:val="continue"/>
            <w:vAlign w:val="center"/>
          </w:tcPr>
          <w:p>
            <w:pPr>
              <w:keepNext w:val="0"/>
              <w:keepLines w:val="0"/>
              <w:pageBreakBefore w:val="0"/>
              <w:widowControl w:val="0"/>
              <w:kinsoku/>
              <w:wordWrap/>
              <w:overflowPunct/>
              <w:topLinePunct w:val="0"/>
              <w:bidi w:val="0"/>
              <w:adjustRightInd/>
              <w:snapToGrid/>
              <w:spacing w:line="240" w:lineRule="auto"/>
              <w:jc w:val="both"/>
              <w:textAlignment w:val="auto"/>
              <w:outlineLvl w:val="0"/>
              <w:rPr>
                <w:rFonts w:hint="eastAsia" w:ascii="仿宋" w:hAnsi="仿宋" w:eastAsia="仿宋" w:cs="仿宋"/>
                <w:sz w:val="3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19" w:type="pct"/>
            <w:vAlign w:val="center"/>
          </w:tcPr>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sz w:val="32"/>
                <w:szCs w:val="24"/>
              </w:rPr>
            </w:pPr>
            <w:r>
              <w:rPr>
                <w:rFonts w:hint="eastAsia" w:ascii="仿宋" w:hAnsi="仿宋" w:eastAsia="仿宋" w:cs="仿宋"/>
                <w:sz w:val="32"/>
                <w:szCs w:val="24"/>
              </w:rPr>
              <w:t>沙河市科技和工业信息化局</w:t>
            </w:r>
          </w:p>
        </w:tc>
        <w:tc>
          <w:tcPr>
            <w:tcW w:w="839" w:type="pct"/>
            <w:vAlign w:val="center"/>
          </w:tcPr>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sz w:val="32"/>
                <w:lang w:val="en-US" w:eastAsia="zh-CN"/>
              </w:rPr>
            </w:pPr>
            <w:r>
              <w:rPr>
                <w:rFonts w:hint="eastAsia" w:ascii="仿宋" w:hAnsi="仿宋" w:eastAsia="仿宋" w:cs="仿宋"/>
                <w:sz w:val="32"/>
              </w:rPr>
              <w:t>行政</w:t>
            </w:r>
            <w:r>
              <w:rPr>
                <w:rFonts w:hint="eastAsia" w:ascii="仿宋" w:hAnsi="仿宋" w:eastAsia="仿宋" w:cs="仿宋"/>
                <w:sz w:val="32"/>
                <w:lang w:val="en-US" w:eastAsia="zh-CN"/>
              </w:rPr>
              <w:t>单位</w:t>
            </w:r>
          </w:p>
        </w:tc>
        <w:tc>
          <w:tcPr>
            <w:tcW w:w="653" w:type="pct"/>
            <w:vAlign w:val="center"/>
          </w:tcPr>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sz w:val="32"/>
                <w:szCs w:val="24"/>
              </w:rPr>
            </w:pPr>
            <w:r>
              <w:rPr>
                <w:rFonts w:hint="eastAsia" w:ascii="仿宋" w:hAnsi="仿宋" w:eastAsia="仿宋" w:cs="仿宋"/>
                <w:sz w:val="32"/>
              </w:rPr>
              <w:t>正科级</w:t>
            </w:r>
          </w:p>
        </w:tc>
        <w:tc>
          <w:tcPr>
            <w:tcW w:w="1487" w:type="pct"/>
            <w:vAlign w:val="center"/>
          </w:tcPr>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sz w:val="32"/>
                <w:szCs w:val="24"/>
              </w:rPr>
            </w:pPr>
            <w:r>
              <w:rPr>
                <w:rFonts w:hint="eastAsia" w:ascii="仿宋" w:hAnsi="仿宋" w:eastAsia="仿宋" w:cs="仿宋"/>
                <w:sz w:val="32"/>
              </w:rPr>
              <w:t>财政拨款</w:t>
            </w:r>
          </w:p>
        </w:tc>
      </w:tr>
    </w:tbl>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   </w:t>
      </w:r>
      <w:r>
        <w:rPr>
          <w:rFonts w:hint="eastAsia" w:ascii="仿宋" w:hAnsi="仿宋" w:eastAsia="仿宋" w:cs="仿宋"/>
          <w:sz w:val="32"/>
          <w:szCs w:val="28"/>
        </w:rPr>
        <w:t>沙河市科技和工业信息化局无下级预算单位，部门决算单位构成只包括沙河市科技和工业信息化局。</w:t>
      </w:r>
      <w:r>
        <w:rPr>
          <w:rFonts w:hint="eastAsia" w:ascii="仿宋" w:hAnsi="仿宋" w:eastAsia="仿宋" w:cs="仿宋"/>
          <w:color w:val="000000"/>
          <w:kern w:val="0"/>
          <w:sz w:val="32"/>
          <w:szCs w:val="30"/>
        </w:rPr>
        <w:t xml:space="preserve"> 沙河市工信局内设：办公室（人事教育股、财务审计股）、运行监测协调股（融资担保股）、科技股、综合管理办公室、企业管理股。</w:t>
      </w:r>
    </w:p>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三、沙河市科技和工业信息化局</w:t>
      </w:r>
      <w:r>
        <w:rPr>
          <w:rFonts w:hint="eastAsia" w:ascii="仿宋" w:hAnsi="仿宋" w:eastAsia="仿宋" w:cs="仿宋"/>
          <w:b/>
          <w:bCs/>
          <w:sz w:val="32"/>
          <w:szCs w:val="32"/>
          <w:lang w:eastAsia="zh-CN"/>
        </w:rPr>
        <w:t>2021</w:t>
      </w:r>
      <w:r>
        <w:rPr>
          <w:rFonts w:hint="eastAsia" w:ascii="仿宋" w:hAnsi="仿宋" w:eastAsia="仿宋" w:cs="仿宋"/>
          <w:b/>
          <w:bCs/>
          <w:sz w:val="32"/>
          <w:szCs w:val="32"/>
        </w:rPr>
        <w:t>年部门决算情况说明</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2021</w:t>
      </w:r>
      <w:r>
        <w:rPr>
          <w:rFonts w:hint="eastAsia" w:ascii="仿宋" w:hAnsi="仿宋" w:eastAsia="仿宋" w:cs="仿宋"/>
          <w:b/>
          <w:bCs/>
          <w:sz w:val="32"/>
          <w:szCs w:val="32"/>
        </w:rPr>
        <w:t>年度收入支出决算情况说明：</w:t>
      </w:r>
      <w:r>
        <w:rPr>
          <w:rFonts w:hint="eastAsia" w:ascii="仿宋" w:hAnsi="仿宋" w:eastAsia="仿宋" w:cs="仿宋"/>
          <w:sz w:val="32"/>
          <w:szCs w:val="32"/>
          <w:lang w:eastAsia="zh-CN"/>
        </w:rPr>
        <w:t>2021</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1362.8</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1362.8</w:t>
      </w:r>
      <w:r>
        <w:rPr>
          <w:rFonts w:hint="eastAsia" w:ascii="仿宋" w:hAnsi="仿宋" w:eastAsia="仿宋" w:cs="仿宋"/>
          <w:sz w:val="32"/>
          <w:szCs w:val="32"/>
        </w:rPr>
        <w:t>万元，基金预算拨款0元。</w:t>
      </w:r>
      <w:r>
        <w:rPr>
          <w:rFonts w:hint="eastAsia" w:ascii="仿宋" w:hAnsi="仿宋" w:eastAsia="仿宋" w:cs="仿宋"/>
          <w:sz w:val="32"/>
          <w:szCs w:val="32"/>
          <w:lang w:val="en-US" w:eastAsia="zh-CN"/>
        </w:rPr>
        <w:t>2021年决算收入1582.62万元；其中</w:t>
      </w:r>
      <w:r>
        <w:rPr>
          <w:rFonts w:hint="eastAsia" w:ascii="仿宋" w:hAnsi="仿宋" w:eastAsia="仿宋" w:cs="仿宋"/>
          <w:sz w:val="32"/>
          <w:szCs w:val="32"/>
        </w:rPr>
        <w:t>一般公共预算</w:t>
      </w:r>
      <w:r>
        <w:rPr>
          <w:rFonts w:hint="eastAsia" w:ascii="仿宋" w:hAnsi="仿宋" w:eastAsia="仿宋" w:cs="仿宋"/>
          <w:sz w:val="32"/>
          <w:szCs w:val="32"/>
          <w:lang w:val="en-US" w:eastAsia="zh-CN"/>
        </w:rPr>
        <w:t>拨款1582.62</w:t>
      </w:r>
      <w:r>
        <w:rPr>
          <w:rFonts w:hint="eastAsia" w:ascii="仿宋" w:hAnsi="仿宋" w:eastAsia="仿宋" w:cs="仿宋"/>
          <w:sz w:val="32"/>
          <w:szCs w:val="32"/>
        </w:rPr>
        <w:t>万元，基金预算拨款0元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highlight w:val="none"/>
        </w:rPr>
        <w:t>支出说明</w:t>
      </w:r>
    </w:p>
    <w:p>
      <w:pPr>
        <w:bidi w:val="0"/>
        <w:rPr>
          <w:rFonts w:hint="eastAsia" w:ascii="仿宋" w:hAnsi="仿宋" w:eastAsia="仿宋" w:cs="仿宋"/>
          <w:sz w:val="32"/>
          <w:szCs w:val="28"/>
          <w:lang w:val="en-US" w:eastAsia="zh-CN"/>
        </w:rPr>
      </w:pPr>
      <w:r>
        <w:rPr>
          <w:rFonts w:hint="eastAsia" w:ascii="仿宋" w:hAnsi="仿宋" w:eastAsia="仿宋" w:cs="仿宋"/>
          <w:sz w:val="32"/>
          <w:szCs w:val="28"/>
        </w:rPr>
        <w:t>收支预算总表支出栏、基本支出表、项目支出表按经济分类和支出功能分类科目编制，反映沙河</w:t>
      </w:r>
      <w:r>
        <w:rPr>
          <w:rFonts w:hint="eastAsia" w:ascii="仿宋" w:hAnsi="仿宋" w:eastAsia="仿宋" w:cs="仿宋"/>
          <w:sz w:val="32"/>
          <w:szCs w:val="28"/>
          <w:lang w:eastAsia="zh-CN"/>
        </w:rPr>
        <w:t>科技和工业信息化</w:t>
      </w:r>
      <w:r>
        <w:rPr>
          <w:rFonts w:hint="eastAsia" w:ascii="仿宋" w:hAnsi="仿宋" w:eastAsia="仿宋" w:cs="仿宋"/>
          <w:sz w:val="32"/>
          <w:szCs w:val="28"/>
        </w:rPr>
        <w:t>局</w:t>
      </w:r>
      <w:r>
        <w:rPr>
          <w:rFonts w:hint="eastAsia" w:ascii="仿宋" w:hAnsi="仿宋" w:eastAsia="仿宋" w:cs="仿宋"/>
          <w:sz w:val="32"/>
          <w:szCs w:val="28"/>
          <w:lang w:val="en-US" w:eastAsia="zh-CN"/>
        </w:rPr>
        <w:t>2021</w:t>
      </w:r>
      <w:r>
        <w:rPr>
          <w:rFonts w:hint="eastAsia" w:ascii="仿宋" w:hAnsi="仿宋" w:eastAsia="仿宋" w:cs="仿宋"/>
          <w:sz w:val="32"/>
          <w:szCs w:val="28"/>
        </w:rPr>
        <w:t>年度部门预算中支出预算的总体情况。</w:t>
      </w:r>
      <w:r>
        <w:rPr>
          <w:rFonts w:hint="eastAsia" w:ascii="仿宋" w:hAnsi="仿宋" w:eastAsia="仿宋" w:cs="仿宋"/>
          <w:sz w:val="32"/>
          <w:szCs w:val="28"/>
          <w:lang w:val="en-US" w:eastAsia="zh-CN"/>
        </w:rPr>
        <w:t>2021</w:t>
      </w:r>
      <w:r>
        <w:rPr>
          <w:rFonts w:hint="eastAsia" w:ascii="仿宋" w:hAnsi="仿宋" w:eastAsia="仿宋" w:cs="仿宋"/>
          <w:sz w:val="32"/>
          <w:szCs w:val="28"/>
        </w:rPr>
        <w:t>年支出预算</w:t>
      </w:r>
      <w:r>
        <w:rPr>
          <w:rFonts w:hint="eastAsia" w:ascii="仿宋" w:hAnsi="仿宋" w:eastAsia="仿宋" w:cs="仿宋"/>
          <w:sz w:val="32"/>
          <w:szCs w:val="28"/>
          <w:lang w:val="en-US" w:eastAsia="zh-CN"/>
        </w:rPr>
        <w:t>1362.8</w:t>
      </w:r>
      <w:r>
        <w:rPr>
          <w:rFonts w:hint="eastAsia" w:ascii="仿宋" w:hAnsi="仿宋" w:eastAsia="仿宋" w:cs="仿宋"/>
          <w:sz w:val="32"/>
          <w:szCs w:val="28"/>
        </w:rPr>
        <w:t>万元，其中基本支出</w:t>
      </w:r>
      <w:r>
        <w:rPr>
          <w:rFonts w:hint="eastAsia" w:ascii="仿宋" w:hAnsi="仿宋" w:eastAsia="仿宋" w:cs="仿宋"/>
          <w:sz w:val="32"/>
          <w:szCs w:val="28"/>
          <w:lang w:val="en-US" w:eastAsia="zh-CN"/>
        </w:rPr>
        <w:t>843.8</w:t>
      </w:r>
      <w:r>
        <w:rPr>
          <w:rFonts w:hint="eastAsia" w:ascii="仿宋" w:hAnsi="仿宋" w:eastAsia="仿宋" w:cs="仿宋"/>
          <w:sz w:val="32"/>
          <w:szCs w:val="28"/>
        </w:rPr>
        <w:t>万元，包括人员经费</w:t>
      </w:r>
      <w:r>
        <w:rPr>
          <w:rFonts w:hint="eastAsia" w:ascii="仿宋" w:hAnsi="仿宋" w:eastAsia="仿宋" w:cs="仿宋"/>
          <w:sz w:val="32"/>
          <w:szCs w:val="28"/>
          <w:lang w:val="en-US" w:eastAsia="zh-CN"/>
        </w:rPr>
        <w:t>806.99</w:t>
      </w:r>
      <w:r>
        <w:rPr>
          <w:rFonts w:hint="eastAsia" w:ascii="仿宋" w:hAnsi="仿宋" w:eastAsia="仿宋" w:cs="仿宋"/>
          <w:sz w:val="32"/>
          <w:szCs w:val="28"/>
        </w:rPr>
        <w:t>万元和日常公用经费</w:t>
      </w:r>
      <w:r>
        <w:rPr>
          <w:rFonts w:hint="eastAsia" w:ascii="仿宋" w:hAnsi="仿宋" w:eastAsia="仿宋" w:cs="仿宋"/>
          <w:sz w:val="32"/>
          <w:szCs w:val="28"/>
          <w:lang w:val="en-US" w:eastAsia="zh-CN"/>
        </w:rPr>
        <w:t>36.81</w:t>
      </w:r>
      <w:r>
        <w:rPr>
          <w:rFonts w:hint="eastAsia" w:ascii="仿宋" w:hAnsi="仿宋" w:eastAsia="仿宋" w:cs="仿宋"/>
          <w:sz w:val="32"/>
          <w:szCs w:val="28"/>
        </w:rPr>
        <w:t>万元；项目支出</w:t>
      </w:r>
      <w:r>
        <w:rPr>
          <w:rFonts w:hint="eastAsia" w:ascii="仿宋" w:hAnsi="仿宋" w:eastAsia="仿宋" w:cs="仿宋"/>
          <w:sz w:val="32"/>
          <w:szCs w:val="28"/>
          <w:lang w:val="en-US" w:eastAsia="zh-CN"/>
        </w:rPr>
        <w:t>519</w:t>
      </w:r>
      <w:r>
        <w:rPr>
          <w:rFonts w:hint="eastAsia" w:ascii="仿宋" w:hAnsi="仿宋" w:eastAsia="仿宋" w:cs="仿宋"/>
          <w:sz w:val="32"/>
          <w:szCs w:val="28"/>
        </w:rPr>
        <w:t>万元</w:t>
      </w:r>
      <w:r>
        <w:rPr>
          <w:rFonts w:hint="eastAsia" w:ascii="仿宋" w:hAnsi="仿宋" w:eastAsia="仿宋" w:cs="仿宋"/>
          <w:sz w:val="32"/>
          <w:szCs w:val="28"/>
          <w:lang w:eastAsia="zh-CN"/>
        </w:rPr>
        <w:t>；</w:t>
      </w:r>
      <w:r>
        <w:rPr>
          <w:rFonts w:hint="eastAsia" w:ascii="仿宋" w:hAnsi="仿宋" w:eastAsia="仿宋" w:cs="仿宋"/>
          <w:sz w:val="32"/>
          <w:szCs w:val="28"/>
          <w:lang w:val="en-US" w:eastAsia="zh-CN"/>
        </w:rPr>
        <w:t>2021年决算支出1582.62万元；其中基本支出1102.78万元，项目支出479.83万元（其他技术研究与开发支出120万元、其他科学技术支出30万元、无线电及信息通信监管支出6.6万元、其他工业和信息产业监管支出213.74万元、其他资源勘探工业信息等支出109.49万元）。</w:t>
      </w:r>
    </w:p>
    <w:p>
      <w:pPr>
        <w:bidi w:val="0"/>
        <w:rPr>
          <w:rFonts w:hint="eastAsia" w:ascii="仿宋" w:hAnsi="仿宋" w:eastAsia="仿宋" w:cs="仿宋"/>
          <w:sz w:val="32"/>
          <w:szCs w:val="28"/>
          <w:lang w:val="en-US" w:eastAsia="zh-CN"/>
        </w:rPr>
      </w:pPr>
    </w:p>
    <w:p>
      <w:pPr>
        <w:bidi w:val="0"/>
        <w:rPr>
          <w:rFonts w:hint="eastAsia" w:ascii="仿宋" w:hAnsi="仿宋" w:eastAsia="仿宋" w:cs="仿宋"/>
          <w:sz w:val="32"/>
          <w:szCs w:val="28"/>
        </w:rPr>
      </w:pPr>
      <w:r>
        <w:rPr>
          <w:rFonts w:hint="eastAsia" w:ascii="仿宋" w:hAnsi="仿宋" w:eastAsia="仿宋" w:cs="仿宋"/>
          <w:sz w:val="32"/>
          <w:szCs w:val="28"/>
        </w:rPr>
        <w:t>比上年增减情况</w:t>
      </w:r>
    </w:p>
    <w:p>
      <w:pPr>
        <w:bidi w:val="0"/>
        <w:rPr>
          <w:rFonts w:hint="eastAsia" w:ascii="仿宋" w:hAnsi="仿宋" w:eastAsia="仿宋" w:cs="仿宋"/>
          <w:sz w:val="32"/>
          <w:szCs w:val="28"/>
          <w:lang w:val="en-US" w:eastAsia="zh-CN"/>
        </w:rPr>
      </w:pPr>
      <w:r>
        <w:rPr>
          <w:rFonts w:hint="eastAsia" w:ascii="仿宋" w:hAnsi="仿宋" w:eastAsia="仿宋" w:cs="仿宋"/>
          <w:sz w:val="32"/>
          <w:szCs w:val="28"/>
          <w:lang w:eastAsia="zh-CN"/>
        </w:rPr>
        <w:t>2021</w:t>
      </w:r>
      <w:r>
        <w:rPr>
          <w:rFonts w:hint="eastAsia" w:ascii="仿宋" w:hAnsi="仿宋" w:eastAsia="仿宋" w:cs="仿宋"/>
          <w:sz w:val="32"/>
          <w:szCs w:val="28"/>
        </w:rPr>
        <w:t>年</w:t>
      </w:r>
      <w:r>
        <w:rPr>
          <w:rFonts w:hint="eastAsia" w:ascii="仿宋" w:hAnsi="仿宋" w:eastAsia="仿宋" w:cs="仿宋"/>
          <w:sz w:val="32"/>
          <w:szCs w:val="28"/>
          <w:lang w:eastAsia="zh-CN"/>
        </w:rPr>
        <w:t>决算</w:t>
      </w:r>
      <w:r>
        <w:rPr>
          <w:rFonts w:hint="eastAsia" w:ascii="仿宋" w:hAnsi="仿宋" w:eastAsia="仿宋" w:cs="仿宋"/>
          <w:sz w:val="32"/>
          <w:szCs w:val="28"/>
        </w:rPr>
        <w:t>收支安排</w:t>
      </w:r>
      <w:r>
        <w:rPr>
          <w:rFonts w:hint="eastAsia" w:ascii="仿宋" w:hAnsi="仿宋" w:eastAsia="仿宋" w:cs="仿宋"/>
          <w:sz w:val="32"/>
          <w:szCs w:val="28"/>
          <w:lang w:val="en-US" w:eastAsia="zh-CN"/>
        </w:rPr>
        <w:t>1582.62</w:t>
      </w:r>
      <w:r>
        <w:rPr>
          <w:rFonts w:hint="eastAsia" w:ascii="仿宋" w:hAnsi="仿宋" w:eastAsia="仿宋" w:cs="仿宋"/>
          <w:sz w:val="32"/>
          <w:szCs w:val="28"/>
        </w:rPr>
        <w:t>万元，较</w:t>
      </w:r>
      <w:r>
        <w:rPr>
          <w:rFonts w:hint="eastAsia" w:ascii="仿宋" w:hAnsi="仿宋" w:eastAsia="仿宋" w:cs="仿宋"/>
          <w:sz w:val="32"/>
          <w:szCs w:val="28"/>
          <w:lang w:eastAsia="zh-CN"/>
        </w:rPr>
        <w:t>2021</w:t>
      </w:r>
      <w:r>
        <w:rPr>
          <w:rFonts w:hint="eastAsia" w:ascii="仿宋" w:hAnsi="仿宋" w:eastAsia="仿宋" w:cs="仿宋"/>
          <w:sz w:val="32"/>
          <w:szCs w:val="28"/>
        </w:rPr>
        <w:t>年预算</w:t>
      </w:r>
      <w:r>
        <w:rPr>
          <w:rFonts w:hint="eastAsia" w:ascii="仿宋" w:hAnsi="仿宋" w:eastAsia="仿宋" w:cs="仿宋"/>
          <w:sz w:val="32"/>
          <w:szCs w:val="28"/>
          <w:lang w:val="en-US" w:eastAsia="zh-CN"/>
        </w:rPr>
        <w:t>1362.8万元</w:t>
      </w:r>
      <w:r>
        <w:rPr>
          <w:rFonts w:hint="eastAsia" w:ascii="仿宋" w:hAnsi="仿宋" w:eastAsia="仿宋" w:cs="仿宋"/>
          <w:sz w:val="32"/>
          <w:szCs w:val="28"/>
          <w:lang w:eastAsia="zh-CN"/>
        </w:rPr>
        <w:t>增加</w:t>
      </w:r>
      <w:r>
        <w:rPr>
          <w:rFonts w:hint="eastAsia" w:ascii="仿宋" w:hAnsi="仿宋" w:eastAsia="仿宋" w:cs="仿宋"/>
          <w:sz w:val="32"/>
          <w:szCs w:val="28"/>
          <w:lang w:val="en-US" w:eastAsia="zh-CN"/>
        </w:rPr>
        <w:t>219.82</w:t>
      </w:r>
      <w:r>
        <w:rPr>
          <w:rFonts w:hint="eastAsia" w:ascii="仿宋" w:hAnsi="仿宋" w:eastAsia="仿宋" w:cs="仿宋"/>
          <w:sz w:val="32"/>
          <w:szCs w:val="28"/>
        </w:rPr>
        <w:t>万元，</w:t>
      </w:r>
      <w:r>
        <w:rPr>
          <w:rFonts w:hint="eastAsia" w:ascii="仿宋" w:hAnsi="仿宋" w:eastAsia="仿宋" w:cs="仿宋"/>
          <w:sz w:val="32"/>
          <w:szCs w:val="28"/>
          <w:lang w:eastAsia="zh-CN"/>
        </w:rPr>
        <w:t>较</w:t>
      </w:r>
      <w:r>
        <w:rPr>
          <w:rFonts w:hint="eastAsia" w:ascii="仿宋" w:hAnsi="仿宋" w:eastAsia="仿宋" w:cs="仿宋"/>
          <w:sz w:val="32"/>
          <w:szCs w:val="28"/>
          <w:lang w:val="en-US" w:eastAsia="zh-CN"/>
        </w:rPr>
        <w:t>2020年决算3418.67万元减少1836.05万元。主要是项目资金减少。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bidi w:val="0"/>
        <w:adjustRightInd/>
        <w:snapToGrid/>
        <w:spacing w:line="240" w:lineRule="auto"/>
        <w:ind w:firstLine="560"/>
        <w:jc w:val="both"/>
        <w:textAlignment w:val="auto"/>
        <w:rPr>
          <w:rFonts w:hint="eastAsia" w:ascii="仿宋" w:hAnsi="仿宋" w:eastAsia="仿宋" w:cs="仿宋"/>
          <w:sz w:val="32"/>
          <w:szCs w:val="28"/>
        </w:rPr>
      </w:pPr>
    </w:p>
    <w:p>
      <w:pPr>
        <w:keepNext w:val="0"/>
        <w:keepLines w:val="0"/>
        <w:pageBreakBefore w:val="0"/>
        <w:widowControl w:val="0"/>
        <w:kinsoku/>
        <w:wordWrap/>
        <w:overflowPunct/>
        <w:topLinePunct w:val="0"/>
        <w:bidi w:val="0"/>
        <w:adjustRightInd/>
        <w:snapToGrid/>
        <w:spacing w:line="240" w:lineRule="auto"/>
        <w:ind w:firstLine="321" w:firstLineChars="1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四、项目概况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sz w:val="32"/>
          <w:szCs w:val="30"/>
        </w:rPr>
        <w:t>项目名称包括</w:t>
      </w:r>
      <w:r>
        <w:rPr>
          <w:rFonts w:hint="eastAsia" w:ascii="仿宋" w:hAnsi="仿宋" w:eastAsia="仿宋" w:cs="仿宋"/>
          <w:sz w:val="32"/>
          <w:szCs w:val="32"/>
        </w:rPr>
        <w:t>：工农业科技推广经费项目80万、冀南工研院房屋租赁经费项目85万（</w:t>
      </w:r>
      <w:r>
        <w:rPr>
          <w:rFonts w:hint="eastAsia" w:ascii="仿宋" w:hAnsi="仿宋" w:eastAsia="仿宋" w:cs="仿宋"/>
          <w:sz w:val="32"/>
          <w:szCs w:val="32"/>
          <w:lang w:val="en-US" w:eastAsia="zh-CN"/>
        </w:rPr>
        <w:t>部分</w:t>
      </w:r>
      <w:r>
        <w:rPr>
          <w:rFonts w:hint="eastAsia" w:ascii="仿宋" w:hAnsi="仿宋" w:eastAsia="仿宋" w:cs="仿宋"/>
          <w:sz w:val="32"/>
          <w:szCs w:val="32"/>
        </w:rPr>
        <w:t>拨付）、冀南工研院运行经费项目</w:t>
      </w:r>
      <w:r>
        <w:rPr>
          <w:rFonts w:hint="eastAsia" w:ascii="仿宋" w:hAnsi="仿宋" w:eastAsia="仿宋" w:cs="仿宋"/>
          <w:sz w:val="32"/>
          <w:szCs w:val="32"/>
          <w:lang w:val="en-US" w:eastAsia="zh-CN"/>
        </w:rPr>
        <w:t>190</w:t>
      </w:r>
      <w:r>
        <w:rPr>
          <w:rFonts w:hint="eastAsia" w:ascii="仿宋" w:hAnsi="仿宋" w:eastAsia="仿宋" w:cs="仿宋"/>
          <w:sz w:val="32"/>
          <w:szCs w:val="32"/>
        </w:rPr>
        <w:t>万（</w:t>
      </w:r>
      <w:r>
        <w:rPr>
          <w:rFonts w:hint="eastAsia" w:ascii="仿宋" w:hAnsi="仿宋" w:eastAsia="仿宋" w:cs="仿宋"/>
          <w:sz w:val="32"/>
          <w:szCs w:val="32"/>
          <w:lang w:val="en-US" w:eastAsia="zh-CN"/>
        </w:rPr>
        <w:t>部分</w:t>
      </w:r>
      <w:r>
        <w:rPr>
          <w:rFonts w:hint="eastAsia" w:ascii="仿宋" w:hAnsi="仿宋" w:eastAsia="仿宋" w:cs="仿宋"/>
          <w:sz w:val="32"/>
          <w:szCs w:val="32"/>
        </w:rPr>
        <w:t>拨付）、沙河市科技和工业信息行业监管经费</w:t>
      </w:r>
      <w:r>
        <w:rPr>
          <w:rFonts w:hint="eastAsia" w:ascii="仿宋" w:hAnsi="仿宋" w:eastAsia="仿宋" w:cs="仿宋"/>
          <w:sz w:val="32"/>
          <w:szCs w:val="32"/>
          <w:lang w:val="en-US" w:eastAsia="zh-CN"/>
        </w:rPr>
        <w:t>36</w:t>
      </w:r>
      <w:r>
        <w:rPr>
          <w:rFonts w:hint="eastAsia" w:ascii="仿宋" w:hAnsi="仿宋" w:eastAsia="仿宋" w:cs="仿宋"/>
          <w:sz w:val="32"/>
          <w:szCs w:val="32"/>
        </w:rPr>
        <w:t>万、中小企业平台运行经费</w:t>
      </w:r>
      <w:r>
        <w:rPr>
          <w:rFonts w:hint="eastAsia" w:ascii="仿宋" w:hAnsi="仿宋" w:eastAsia="仿宋" w:cs="仿宋"/>
          <w:sz w:val="32"/>
          <w:szCs w:val="32"/>
          <w:lang w:val="en-US" w:eastAsia="zh-CN"/>
        </w:rPr>
        <w:t>54</w:t>
      </w:r>
      <w:r>
        <w:rPr>
          <w:rFonts w:hint="eastAsia" w:ascii="仿宋" w:hAnsi="仿宋" w:eastAsia="仿宋" w:cs="仿宋"/>
          <w:sz w:val="32"/>
          <w:szCs w:val="32"/>
        </w:rPr>
        <w:t>万。主要内容：保障职工工资、福利正常发放；用于支持我市工农业科技研发和成果转化、创新主体培育、创新平台建设、科技创新活动的开展等；用于租赁办公用房供冀南工研院使用，以保障冀南工研院的办公、研发、企业孵化和产业聚集等项目的开展；</w:t>
      </w:r>
      <w:r>
        <w:rPr>
          <w:rFonts w:hint="eastAsia" w:ascii="仿宋" w:hAnsi="仿宋" w:eastAsia="仿宋" w:cs="仿宋"/>
          <w:i w:val="0"/>
          <w:iCs w:val="0"/>
          <w:color w:val="000000"/>
          <w:kern w:val="0"/>
          <w:sz w:val="32"/>
          <w:szCs w:val="32"/>
          <w:u w:val="none"/>
          <w:lang w:val="en-US" w:eastAsia="zh-CN" w:bidi="ar"/>
        </w:rPr>
        <w:t>支付157辆新能源公交车购车补贴；提升沙河空气质量，改善沙河大气污染；推广新能源公交车；及时支付补贴款，保证相关单位的利益，提升百姓和企业满意度。</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资金由财政拨款。</w:t>
      </w:r>
    </w:p>
    <w:p>
      <w:pPr>
        <w:keepNext w:val="0"/>
        <w:keepLines w:val="0"/>
        <w:pageBreakBefore w:val="0"/>
        <w:widowControl w:val="0"/>
        <w:kinsoku/>
        <w:wordWrap/>
        <w:overflowPunct/>
        <w:topLinePunct w:val="0"/>
        <w:bidi w:val="0"/>
        <w:adjustRightInd/>
        <w:snapToGrid/>
        <w:spacing w:line="240" w:lineRule="auto"/>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五、项目绩效目标和绩效指标设定情况</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预期绩效目标为确保科信局各项工作正常运行，促进工作积极性，促进科技创新事业更快更好发展，促进产业转型升级，推动工农业科技创新发展，提高科技成果转化和产业化能力。支持我市工农业科技研发和成果转化、创新主体培育、创新平台建设、科技创新活动的开展等，提升我市科技创新水平。每年支付租金85万元，租赁办公用房供冀南工研院使用，以保障冀南工研院的办公、研发、企业孵化和产业聚集等项目的开展。开展服务活动不少于5次；服务中小企业500家次；服务人数2000人次；满意率90%以上。实行政府引导、公共服务带动、社会服务广泛参与、协同发展，整合优势资源，搭建一个与省服务平台互联互通、服务沙河中小企业，资源共享的公共技术和信息服务平台。</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绩效指标设定情况：设置了数量指标、质量指标、时效效益指标、生态效益指标、可持续影响指标、满意度指标。</w:t>
      </w:r>
    </w:p>
    <w:p>
      <w:pPr>
        <w:keepNext w:val="0"/>
        <w:keepLines w:val="0"/>
        <w:pageBreakBefore w:val="0"/>
        <w:widowControl w:val="0"/>
        <w:kinsoku/>
        <w:wordWrap/>
        <w:overflowPunct/>
        <w:topLinePunct w:val="0"/>
        <w:bidi w:val="0"/>
        <w:adjustRightInd/>
        <w:snapToGrid/>
        <w:spacing w:line="240" w:lineRule="auto"/>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六、绩效自评分析</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（一）项目管理情况分析。</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1、前期准备。按预算编制要求，根据单位实际情况编制预算，按照实施方案落实情况。</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2、组织实施。根据预算安排。我局召开党组会议研究项目谋划经费编制预算草案，经过充分讨论，统筹兼顾，最终确定报送至市财政局的预算方案。</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（二）资金管理情况分析。</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1、预算执行</w:t>
      </w:r>
      <w:r>
        <w:rPr>
          <w:rFonts w:hint="eastAsia" w:ascii="仿宋" w:hAnsi="仿宋" w:eastAsia="仿宋" w:cs="仿宋"/>
          <w:sz w:val="32"/>
          <w:szCs w:val="32"/>
          <w:lang w:eastAsia="zh-CN"/>
        </w:rPr>
        <w:t>：</w:t>
      </w:r>
      <w:r>
        <w:rPr>
          <w:rFonts w:hint="eastAsia" w:ascii="仿宋" w:hAnsi="仿宋" w:eastAsia="仿宋" w:cs="仿宋"/>
          <w:sz w:val="32"/>
          <w:szCs w:val="32"/>
        </w:rPr>
        <w:t>资金预算</w:t>
      </w:r>
      <w:r>
        <w:rPr>
          <w:rFonts w:hint="eastAsia" w:ascii="仿宋" w:hAnsi="仿宋" w:eastAsia="仿宋" w:cs="仿宋"/>
          <w:sz w:val="32"/>
          <w:szCs w:val="32"/>
          <w:lang w:val="en-US" w:eastAsia="zh-CN"/>
        </w:rPr>
        <w:t>1362.8</w:t>
      </w:r>
      <w:r>
        <w:rPr>
          <w:rFonts w:hint="eastAsia" w:ascii="仿宋" w:hAnsi="仿宋" w:eastAsia="仿宋" w:cs="仿宋"/>
          <w:sz w:val="32"/>
          <w:szCs w:val="32"/>
        </w:rPr>
        <w:t>万元，批复</w:t>
      </w:r>
      <w:r>
        <w:rPr>
          <w:rFonts w:hint="eastAsia" w:ascii="仿宋" w:hAnsi="仿宋" w:eastAsia="仿宋" w:cs="仿宋"/>
          <w:sz w:val="32"/>
          <w:szCs w:val="32"/>
          <w:lang w:val="en-US" w:eastAsia="zh-CN"/>
        </w:rPr>
        <w:t>1362.8</w:t>
      </w:r>
      <w:r>
        <w:rPr>
          <w:rFonts w:hint="eastAsia" w:ascii="仿宋" w:hAnsi="仿宋" w:eastAsia="仿宋" w:cs="仿宋"/>
          <w:sz w:val="32"/>
          <w:szCs w:val="32"/>
        </w:rPr>
        <w:t>万元，实际执行</w:t>
      </w:r>
      <w:r>
        <w:rPr>
          <w:rFonts w:hint="eastAsia" w:ascii="仿宋" w:hAnsi="仿宋" w:eastAsia="仿宋" w:cs="仿宋"/>
          <w:sz w:val="32"/>
          <w:szCs w:val="32"/>
          <w:lang w:val="en-US" w:eastAsia="zh-CN"/>
        </w:rPr>
        <w:t>1582.62</w:t>
      </w:r>
      <w:r>
        <w:rPr>
          <w:rFonts w:hint="eastAsia" w:ascii="仿宋" w:hAnsi="仿宋" w:eastAsia="仿宋" w:cs="仿宋"/>
          <w:sz w:val="32"/>
          <w:szCs w:val="32"/>
        </w:rPr>
        <w:t>万元，拨付情况完成</w:t>
      </w:r>
      <w:r>
        <w:rPr>
          <w:rFonts w:hint="eastAsia" w:ascii="仿宋" w:hAnsi="仿宋" w:eastAsia="仿宋" w:cs="仿宋"/>
          <w:sz w:val="32"/>
          <w:szCs w:val="32"/>
          <w:lang w:val="en-US" w:eastAsia="zh-CN"/>
        </w:rPr>
        <w:t>116</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2、财务管理</w:t>
      </w:r>
      <w:r>
        <w:rPr>
          <w:rFonts w:hint="eastAsia" w:ascii="仿宋" w:hAnsi="仿宋" w:eastAsia="仿宋" w:cs="仿宋"/>
          <w:sz w:val="32"/>
          <w:szCs w:val="32"/>
          <w:lang w:eastAsia="zh-CN"/>
        </w:rPr>
        <w:t>：</w:t>
      </w:r>
      <w:r>
        <w:rPr>
          <w:rFonts w:hint="eastAsia" w:ascii="仿宋" w:hAnsi="仿宋" w:eastAsia="仿宋" w:cs="仿宋"/>
          <w:sz w:val="32"/>
          <w:szCs w:val="32"/>
        </w:rPr>
        <w:t>预算资金</w:t>
      </w:r>
      <w:r>
        <w:rPr>
          <w:rFonts w:hint="eastAsia" w:ascii="仿宋" w:hAnsi="仿宋" w:eastAsia="仿宋" w:cs="仿宋"/>
          <w:sz w:val="32"/>
          <w:szCs w:val="32"/>
          <w:lang w:val="en-US" w:eastAsia="zh-CN"/>
        </w:rPr>
        <w:t>1362.8</w:t>
      </w:r>
      <w:r>
        <w:rPr>
          <w:rFonts w:hint="eastAsia" w:ascii="仿宋" w:hAnsi="仿宋" w:eastAsia="仿宋" w:cs="仿宋"/>
          <w:sz w:val="32"/>
          <w:szCs w:val="32"/>
        </w:rPr>
        <w:t>万元，全部是财政拨款，</w:t>
      </w:r>
      <w:r>
        <w:rPr>
          <w:rFonts w:hint="eastAsia" w:ascii="仿宋" w:hAnsi="仿宋" w:eastAsia="仿宋" w:cs="仿宋"/>
          <w:sz w:val="32"/>
          <w:szCs w:val="32"/>
          <w:lang w:val="en-US" w:eastAsia="zh-CN"/>
        </w:rPr>
        <w:t>先行</w:t>
      </w:r>
      <w:r>
        <w:rPr>
          <w:rFonts w:hint="eastAsia" w:ascii="仿宋" w:hAnsi="仿宋" w:eastAsia="仿宋" w:cs="仿宋"/>
          <w:sz w:val="32"/>
          <w:szCs w:val="32"/>
        </w:rPr>
        <w:t>拨付到单位，然后用于项目资金</w:t>
      </w:r>
      <w:r>
        <w:rPr>
          <w:rFonts w:hint="eastAsia" w:ascii="仿宋" w:hAnsi="仿宋" w:eastAsia="仿宋" w:cs="仿宋"/>
          <w:sz w:val="32"/>
          <w:szCs w:val="32"/>
          <w:lang w:val="en-US" w:eastAsia="zh-CN"/>
        </w:rPr>
        <w:t>发放</w:t>
      </w:r>
      <w:r>
        <w:rPr>
          <w:rFonts w:hint="eastAsia" w:ascii="仿宋" w:hAnsi="仿宋" w:eastAsia="仿宋" w:cs="仿宋"/>
          <w:sz w:val="32"/>
          <w:szCs w:val="32"/>
        </w:rPr>
        <w:t>。严格遵循专款专用、独立核算的管理原则，对专项资金的管理按照项目涉及的经济科目规定，根据财务管理办法的相关制度执行。</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（三）产出指标情况分析。</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1、数量指标</w:t>
      </w:r>
      <w:r>
        <w:rPr>
          <w:rFonts w:hint="eastAsia" w:ascii="仿宋" w:hAnsi="仿宋" w:eastAsia="仿宋" w:cs="仿宋"/>
          <w:sz w:val="32"/>
          <w:szCs w:val="32"/>
          <w:lang w:eastAsia="zh-CN"/>
        </w:rPr>
        <w:t>：</w:t>
      </w:r>
      <w:r>
        <w:rPr>
          <w:rFonts w:hint="eastAsia" w:ascii="仿宋" w:hAnsi="仿宋" w:eastAsia="仿宋" w:cs="仿宋"/>
          <w:sz w:val="32"/>
          <w:szCs w:val="32"/>
        </w:rPr>
        <w:t>发放工资、奖励金等人数</w:t>
      </w:r>
      <w:r>
        <w:rPr>
          <w:rFonts w:hint="eastAsia" w:ascii="仿宋" w:hAnsi="仿宋" w:eastAsia="仿宋" w:cs="仿宋"/>
          <w:sz w:val="32"/>
          <w:szCs w:val="32"/>
          <w:lang w:val="en-US" w:eastAsia="zh-CN"/>
        </w:rPr>
        <w:t>92</w:t>
      </w:r>
      <w:r>
        <w:rPr>
          <w:rFonts w:hint="eastAsia" w:ascii="仿宋" w:hAnsi="仿宋" w:eastAsia="仿宋" w:cs="仿宋"/>
          <w:sz w:val="32"/>
          <w:szCs w:val="32"/>
        </w:rPr>
        <w:t>人，年度考核合格及以上人员的比例100%职工出勤率、在职人员控制率、人员数量、公车数量车辆、正常运行率、付款及时率均达到100%；开发应用新技术、新产品数量8个，推广应用农业新技术新品种数量7个，完成率100%；市级以上科技平台数量50个，完成率100%。</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2、质量指标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救助资金拨付及时率，工作日1-2天完成。完成率100%。</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（四）效益指标情况分析。</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1、社会效益</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服务中小企业人数2000人，完成率100%；沙河市区域网可以满足10000人需要，完成率100%。</w:t>
      </w:r>
    </w:p>
    <w:p>
      <w:pPr>
        <w:keepNext w:val="0"/>
        <w:keepLines w:val="0"/>
        <w:pageBreakBefore w:val="0"/>
        <w:widowControl w:val="0"/>
        <w:tabs>
          <w:tab w:val="center" w:pos="4153"/>
        </w:tabs>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2、可持续影响指标</w:t>
      </w:r>
      <w:r>
        <w:rPr>
          <w:rFonts w:hint="eastAsia" w:ascii="仿宋" w:hAnsi="仿宋" w:eastAsia="仿宋" w:cs="仿宋"/>
          <w:kern w:val="0"/>
          <w:sz w:val="32"/>
          <w:szCs w:val="32"/>
          <w:lang w:eastAsia="zh-CN"/>
        </w:rPr>
        <w:t>：</w:t>
      </w:r>
      <w:r>
        <w:rPr>
          <w:rFonts w:hint="eastAsia" w:ascii="仿宋" w:hAnsi="仿宋" w:eastAsia="仿宋" w:cs="仿宋"/>
          <w:i w:val="0"/>
          <w:iCs w:val="0"/>
          <w:color w:val="000000"/>
          <w:kern w:val="0"/>
          <w:sz w:val="32"/>
          <w:szCs w:val="32"/>
          <w:u w:val="none"/>
          <w:lang w:val="en-US" w:eastAsia="zh-CN" w:bidi="ar"/>
        </w:rPr>
        <w:t>改善沙河大气污染；推广新能源公交车</w:t>
      </w:r>
      <w:r>
        <w:rPr>
          <w:rFonts w:hint="eastAsia" w:ascii="仿宋" w:hAnsi="仿宋" w:eastAsia="仿宋" w:cs="仿宋"/>
          <w:kern w:val="0"/>
          <w:sz w:val="32"/>
          <w:szCs w:val="32"/>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（五）满意度指标情况分析。</w:t>
      </w:r>
    </w:p>
    <w:p>
      <w:pPr>
        <w:keepNext w:val="0"/>
        <w:keepLines w:val="0"/>
        <w:pageBreakBefore w:val="0"/>
        <w:widowControl w:val="0"/>
        <w:tabs>
          <w:tab w:val="center" w:pos="4153"/>
        </w:tabs>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单位职工，受益企业人员满意率达90%以上。</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b/>
          <w:bCs/>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七、项目绩效自评及评价结果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color w:val="333333"/>
          <w:sz w:val="32"/>
          <w:shd w:val="clear" w:color="auto" w:fill="FFFFFF"/>
        </w:rPr>
      </w:pPr>
      <w:r>
        <w:rPr>
          <w:rFonts w:hint="eastAsia" w:ascii="仿宋" w:hAnsi="仿宋" w:eastAsia="仿宋" w:cs="仿宋"/>
          <w:sz w:val="32"/>
          <w:szCs w:val="32"/>
        </w:rPr>
        <w:t>（一）项目自评组织情况。按财政部门相关要求，立即启动整体项目绩效自评工作，认真研究项目绩效目标及完成情况，公平公正</w:t>
      </w:r>
      <w:r>
        <w:rPr>
          <w:rFonts w:hint="eastAsia" w:ascii="仿宋" w:hAnsi="仿宋" w:eastAsia="仿宋" w:cs="仿宋"/>
          <w:sz w:val="32"/>
          <w:szCs w:val="32"/>
          <w:lang w:eastAsia="zh-CN"/>
        </w:rPr>
        <w:t>的</w:t>
      </w:r>
      <w:r>
        <w:rPr>
          <w:rFonts w:hint="eastAsia" w:ascii="仿宋" w:hAnsi="仿宋" w:eastAsia="仿宋" w:cs="仿宋"/>
          <w:sz w:val="32"/>
          <w:szCs w:val="32"/>
        </w:rPr>
        <w:t>对该项目绩效目标进行自评</w:t>
      </w:r>
      <w:r>
        <w:rPr>
          <w:rFonts w:hint="eastAsia" w:ascii="仿宋" w:hAnsi="仿宋" w:eastAsia="仿宋" w:cs="仿宋"/>
          <w:color w:val="333333"/>
          <w:sz w:val="32"/>
          <w:shd w:val="clear" w:color="auto" w:fill="FFFFFF"/>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（二）评价结果。一级指标：投入指标1</w:t>
      </w:r>
      <w:r>
        <w:rPr>
          <w:rFonts w:hint="eastAsia" w:ascii="仿宋" w:hAnsi="仿宋" w:eastAsia="仿宋" w:cs="仿宋"/>
          <w:sz w:val="32"/>
          <w:szCs w:val="32"/>
          <w:lang w:val="en-US" w:eastAsia="zh-CN"/>
        </w:rPr>
        <w:t>5</w:t>
      </w:r>
      <w:r>
        <w:rPr>
          <w:rFonts w:hint="eastAsia" w:ascii="仿宋" w:hAnsi="仿宋" w:eastAsia="仿宋" w:cs="仿宋"/>
          <w:sz w:val="32"/>
          <w:szCs w:val="32"/>
        </w:rPr>
        <w:t>分；过程指标43分；产出指标10分；效果指标13分。总计</w:t>
      </w:r>
      <w:r>
        <w:rPr>
          <w:rFonts w:hint="eastAsia" w:ascii="仿宋" w:hAnsi="仿宋" w:eastAsia="仿宋" w:cs="仿宋"/>
          <w:sz w:val="32"/>
          <w:szCs w:val="32"/>
          <w:lang w:val="en-US" w:eastAsia="zh-CN"/>
        </w:rPr>
        <w:t>81</w:t>
      </w:r>
      <w:r>
        <w:rPr>
          <w:rFonts w:hint="eastAsia" w:ascii="仿宋" w:hAnsi="仿宋" w:eastAsia="仿宋" w:cs="仿宋"/>
          <w:sz w:val="32"/>
          <w:szCs w:val="32"/>
        </w:rPr>
        <w:t>分</w:t>
      </w:r>
    </w:p>
    <w:p>
      <w:pPr>
        <w:keepNext w:val="0"/>
        <w:keepLines w:val="0"/>
        <w:pageBreakBefore w:val="0"/>
        <w:widowControl w:val="0"/>
        <w:kinsoku/>
        <w:wordWrap/>
        <w:overflowPunct/>
        <w:topLinePunct w:val="0"/>
        <w:bidi w:val="0"/>
        <w:adjustRightInd/>
        <w:snapToGrid/>
        <w:spacing w:line="240" w:lineRule="auto"/>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八、项目存在的问题和</w:t>
      </w:r>
      <w:r>
        <w:rPr>
          <w:rFonts w:hint="eastAsia" w:ascii="仿宋" w:hAnsi="仿宋" w:eastAsia="仿宋" w:cs="仿宋"/>
          <w:b/>
          <w:bCs/>
          <w:sz w:val="32"/>
          <w:szCs w:val="32"/>
          <w:lang w:val="en-US" w:eastAsia="zh-CN"/>
        </w:rPr>
        <w:t>采取的措施</w:t>
      </w:r>
    </w:p>
    <w:p>
      <w:pPr>
        <w:keepNext w:val="0"/>
        <w:keepLines w:val="0"/>
        <w:pageBreakBefore w:val="0"/>
        <w:widowControl w:val="0"/>
        <w:kinsoku/>
        <w:wordWrap/>
        <w:overflowPunct/>
        <w:topLinePunct w:val="0"/>
        <w:autoSpaceDE/>
        <w:autoSpaceDN w:val="0"/>
        <w:bidi w:val="0"/>
        <w:adjustRightInd/>
        <w:snapToGrid/>
        <w:spacing w:line="240" w:lineRule="auto"/>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存在的问题</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jc w:val="both"/>
        <w:textAlignment w:val="auto"/>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总体绩效目标完成情况良好，部分目标和预期实现程度有偏差。根据</w:t>
      </w:r>
      <w:r>
        <w:rPr>
          <w:rFonts w:hint="eastAsia" w:ascii="仿宋" w:hAnsi="仿宋" w:eastAsia="仿宋" w:cs="仿宋"/>
          <w:b w:val="0"/>
          <w:bCs w:val="0"/>
          <w:sz w:val="32"/>
          <w:lang w:val="en-US" w:eastAsia="zh-CN"/>
        </w:rPr>
        <w:t>2021年部门申报的</w:t>
      </w:r>
      <w:r>
        <w:rPr>
          <w:rFonts w:hint="eastAsia" w:ascii="仿宋" w:hAnsi="仿宋" w:eastAsia="仿宋" w:cs="仿宋"/>
          <w:b w:val="0"/>
          <w:bCs w:val="0"/>
          <w:sz w:val="32"/>
          <w:lang w:eastAsia="zh-CN"/>
        </w:rPr>
        <w:t>部门整体绩效目标指标中总体绩效目标指标，上半年总体</w:t>
      </w:r>
      <w:r>
        <w:rPr>
          <w:rFonts w:hint="eastAsia" w:ascii="仿宋" w:hAnsi="仿宋" w:eastAsia="仿宋" w:cs="仿宋"/>
          <w:b w:val="0"/>
          <w:bCs w:val="0"/>
          <w:sz w:val="32"/>
        </w:rPr>
        <w:t>绩效目标</w:t>
      </w:r>
      <w:r>
        <w:rPr>
          <w:rFonts w:hint="eastAsia" w:ascii="仿宋" w:hAnsi="仿宋" w:eastAsia="仿宋" w:cs="仿宋"/>
          <w:b w:val="0"/>
          <w:bCs w:val="0"/>
          <w:sz w:val="32"/>
          <w:lang w:eastAsia="zh-CN"/>
        </w:rPr>
        <w:t>完成率在</w:t>
      </w:r>
      <w:r>
        <w:rPr>
          <w:rFonts w:hint="eastAsia" w:ascii="仿宋" w:hAnsi="仿宋" w:eastAsia="仿宋" w:cs="仿宋"/>
          <w:b w:val="0"/>
          <w:bCs w:val="0"/>
          <w:sz w:val="32"/>
          <w:lang w:val="en-US" w:eastAsia="zh-CN"/>
        </w:rPr>
        <w:t>50%左右，预计全年可</w:t>
      </w:r>
      <w:r>
        <w:rPr>
          <w:rFonts w:hint="eastAsia" w:ascii="仿宋" w:hAnsi="仿宋" w:eastAsia="仿宋" w:cs="仿宋"/>
          <w:b w:val="0"/>
          <w:bCs w:val="0"/>
          <w:sz w:val="32"/>
        </w:rPr>
        <w:t>实现</w:t>
      </w:r>
      <w:r>
        <w:rPr>
          <w:rFonts w:hint="eastAsia" w:ascii="仿宋" w:hAnsi="仿宋" w:eastAsia="仿宋" w:cs="仿宋"/>
          <w:b w:val="0"/>
          <w:bCs w:val="0"/>
          <w:sz w:val="32"/>
          <w:lang w:eastAsia="zh-CN"/>
        </w:rPr>
        <w:t>整体绩效目标的</w:t>
      </w:r>
      <w:r>
        <w:rPr>
          <w:rFonts w:hint="eastAsia" w:ascii="仿宋" w:hAnsi="仿宋" w:eastAsia="仿宋" w:cs="仿宋"/>
          <w:b w:val="0"/>
          <w:bCs w:val="0"/>
          <w:sz w:val="32"/>
          <w:lang w:val="en-US" w:eastAsia="zh-CN"/>
        </w:rPr>
        <w:t>95%以上</w:t>
      </w:r>
      <w:r>
        <w:rPr>
          <w:rFonts w:hint="eastAsia" w:ascii="仿宋" w:hAnsi="仿宋" w:eastAsia="仿宋" w:cs="仿宋"/>
          <w:b w:val="0"/>
          <w:bCs w:val="0"/>
          <w:sz w:val="32"/>
          <w:lang w:eastAsia="zh-CN"/>
        </w:rPr>
        <w:t>。</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jc w:val="both"/>
        <w:textAlignment w:val="auto"/>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（二）部门分项绩效目标完成情况和预期实现程度。有个别项目由于资金落实、申报流程等原因完成较慢。</w:t>
      </w:r>
    </w:p>
    <w:p>
      <w:pPr>
        <w:keepNext w:val="0"/>
        <w:keepLines w:val="0"/>
        <w:pageBreakBefore w:val="0"/>
        <w:widowControl w:val="0"/>
        <w:kinsoku/>
        <w:wordWrap/>
        <w:overflowPunct/>
        <w:topLinePunct w:val="0"/>
        <w:bidi w:val="0"/>
        <w:adjustRightInd/>
        <w:snapToGrid/>
        <w:spacing w:line="240" w:lineRule="auto"/>
        <w:ind w:firstLine="707" w:firstLineChars="221"/>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eastAsia="zh-CN"/>
        </w:rPr>
        <w:t>（三）部分项目未支出和未达到序时进度，主要原因是该项资金一般为年底考核结算，需对相关单位的完成情况进行考核后，根据考核情况才能发放。预计到年底整体绩效目标可完成</w:t>
      </w:r>
      <w:r>
        <w:rPr>
          <w:rFonts w:hint="eastAsia" w:ascii="仿宋" w:hAnsi="仿宋" w:eastAsia="仿宋" w:cs="仿宋"/>
          <w:b w:val="0"/>
          <w:bCs w:val="0"/>
          <w:color w:val="000000"/>
          <w:kern w:val="0"/>
          <w:sz w:val="32"/>
          <w:szCs w:val="32"/>
          <w:lang w:val="en-US" w:eastAsia="zh-CN"/>
        </w:rPr>
        <w:t>95%以上。</w:t>
      </w:r>
    </w:p>
    <w:p>
      <w:pPr>
        <w:keepNext w:val="0"/>
        <w:keepLines w:val="0"/>
        <w:pageBreakBefore w:val="0"/>
        <w:widowControl w:val="0"/>
        <w:kinsoku/>
        <w:wordWrap/>
        <w:overflowPunct/>
        <w:topLinePunct w:val="0"/>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采取的措施</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（一）对</w:t>
      </w:r>
      <w:r>
        <w:rPr>
          <w:rFonts w:hint="eastAsia" w:ascii="仿宋_GB2312" w:hAnsi="仿宋_GB2312" w:eastAsia="仿宋" w:cs="仿宋_GB2312"/>
          <w:sz w:val="32"/>
          <w:szCs w:val="32"/>
        </w:rPr>
        <w:t>绩效目标执行正常</w:t>
      </w:r>
      <w:r>
        <w:rPr>
          <w:rFonts w:hint="eastAsia" w:ascii="仿宋_GB2312" w:hAnsi="仿宋_GB2312" w:eastAsia="仿宋" w:cs="仿宋_GB2312"/>
          <w:sz w:val="32"/>
          <w:szCs w:val="32"/>
          <w:lang w:eastAsia="zh-CN"/>
        </w:rPr>
        <w:t>的</w:t>
      </w:r>
      <w:r>
        <w:rPr>
          <w:rFonts w:hint="eastAsia" w:ascii="仿宋_GB2312" w:hAnsi="仿宋_GB2312" w:eastAsia="仿宋" w:cs="仿宋_GB2312"/>
          <w:sz w:val="32"/>
          <w:szCs w:val="32"/>
        </w:rPr>
        <w:t>项目，</w:t>
      </w:r>
      <w:r>
        <w:rPr>
          <w:rFonts w:hint="eastAsia" w:ascii="仿宋_GB2312" w:hAnsi="仿宋_GB2312" w:eastAsia="仿宋" w:cs="仿宋_GB2312"/>
          <w:sz w:val="32"/>
          <w:szCs w:val="32"/>
          <w:lang w:eastAsia="zh-CN"/>
        </w:rPr>
        <w:t>保证资金的及时支付、发放，顺利完成全年目标。</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（二）、对</w:t>
      </w:r>
      <w:r>
        <w:rPr>
          <w:rFonts w:hint="eastAsia" w:ascii="仿宋_GB2312" w:hAnsi="仿宋_GB2312" w:eastAsia="仿宋" w:cs="仿宋_GB2312"/>
          <w:sz w:val="32"/>
          <w:szCs w:val="32"/>
        </w:rPr>
        <w:t>执行出现偏差的项目，</w:t>
      </w:r>
      <w:r>
        <w:rPr>
          <w:rFonts w:hint="eastAsia" w:ascii="仿宋_GB2312" w:hAnsi="仿宋_GB2312" w:eastAsia="仿宋" w:cs="仿宋_GB2312"/>
          <w:sz w:val="32"/>
          <w:szCs w:val="32"/>
          <w:lang w:eastAsia="zh-CN"/>
        </w:rPr>
        <w:t>按项目分析造成偏差的具体原因，逐个解决，加强监控，多方面筹措资金，及时完成预算项目。</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lang w:eastAsia="zh-CN"/>
        </w:rPr>
        <w:t>（三）、</w:t>
      </w:r>
      <w:r>
        <w:rPr>
          <w:rFonts w:hint="eastAsia" w:ascii="仿宋_GB2312" w:hAnsi="仿宋_GB2312" w:eastAsia="仿宋" w:cs="仿宋_GB2312"/>
          <w:sz w:val="32"/>
          <w:szCs w:val="32"/>
        </w:rPr>
        <w:t>加强</w:t>
      </w:r>
      <w:r>
        <w:rPr>
          <w:rFonts w:hint="eastAsia" w:ascii="仿宋_GB2312" w:hAnsi="仿宋_GB2312" w:eastAsia="仿宋" w:cs="仿宋_GB2312"/>
          <w:sz w:val="32"/>
          <w:szCs w:val="32"/>
          <w:lang w:eastAsia="zh-CN"/>
        </w:rPr>
        <w:t>对预算项目</w:t>
      </w:r>
      <w:r>
        <w:rPr>
          <w:rFonts w:hint="eastAsia" w:ascii="仿宋_GB2312" w:hAnsi="仿宋_GB2312" w:eastAsia="仿宋" w:cs="仿宋_GB2312"/>
          <w:sz w:val="32"/>
          <w:szCs w:val="32"/>
        </w:rPr>
        <w:t>日常监控工作</w:t>
      </w:r>
      <w:r>
        <w:rPr>
          <w:rFonts w:hint="eastAsia" w:ascii="仿宋_GB2312" w:hAnsi="仿宋_GB2312" w:eastAsia="仿宋" w:cs="仿宋_GB2312"/>
          <w:sz w:val="32"/>
          <w:szCs w:val="32"/>
          <w:lang w:eastAsia="zh-CN"/>
        </w:rPr>
        <w:t>，积极和财政部门沟通协调完成既定绩效目标</w:t>
      </w:r>
      <w:r>
        <w:rPr>
          <w:rFonts w:hint="eastAsia" w:ascii="仿宋_GB2312" w:hAnsi="仿宋_GB2312" w:eastAsia="仿宋" w:cs="仿宋_GB2312"/>
          <w:sz w:val="32"/>
          <w:szCs w:val="32"/>
        </w:rPr>
        <w:t>。</w:t>
      </w: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p>
    <w:p>
      <w:pPr>
        <w:spacing w:before="0" w:after="0" w:line="480" w:lineRule="auto"/>
        <w:ind w:left="0" w:right="0" w:firstLine="0"/>
        <w:jc w:val="left"/>
        <w:rPr>
          <w:rFonts w:hint="eastAsia" w:ascii="宋体" w:hAnsi="宋体" w:eastAsia="宋体" w:cs="宋体"/>
          <w:b/>
          <w:color w:val="auto"/>
          <w:spacing w:val="0"/>
          <w:position w:val="0"/>
          <w:sz w:val="36"/>
          <w:szCs w:val="21"/>
          <w:shd w:val="clear" w:fill="auto"/>
          <w:lang w:eastAsia="zh-CN"/>
        </w:rPr>
      </w:pPr>
      <w:r>
        <w:rPr>
          <w:rFonts w:hint="eastAsia" w:ascii="宋体" w:hAnsi="宋体" w:eastAsia="宋体" w:cs="宋体"/>
          <w:b/>
          <w:color w:val="auto"/>
          <w:spacing w:val="0"/>
          <w:position w:val="0"/>
          <w:sz w:val="36"/>
          <w:szCs w:val="21"/>
          <w:shd w:val="clear" w:fill="auto"/>
          <w:lang w:eastAsia="zh-CN"/>
        </w:rPr>
        <w:t>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000000"/>
          <w:kern w:val="0"/>
          <w:sz w:val="32"/>
          <w:szCs w:val="32"/>
          <w:lang w:val="en-US" w:eastAsia="zh-CN"/>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5"/>
        <w:tblW w:w="4997" w:type="pct"/>
        <w:tblInd w:w="0" w:type="dxa"/>
        <w:tblLayout w:type="autofit"/>
        <w:tblCellMar>
          <w:top w:w="0" w:type="dxa"/>
          <w:left w:w="10" w:type="dxa"/>
          <w:bottom w:w="0" w:type="dxa"/>
          <w:right w:w="10" w:type="dxa"/>
        </w:tblCellMar>
      </w:tblPr>
      <w:tblGrid>
        <w:gridCol w:w="854"/>
        <w:gridCol w:w="854"/>
        <w:gridCol w:w="1164"/>
        <w:gridCol w:w="2881"/>
        <w:gridCol w:w="2080"/>
        <w:gridCol w:w="684"/>
      </w:tblGrid>
      <w:tr>
        <w:tblPrEx>
          <w:tblCellMar>
            <w:top w:w="0" w:type="dxa"/>
            <w:left w:w="10" w:type="dxa"/>
            <w:bottom w:w="0" w:type="dxa"/>
            <w:right w:w="10" w:type="dxa"/>
          </w:tblCellMar>
        </w:tblPrEx>
        <w:trPr>
          <w:trHeight w:val="339"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一级指标</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二级指标</w:t>
            </w:r>
          </w:p>
        </w:tc>
        <w:tc>
          <w:tcPr>
            <w:tcW w:w="2373"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三级指标</w:t>
            </w:r>
          </w:p>
        </w:tc>
        <w:tc>
          <w:tcPr>
            <w:tcW w:w="1220"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评分标准</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ascii="宋体" w:hAnsi="宋体" w:eastAsia="宋体" w:cs="宋体"/>
                <w:b/>
                <w:sz w:val="24"/>
              </w:rPr>
              <w:t>得分</w:t>
            </w:r>
          </w:p>
        </w:tc>
      </w:tr>
      <w:tr>
        <w:tblPrEx>
          <w:tblCellMar>
            <w:top w:w="0" w:type="dxa"/>
            <w:left w:w="10" w:type="dxa"/>
            <w:bottom w:w="0" w:type="dxa"/>
            <w:right w:w="10" w:type="dxa"/>
          </w:tblCellMar>
        </w:tblPrEx>
        <w:trPr>
          <w:trHeight w:val="434"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指标名称</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指标解释说明</w:t>
            </w:r>
          </w:p>
        </w:tc>
        <w:tc>
          <w:tcPr>
            <w:tcW w:w="1220"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r>
      <w:tr>
        <w:tblPrEx>
          <w:tblCellMar>
            <w:top w:w="0" w:type="dxa"/>
            <w:left w:w="10" w:type="dxa"/>
            <w:bottom w:w="0" w:type="dxa"/>
            <w:right w:w="10" w:type="dxa"/>
          </w:tblCellMar>
        </w:tblPrEx>
        <w:trPr>
          <w:trHeight w:val="688"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投入（</w:t>
            </w:r>
            <w:r>
              <w:rPr>
                <w:rFonts w:ascii="仿宋_GB2312" w:hAnsi="仿宋_GB2312" w:eastAsia="仿宋_GB2312" w:cs="仿宋_GB2312"/>
              </w:rPr>
              <w:t>10</w:t>
            </w:r>
            <w:r>
              <w:rPr>
                <w:rFonts w:ascii="宋体" w:hAnsi="宋体" w:eastAsia="宋体" w:cs="宋体"/>
              </w:rPr>
              <w:t>）</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绩效目标设定情况</w:t>
            </w:r>
          </w:p>
          <w:p>
            <w:pPr>
              <w:jc w:val="left"/>
            </w:pP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职责明确</w:t>
            </w:r>
            <w:r>
              <w:rPr>
                <w:rFonts w:ascii="仿宋_GB2312" w:hAnsi="仿宋_GB2312" w:eastAsia="仿宋_GB2312" w:cs="仿宋_GB2312"/>
              </w:rPr>
              <w:t xml:space="preserve"> </w:t>
            </w:r>
            <w:r>
              <w:rPr>
                <w:rFonts w:ascii="宋体" w:hAnsi="宋体" w:eastAsia="宋体" w:cs="宋体"/>
              </w:rPr>
              <w:t>（</w:t>
            </w:r>
            <w:r>
              <w:rPr>
                <w:rFonts w:ascii="仿宋_GB2312" w:hAnsi="仿宋_GB2312" w:eastAsia="仿宋_GB2312" w:cs="仿宋_GB2312"/>
              </w:rPr>
              <w:t>1</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ascii="宋体" w:hAnsi="宋体" w:eastAsia="宋体" w:cs="宋体"/>
              </w:rPr>
              <w:t>部门的职责设定是否符合“三定”方案中所赋予的职责，用以反映和评价部门工作的目的性与计划性。</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符合（</w:t>
            </w:r>
            <w:r>
              <w:rPr>
                <w:rFonts w:ascii="仿宋_GB2312" w:hAnsi="仿宋_GB2312" w:eastAsia="仿宋_GB2312" w:cs="仿宋_GB2312"/>
              </w:rPr>
              <w:t>1</w:t>
            </w:r>
            <w:r>
              <w:rPr>
                <w:rFonts w:ascii="宋体" w:hAnsi="宋体" w:eastAsia="宋体" w:cs="宋体"/>
              </w:rPr>
              <w:t>）；</w:t>
            </w:r>
          </w:p>
          <w:p>
            <w:pPr>
              <w:jc w:val="left"/>
            </w:pPr>
            <w:r>
              <w:rPr>
                <w:rFonts w:ascii="宋体" w:hAnsi="宋体" w:eastAsia="宋体" w:cs="宋体"/>
              </w:rPr>
              <w:t>不符合（</w:t>
            </w:r>
            <w:r>
              <w:rPr>
                <w:rFonts w:ascii="仿宋_GB2312" w:hAnsi="仿宋_GB2312" w:eastAsia="仿宋_GB2312" w:cs="仿宋_GB2312"/>
              </w:rPr>
              <w:t>0</w:t>
            </w:r>
            <w:r>
              <w:rPr>
                <w:rFonts w:ascii="宋体" w:hAnsi="宋体" w:eastAsia="宋体" w:cs="宋体"/>
              </w:rPr>
              <w:t>）。</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1</w:t>
            </w:r>
          </w:p>
        </w:tc>
      </w:tr>
      <w:tr>
        <w:tblPrEx>
          <w:tblCellMar>
            <w:top w:w="0" w:type="dxa"/>
            <w:left w:w="10" w:type="dxa"/>
            <w:bottom w:w="0" w:type="dxa"/>
            <w:right w:w="10" w:type="dxa"/>
          </w:tblCellMar>
        </w:tblPrEx>
        <w:trPr>
          <w:trHeight w:val="1634"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活动合规性（</w:t>
            </w:r>
            <w:r>
              <w:rPr>
                <w:rFonts w:ascii="仿宋_GB2312" w:hAnsi="仿宋_GB2312" w:eastAsia="仿宋_GB2312" w:cs="仿宋_GB2312"/>
              </w:rPr>
              <w:t>2</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部门的活动是否在职责范围之内并符合部门中长期规划，用以反映和评价部门活动目标与部门履职、年度工作任务的相符性情况。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部门活动的设定在部门所确定的职责范围之内；</w:t>
            </w:r>
          </w:p>
          <w:p>
            <w:pPr>
              <w:jc w:val="left"/>
            </w:pPr>
            <w:r>
              <w:rPr>
                <w:rFonts w:ascii="仿宋_GB2312" w:hAnsi="仿宋_GB2312" w:eastAsia="仿宋_GB2312" w:cs="仿宋_GB2312"/>
              </w:rPr>
              <w:t>2.</w:t>
            </w:r>
            <w:r>
              <w:rPr>
                <w:rFonts w:ascii="宋体" w:hAnsi="宋体" w:eastAsia="宋体" w:cs="宋体"/>
              </w:rPr>
              <w:t>部门活动符合市委、市政府的发展规划及本部门的年度工作安排与发展规划。</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其中一项不符合（</w:t>
            </w:r>
            <w:r>
              <w:rPr>
                <w:rFonts w:ascii="仿宋_GB2312" w:hAnsi="仿宋_GB2312" w:eastAsia="仿宋_GB2312" w:cs="仿宋_GB2312"/>
              </w:rPr>
              <w:t>0</w:t>
            </w:r>
            <w:r>
              <w:rPr>
                <w:rFonts w:ascii="宋体" w:hAnsi="宋体" w:eastAsia="宋体" w:cs="宋体"/>
              </w:rPr>
              <w:t>）。</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rPr>
          <w:trHeight w:val="6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活动合理性（</w:t>
            </w:r>
            <w:r>
              <w:rPr>
                <w:rFonts w:ascii="仿宋_GB2312" w:hAnsi="仿宋_GB2312" w:eastAsia="仿宋_GB2312" w:cs="仿宋_GB2312"/>
              </w:rPr>
              <w:t>2</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部门所设立的活动是否明确合理、活动的关键性指标设置是否可衡量，用以反映和评价部门活动目标设定的合理性。</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活动目标的设定是可量化的，可通过清晰、可衡量的关键指标值予以体现；</w:t>
            </w:r>
          </w:p>
          <w:p>
            <w:pPr>
              <w:jc w:val="left"/>
            </w:pPr>
            <w:r>
              <w:rPr>
                <w:rFonts w:ascii="仿宋_GB2312" w:hAnsi="仿宋_GB2312" w:eastAsia="仿宋_GB2312" w:cs="仿宋_GB2312"/>
              </w:rPr>
              <w:t>2.</w:t>
            </w:r>
            <w:r>
              <w:rPr>
                <w:rFonts w:ascii="宋体" w:hAnsi="宋体" w:eastAsia="宋体" w:cs="宋体"/>
              </w:rPr>
              <w:t>在活动目标设定时，将关键指标明细分解为具体的达成目标与工作任务。</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其中一项不符合（</w:t>
            </w:r>
            <w:r>
              <w:rPr>
                <w:rFonts w:ascii="仿宋_GB2312" w:hAnsi="仿宋_GB2312" w:eastAsia="仿宋_GB2312" w:cs="仿宋_GB2312"/>
              </w:rPr>
              <w:t>0</w:t>
            </w:r>
            <w:r>
              <w:rPr>
                <w:rFonts w:ascii="宋体" w:hAnsi="宋体" w:eastAsia="宋体" w:cs="宋体"/>
              </w:rPr>
              <w:t>）。</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rPr>
          <w:trHeight w:val="454"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预算配置情况</w:t>
            </w:r>
            <w:r>
              <w:rPr>
                <w:rFonts w:ascii="仿宋_GB2312" w:hAnsi="仿宋_GB2312" w:eastAsia="仿宋_GB2312" w:cs="仿宋_GB2312"/>
              </w:rPr>
              <w:t>(5</w:t>
            </w:r>
            <w:r>
              <w:rPr>
                <w:rFonts w:ascii="宋体" w:hAnsi="宋体" w:eastAsia="宋体" w:cs="宋体"/>
              </w:rPr>
              <w:t>分</w:t>
            </w:r>
            <w:r>
              <w:rPr>
                <w:rFonts w:ascii="仿宋_GB2312" w:hAnsi="仿宋_GB2312" w:eastAsia="仿宋_GB2312" w:cs="仿宋_GB2312"/>
              </w:rPr>
              <w:t>)</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在职人员控制率（</w:t>
            </w:r>
            <w:r>
              <w:rPr>
                <w:rFonts w:ascii="仿宋_GB2312" w:hAnsi="仿宋_GB2312" w:eastAsia="仿宋_GB2312" w:cs="仿宋_GB2312"/>
              </w:rPr>
              <w:t>1</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部门本年度实际在职人员数与编制数的比率，用以反映和评价部门对人员成本的控制程度。</w:t>
            </w:r>
          </w:p>
          <w:p>
            <w:pPr>
              <w:jc w:val="left"/>
              <w:rPr>
                <w:rFonts w:ascii="Calibri" w:hAnsi="Calibri" w:eastAsia="Calibri" w:cs="Calibri"/>
              </w:rPr>
            </w:pPr>
            <w:r>
              <w:rPr>
                <w:rFonts w:ascii="宋体" w:hAnsi="宋体" w:eastAsia="宋体" w:cs="宋体"/>
              </w:rPr>
              <w:t>在职人员控制率</w:t>
            </w:r>
            <w:r>
              <w:rPr>
                <w:rFonts w:ascii="仿宋_GB2312" w:hAnsi="仿宋_GB2312" w:eastAsia="仿宋_GB2312" w:cs="仿宋_GB2312"/>
              </w:rPr>
              <w:t>=</w:t>
            </w:r>
            <w:r>
              <w:rPr>
                <w:rFonts w:ascii="宋体" w:hAnsi="宋体" w:eastAsia="宋体" w:cs="宋体"/>
              </w:rPr>
              <w:t>（在职人员数</w:t>
            </w:r>
            <w:r>
              <w:rPr>
                <w:rFonts w:ascii="仿宋_GB2312" w:hAnsi="仿宋_GB2312" w:eastAsia="仿宋_GB2312" w:cs="仿宋_GB2312"/>
              </w:rPr>
              <w:t>/</w:t>
            </w:r>
            <w:r>
              <w:rPr>
                <w:rFonts w:ascii="宋体" w:hAnsi="宋体" w:eastAsia="宋体" w:cs="宋体"/>
              </w:rPr>
              <w:t>编制数）×</w:t>
            </w:r>
            <w:r>
              <w:rPr>
                <w:rFonts w:ascii="仿宋_GB2312" w:hAnsi="仿宋_GB2312" w:eastAsia="仿宋_GB2312" w:cs="仿宋_GB2312"/>
              </w:rPr>
              <w:t>100%</w:t>
            </w:r>
            <w:r>
              <w:rPr>
                <w:rFonts w:ascii="宋体" w:hAnsi="宋体" w:eastAsia="宋体" w:cs="宋体"/>
              </w:rPr>
              <w:t>。</w:t>
            </w:r>
          </w:p>
          <w:p>
            <w:pPr>
              <w:jc w:val="left"/>
              <w:rPr>
                <w:rFonts w:ascii="Calibri" w:hAnsi="Calibri" w:eastAsia="Calibri" w:cs="Calibri"/>
              </w:rPr>
            </w:pPr>
            <w:r>
              <w:rPr>
                <w:rFonts w:ascii="宋体" w:hAnsi="宋体" w:eastAsia="宋体" w:cs="宋体"/>
              </w:rPr>
              <w:t>在职人员数：部门实际在职人数，以财政部确定的部门决算编制口径为准，由编制部门和人劳部门批复同意的临聘人员除外。</w:t>
            </w:r>
          </w:p>
          <w:p>
            <w:pPr>
              <w:jc w:val="left"/>
            </w:pPr>
            <w:r>
              <w:rPr>
                <w:rFonts w:ascii="宋体" w:hAnsi="宋体" w:eastAsia="宋体" w:cs="宋体"/>
              </w:rPr>
              <w:t>编制数：机构编制部门核定批复的部门人员编制数。</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在职人员控制率小于或等于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在职人员控制率大于或等于</w:t>
            </w:r>
            <w:r>
              <w:rPr>
                <w:rFonts w:ascii="仿宋_GB2312" w:hAnsi="仿宋_GB2312" w:eastAsia="仿宋_GB2312" w:cs="仿宋_GB2312"/>
              </w:rPr>
              <w:t>115%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在职人员控制率在</w:t>
            </w:r>
            <w:r>
              <w:rPr>
                <w:rFonts w:ascii="仿宋_GB2312" w:hAnsi="仿宋_GB2312" w:eastAsia="仿宋_GB2312" w:cs="仿宋_GB2312"/>
              </w:rPr>
              <w:t>100%-115%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（在职人员控制率）－某部门在职人员控制率</w:t>
            </w:r>
            <w:r>
              <w:rPr>
                <w:rFonts w:ascii="仿宋_GB2312" w:hAnsi="仿宋_GB2312" w:eastAsia="仿宋_GB2312" w:cs="仿宋_GB2312"/>
              </w:rPr>
              <w:t>]/[max</w:t>
            </w:r>
            <w:r>
              <w:rPr>
                <w:rFonts w:ascii="宋体" w:hAnsi="宋体" w:eastAsia="宋体" w:cs="宋体"/>
              </w:rPr>
              <w:t>（在职人员控制率）－</w:t>
            </w:r>
            <w:r>
              <w:rPr>
                <w:rFonts w:ascii="仿宋_GB2312" w:hAnsi="仿宋_GB2312" w:eastAsia="仿宋_GB2312" w:cs="仿宋_GB2312"/>
              </w:rPr>
              <w:t>min</w:t>
            </w:r>
            <w:r>
              <w:rPr>
                <w:rFonts w:ascii="宋体" w:hAnsi="宋体" w:eastAsia="宋体" w:cs="宋体"/>
              </w:rPr>
              <w:t>（在职人员控制率）</w:t>
            </w:r>
            <w:r>
              <w:rPr>
                <w:rFonts w:ascii="仿宋_GB2312" w:hAnsi="仿宋_GB2312" w:eastAsia="仿宋_GB2312" w:cs="仿宋_GB2312"/>
              </w:rPr>
              <w:t>]</w:t>
            </w:r>
            <w:r>
              <w:rPr>
                <w:rFonts w:ascii="宋体" w:hAnsi="宋体" w:eastAsia="宋体" w:cs="宋体"/>
              </w:rPr>
              <w:t>×该指标分值。</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1</w:t>
            </w:r>
          </w:p>
        </w:tc>
      </w:tr>
      <w:tr>
        <w:tblPrEx>
          <w:tblCellMar>
            <w:top w:w="0" w:type="dxa"/>
            <w:left w:w="10" w:type="dxa"/>
            <w:bottom w:w="0" w:type="dxa"/>
            <w:right w:w="10" w:type="dxa"/>
          </w:tblCellMar>
        </w:tblPrEx>
        <w:trPr>
          <w:trHeight w:val="454"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“三公经费”变动率（2分）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ascii="仿宋" w:hAnsi="仿宋" w:eastAsia="仿宋" w:cs="仿宋"/>
                <w:color w:val="000000"/>
              </w:rPr>
              <w:br w:type="textWrapping"/>
            </w:r>
            <w:r>
              <w:rPr>
                <w:rFonts w:ascii="仿宋" w:hAnsi="仿宋" w:eastAsia="仿宋" w:cs="仿宋"/>
                <w:color w:val="000000"/>
              </w:rPr>
              <w:t>“三公经费”：年度预算安排的因公出国（境）费、公务车辆购置及运行费和公务招待费。</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仿宋" w:hAnsi="仿宋" w:eastAsia="仿宋" w:cs="仿宋"/>
                <w:color w:val="000000"/>
              </w:rPr>
              <w:t>“三公经费”变动率</w:t>
            </w:r>
            <w:r>
              <w:rPr>
                <w:rFonts w:ascii="仿宋" w:hAnsi="仿宋" w:eastAsia="仿宋" w:cs="仿宋"/>
              </w:rPr>
              <w:t>小于或等于</w:t>
            </w:r>
            <w:r>
              <w:rPr>
                <w:rFonts w:ascii="仿宋_GB2312" w:hAnsi="仿宋_GB2312" w:eastAsia="仿宋_GB2312" w:cs="仿宋_GB2312"/>
              </w:rPr>
              <w:t>-5%</w:t>
            </w:r>
            <w:r>
              <w:rPr>
                <w:rFonts w:ascii="仿宋" w:hAnsi="仿宋" w:eastAsia="仿宋" w:cs="仿宋"/>
              </w:rPr>
              <w:t>的，得满分；</w:t>
            </w:r>
          </w:p>
          <w:p>
            <w:pPr>
              <w:jc w:val="left"/>
              <w:rPr>
                <w:rFonts w:ascii="Calibri" w:hAnsi="Calibri" w:eastAsia="Calibri" w:cs="Calibri"/>
              </w:rPr>
            </w:pPr>
            <w:r>
              <w:rPr>
                <w:rFonts w:ascii="仿宋_GB2312" w:hAnsi="仿宋_GB2312" w:eastAsia="仿宋_GB2312" w:cs="仿宋_GB2312"/>
              </w:rPr>
              <w:t>2.</w:t>
            </w:r>
            <w:r>
              <w:rPr>
                <w:rFonts w:ascii="仿宋" w:hAnsi="仿宋" w:eastAsia="仿宋" w:cs="仿宋"/>
                <w:color w:val="000000"/>
              </w:rPr>
              <w:t>“三公经费”变动率</w:t>
            </w:r>
            <w:r>
              <w:rPr>
                <w:rFonts w:ascii="仿宋" w:hAnsi="仿宋" w:eastAsia="仿宋" w:cs="仿宋"/>
              </w:rPr>
              <w:t>大于或等于</w:t>
            </w:r>
            <w:r>
              <w:rPr>
                <w:rFonts w:ascii="仿宋_GB2312" w:hAnsi="仿宋_GB2312" w:eastAsia="仿宋_GB2312" w:cs="仿宋_GB2312"/>
              </w:rPr>
              <w:t>10%</w:t>
            </w:r>
            <w:r>
              <w:rPr>
                <w:rFonts w:ascii="仿宋" w:hAnsi="仿宋" w:eastAsia="仿宋" w:cs="仿宋"/>
              </w:rPr>
              <w:t>的，得</w:t>
            </w:r>
            <w:r>
              <w:rPr>
                <w:rFonts w:ascii="仿宋_GB2312" w:hAnsi="仿宋_GB2312" w:eastAsia="仿宋_GB2312" w:cs="仿宋_GB2312"/>
              </w:rPr>
              <w:t>0</w:t>
            </w:r>
            <w:r>
              <w:rPr>
                <w:rFonts w:ascii="仿宋" w:hAnsi="仿宋" w:eastAsia="仿宋" w:cs="仿宋"/>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在职人员控制率在</w:t>
            </w:r>
            <w:r>
              <w:rPr>
                <w:rFonts w:ascii="仿宋_GB2312" w:hAnsi="仿宋_GB2312" w:eastAsia="仿宋_GB2312" w:cs="仿宋_GB2312"/>
              </w:rPr>
              <w:t>-5%-10%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w:t>
            </w:r>
            <w:r>
              <w:rPr>
                <w:rFonts w:ascii="仿宋" w:hAnsi="仿宋" w:eastAsia="仿宋" w:cs="仿宋"/>
                <w:color w:val="000000"/>
              </w:rPr>
              <w:t>“三公经费”变动率</w:t>
            </w:r>
            <w:r>
              <w:rPr>
                <w:rFonts w:ascii="仿宋" w:hAnsi="仿宋" w:eastAsia="仿宋" w:cs="仿宋"/>
              </w:rPr>
              <w:t>）－</w:t>
            </w:r>
            <w:r>
              <w:rPr>
                <w:rFonts w:ascii="仿宋" w:hAnsi="仿宋" w:eastAsia="仿宋" w:cs="仿宋"/>
                <w:color w:val="000000"/>
              </w:rPr>
              <w:t>“三公经费”变动率</w:t>
            </w:r>
            <w:r>
              <w:rPr>
                <w:rFonts w:ascii="仿宋_GB2312" w:hAnsi="仿宋_GB2312" w:eastAsia="仿宋_GB2312" w:cs="仿宋_GB2312"/>
              </w:rPr>
              <w:t>]/[max</w:t>
            </w:r>
            <w:r>
              <w:rPr>
                <w:rFonts w:ascii="仿宋" w:hAnsi="仿宋" w:eastAsia="仿宋" w:cs="仿宋"/>
              </w:rPr>
              <w:t>（</w:t>
            </w:r>
            <w:r>
              <w:rPr>
                <w:rFonts w:ascii="仿宋" w:hAnsi="仿宋" w:eastAsia="仿宋" w:cs="仿宋"/>
                <w:color w:val="000000"/>
              </w:rPr>
              <w:t>“三公经费”变动率</w:t>
            </w:r>
            <w:r>
              <w:rPr>
                <w:rFonts w:ascii="仿宋" w:hAnsi="仿宋" w:eastAsia="仿宋" w:cs="仿宋"/>
              </w:rPr>
              <w:t>）－</w:t>
            </w:r>
            <w:r>
              <w:rPr>
                <w:rFonts w:ascii="仿宋_GB2312" w:hAnsi="仿宋_GB2312" w:eastAsia="仿宋_GB2312" w:cs="仿宋_GB2312"/>
              </w:rPr>
              <w:t>min</w:t>
            </w:r>
            <w:r>
              <w:rPr>
                <w:rFonts w:ascii="仿宋" w:hAnsi="仿宋" w:eastAsia="仿宋" w:cs="仿宋"/>
              </w:rPr>
              <w:t>（</w:t>
            </w:r>
            <w:r>
              <w:rPr>
                <w:rFonts w:ascii="仿宋" w:hAnsi="仿宋" w:eastAsia="仿宋" w:cs="仿宋"/>
                <w:color w:val="000000"/>
              </w:rPr>
              <w:t>“三公经费”变动率</w:t>
            </w:r>
            <w:r>
              <w:rPr>
                <w:rFonts w:ascii="仿宋" w:hAnsi="仿宋" w:eastAsia="仿宋" w:cs="仿宋"/>
              </w:rPr>
              <w:t>）</w:t>
            </w:r>
            <w:r>
              <w:rPr>
                <w:rFonts w:ascii="仿宋_GB2312" w:hAnsi="仿宋_GB2312" w:eastAsia="仿宋_GB2312" w:cs="仿宋_GB2312"/>
              </w:rPr>
              <w:t>]</w:t>
            </w:r>
            <w:r>
              <w:rPr>
                <w:rFonts w:ascii="仿宋" w:hAnsi="仿宋" w:eastAsia="仿宋" w:cs="仿宋"/>
              </w:rPr>
              <w:t>×该指标分值。</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rPr>
          <w:trHeight w:val="454"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重点支出安排率（2分）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部门本年度预算安排的重点项目支出与部门项目总支出的比率，用以反映和考核部门对履行主要职责或完成重点任务的保障程度。重点支出安排率=（重点项目支出/项目总支出）×100%。</w:t>
            </w:r>
            <w:r>
              <w:rPr>
                <w:rFonts w:ascii="仿宋" w:hAnsi="仿宋" w:eastAsia="仿宋" w:cs="仿宋"/>
                <w:color w:val="000000"/>
              </w:rPr>
              <w:br w:type="textWrapping"/>
            </w:r>
            <w:r>
              <w:rPr>
                <w:rFonts w:ascii="仿宋" w:hAnsi="仿宋" w:eastAsia="仿宋" w:cs="仿宋"/>
                <w:color w:val="000000"/>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rPr>
              <w:br w:type="textWrapping"/>
            </w:r>
            <w:r>
              <w:rPr>
                <w:rFonts w:ascii="仿宋" w:hAnsi="仿宋" w:eastAsia="仿宋" w:cs="仿宋"/>
                <w:color w:val="000000"/>
              </w:rPr>
              <w:t>项目总支出：部门（单位）年度预算安排的项目支出总额。</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仿宋" w:hAnsi="仿宋" w:eastAsia="仿宋" w:cs="仿宋"/>
                <w:color w:val="000000"/>
              </w:rPr>
              <w:t>重点支出安排率</w:t>
            </w:r>
            <w:r>
              <w:rPr>
                <w:rFonts w:ascii="仿宋" w:hAnsi="仿宋" w:eastAsia="仿宋" w:cs="仿宋"/>
              </w:rPr>
              <w:t>大于或等于</w:t>
            </w:r>
            <w:r>
              <w:rPr>
                <w:rFonts w:ascii="仿宋_GB2312" w:hAnsi="仿宋_GB2312" w:eastAsia="仿宋_GB2312" w:cs="仿宋_GB2312"/>
              </w:rPr>
              <w:t>95%</w:t>
            </w:r>
            <w:r>
              <w:rPr>
                <w:rFonts w:ascii="仿宋" w:hAnsi="仿宋" w:eastAsia="仿宋" w:cs="仿宋"/>
              </w:rPr>
              <w:t>的，得满分；</w:t>
            </w:r>
          </w:p>
          <w:p>
            <w:pPr>
              <w:jc w:val="left"/>
              <w:rPr>
                <w:rFonts w:ascii="Calibri" w:hAnsi="Calibri" w:eastAsia="Calibri" w:cs="Calibri"/>
              </w:rPr>
            </w:pPr>
            <w:r>
              <w:rPr>
                <w:rFonts w:ascii="仿宋_GB2312" w:hAnsi="仿宋_GB2312" w:eastAsia="仿宋_GB2312" w:cs="仿宋_GB2312"/>
              </w:rPr>
              <w:t>2.</w:t>
            </w:r>
            <w:r>
              <w:rPr>
                <w:rFonts w:ascii="仿宋" w:hAnsi="仿宋" w:eastAsia="仿宋" w:cs="仿宋"/>
                <w:color w:val="000000"/>
              </w:rPr>
              <w:t>重点支出安排率</w:t>
            </w:r>
            <w:r>
              <w:rPr>
                <w:rFonts w:ascii="仿宋" w:hAnsi="仿宋" w:eastAsia="仿宋" w:cs="仿宋"/>
              </w:rPr>
              <w:t>小于或等于</w:t>
            </w:r>
            <w:r>
              <w:rPr>
                <w:rFonts w:ascii="仿宋_GB2312" w:hAnsi="仿宋_GB2312" w:eastAsia="仿宋_GB2312" w:cs="仿宋_GB2312"/>
              </w:rPr>
              <w:t>85%</w:t>
            </w:r>
            <w:r>
              <w:rPr>
                <w:rFonts w:ascii="仿宋" w:hAnsi="仿宋" w:eastAsia="仿宋" w:cs="仿宋"/>
              </w:rPr>
              <w:t>的，得</w:t>
            </w:r>
            <w:r>
              <w:rPr>
                <w:rFonts w:ascii="仿宋_GB2312" w:hAnsi="仿宋_GB2312" w:eastAsia="仿宋_GB2312" w:cs="仿宋_GB2312"/>
              </w:rPr>
              <w:t>0</w:t>
            </w:r>
            <w:r>
              <w:rPr>
                <w:rFonts w:ascii="仿宋" w:hAnsi="仿宋" w:eastAsia="仿宋" w:cs="仿宋"/>
              </w:rPr>
              <w:t>分；</w:t>
            </w:r>
          </w:p>
          <w:p>
            <w:pPr>
              <w:jc w:val="left"/>
              <w:rPr>
                <w:rFonts w:ascii="Calibri" w:hAnsi="Calibri" w:eastAsia="Calibri" w:cs="Calibri"/>
              </w:rPr>
            </w:pPr>
            <w:r>
              <w:rPr>
                <w:rFonts w:ascii="仿宋_GB2312" w:hAnsi="仿宋_GB2312" w:eastAsia="仿宋_GB2312" w:cs="仿宋_GB2312"/>
              </w:rPr>
              <w:t>3.</w:t>
            </w:r>
            <w:r>
              <w:rPr>
                <w:rFonts w:ascii="仿宋" w:hAnsi="仿宋" w:eastAsia="仿宋" w:cs="仿宋"/>
                <w:color w:val="000000"/>
              </w:rPr>
              <w:t>重点支出安排率</w:t>
            </w:r>
            <w:r>
              <w:rPr>
                <w:rFonts w:ascii="仿宋" w:hAnsi="仿宋" w:eastAsia="仿宋" w:cs="仿宋"/>
              </w:rPr>
              <w:t>在</w:t>
            </w:r>
            <w:r>
              <w:rPr>
                <w:rFonts w:ascii="仿宋_GB2312" w:hAnsi="仿宋_GB2312" w:eastAsia="仿宋_GB2312" w:cs="仿宋_GB2312"/>
              </w:rPr>
              <w:t>85%-95%</w:t>
            </w:r>
            <w:r>
              <w:rPr>
                <w:rFonts w:ascii="仿宋" w:hAnsi="仿宋" w:eastAsia="仿宋" w:cs="仿宋"/>
              </w:rPr>
              <w:t>之间的，在</w:t>
            </w:r>
            <w:r>
              <w:rPr>
                <w:rFonts w:ascii="仿宋_GB2312" w:hAnsi="仿宋_GB2312" w:eastAsia="仿宋_GB2312" w:cs="仿宋_GB2312"/>
              </w:rPr>
              <w:t>0</w:t>
            </w:r>
            <w:r>
              <w:rPr>
                <w:rFonts w:ascii="仿宋" w:hAnsi="仿宋" w:eastAsia="仿宋" w:cs="仿宋"/>
              </w:rPr>
              <w:t>分和满分之间计算确定：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w:t>
            </w:r>
            <w:r>
              <w:rPr>
                <w:rFonts w:ascii="仿宋" w:hAnsi="仿宋" w:eastAsia="仿宋" w:cs="仿宋"/>
                <w:color w:val="000000"/>
              </w:rPr>
              <w:t>重点支出安排率</w:t>
            </w:r>
            <w:r>
              <w:rPr>
                <w:rFonts w:ascii="仿宋_GB2312" w:hAnsi="仿宋_GB2312" w:eastAsia="仿宋_GB2312" w:cs="仿宋_GB2312"/>
              </w:rPr>
              <w:t>-min</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]/[max</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min</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w:t>
            </w:r>
            <w:r>
              <w:rPr>
                <w:rFonts w:ascii="仿宋" w:hAnsi="仿宋" w:eastAsia="仿宋" w:cs="仿宋"/>
              </w:rPr>
              <w:t>×该指标分值。</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rPr>
          <w:trHeight w:val="68"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过程</w:t>
            </w:r>
            <w:r>
              <w:rPr>
                <w:rFonts w:ascii="仿宋_GB2312" w:hAnsi="仿宋_GB2312" w:eastAsia="仿宋_GB2312" w:cs="仿宋_GB2312"/>
              </w:rPr>
              <w:t>(45</w:t>
            </w:r>
            <w:r>
              <w:rPr>
                <w:rFonts w:ascii="宋体" w:hAnsi="宋体" w:eastAsia="宋体" w:cs="宋体"/>
              </w:rPr>
              <w:t>分</w:t>
            </w:r>
            <w:r>
              <w:rPr>
                <w:rFonts w:ascii="仿宋_GB2312" w:hAnsi="仿宋_GB2312" w:eastAsia="仿宋_GB2312" w:cs="仿宋_GB2312"/>
              </w:rPr>
              <w:t>)</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预算执行情况</w:t>
            </w:r>
            <w:r>
              <w:rPr>
                <w:rFonts w:ascii="仿宋_GB2312" w:hAnsi="仿宋_GB2312" w:eastAsia="仿宋_GB2312" w:cs="仿宋_GB2312"/>
              </w:rPr>
              <w:t>(25</w:t>
            </w:r>
            <w:r>
              <w:rPr>
                <w:rFonts w:ascii="宋体" w:hAnsi="宋体" w:eastAsia="宋体" w:cs="宋体"/>
              </w:rPr>
              <w:t>分</w:t>
            </w:r>
            <w:r>
              <w:rPr>
                <w:rFonts w:ascii="仿宋_GB2312" w:hAnsi="仿宋_GB2312" w:eastAsia="仿宋_GB2312" w:cs="仿宋_GB2312"/>
              </w:rPr>
              <w:t>)</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预算完成率（</w:t>
            </w:r>
            <w:r>
              <w:rPr>
                <w:rFonts w:ascii="仿宋_GB2312" w:hAnsi="仿宋_GB2312" w:eastAsia="仿宋_GB2312" w:cs="仿宋_GB2312"/>
              </w:rPr>
              <w:t>5</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通过对部门本年度预算完成数与预算数的比较，反映和评价部门预算的完成程度。</w:t>
            </w:r>
          </w:p>
          <w:p>
            <w:pPr>
              <w:jc w:val="left"/>
            </w:pPr>
            <w:r>
              <w:rPr>
                <w:rFonts w:ascii="宋体" w:hAnsi="宋体" w:eastAsia="宋体" w:cs="宋体"/>
              </w:rPr>
              <w:t>预算完成率</w:t>
            </w:r>
            <w:r>
              <w:rPr>
                <w:rFonts w:ascii="仿宋_GB2312" w:hAnsi="仿宋_GB2312" w:eastAsia="仿宋_GB2312" w:cs="仿宋_GB2312"/>
              </w:rPr>
              <w:t>=</w:t>
            </w:r>
            <w:r>
              <w:rPr>
                <w:rFonts w:ascii="宋体" w:hAnsi="宋体" w:eastAsia="宋体" w:cs="宋体"/>
              </w:rPr>
              <w:t>（预算完成数</w:t>
            </w:r>
            <w:r>
              <w:rPr>
                <w:rFonts w:ascii="仿宋_GB2312" w:hAnsi="仿宋_GB2312" w:eastAsia="仿宋_GB2312" w:cs="仿宋_GB2312"/>
              </w:rPr>
              <w:t>/</w:t>
            </w:r>
            <w:r>
              <w:rPr>
                <w:rFonts w:ascii="宋体" w:hAnsi="宋体" w:eastAsia="宋体" w:cs="宋体"/>
              </w:rPr>
              <w:t>预算数）×</w:t>
            </w:r>
            <w:r>
              <w:rPr>
                <w:rFonts w:ascii="仿宋_GB2312" w:hAnsi="仿宋_GB2312" w:eastAsia="仿宋_GB2312" w:cs="仿宋_GB2312"/>
              </w:rPr>
              <w:t>100%</w:t>
            </w:r>
            <w:r>
              <w:rPr>
                <w:rFonts w:ascii="宋体" w:hAnsi="宋体" w:eastAsia="宋体" w:cs="宋体"/>
              </w:rPr>
              <w:t>。</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预算完成率大于或等于</w:t>
            </w:r>
            <w:r>
              <w:rPr>
                <w:rFonts w:ascii="仿宋_GB2312" w:hAnsi="仿宋_GB2312" w:eastAsia="仿宋_GB2312" w:cs="仿宋_GB2312"/>
              </w:rPr>
              <w:t>95%</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预算完成率小于或等于</w:t>
            </w:r>
            <w:r>
              <w:rPr>
                <w:rFonts w:ascii="仿宋_GB2312" w:hAnsi="仿宋_GB2312" w:eastAsia="仿宋_GB2312" w:cs="仿宋_GB2312"/>
              </w:rPr>
              <w:t>85%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预算完成率在</w:t>
            </w:r>
            <w:r>
              <w:rPr>
                <w:rFonts w:ascii="仿宋_GB2312" w:hAnsi="仿宋_GB2312" w:eastAsia="仿宋_GB2312" w:cs="仿宋_GB2312"/>
              </w:rPr>
              <w:t>85%-95%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某部门预算完成率</w:t>
            </w:r>
            <w:r>
              <w:rPr>
                <w:rFonts w:ascii="仿宋_GB2312" w:hAnsi="仿宋_GB2312" w:eastAsia="仿宋_GB2312" w:cs="仿宋_GB2312"/>
              </w:rPr>
              <w:t>-min</w:t>
            </w:r>
            <w:r>
              <w:rPr>
                <w:rFonts w:ascii="宋体" w:hAnsi="宋体" w:eastAsia="宋体" w:cs="宋体"/>
              </w:rPr>
              <w:t>（预算完成率）</w:t>
            </w:r>
            <w:r>
              <w:rPr>
                <w:rFonts w:ascii="仿宋_GB2312" w:hAnsi="仿宋_GB2312" w:eastAsia="仿宋_GB2312" w:cs="仿宋_GB2312"/>
              </w:rPr>
              <w:t>]/[max</w:t>
            </w:r>
            <w:r>
              <w:rPr>
                <w:rFonts w:ascii="宋体" w:hAnsi="宋体" w:eastAsia="宋体" w:cs="宋体"/>
              </w:rPr>
              <w:t>（预算完成率）－</w:t>
            </w:r>
            <w:r>
              <w:rPr>
                <w:rFonts w:ascii="仿宋_GB2312" w:hAnsi="仿宋_GB2312" w:eastAsia="仿宋_GB2312" w:cs="仿宋_GB2312"/>
              </w:rPr>
              <w:t>min</w:t>
            </w:r>
            <w:r>
              <w:rPr>
                <w:rFonts w:ascii="宋体" w:hAnsi="宋体" w:eastAsia="宋体" w:cs="宋体"/>
              </w:rPr>
              <w:t>（预算完成率）</w:t>
            </w:r>
            <w:r>
              <w:rPr>
                <w:rFonts w:ascii="仿宋_GB2312" w:hAnsi="仿宋_GB2312" w:eastAsia="仿宋_GB2312" w:cs="仿宋_GB2312"/>
              </w:rPr>
              <w:t>]</w:t>
            </w:r>
            <w:r>
              <w:rPr>
                <w:rFonts w:ascii="宋体" w:hAnsi="宋体" w:eastAsia="宋体" w:cs="宋体"/>
              </w:rPr>
              <w:t>×该指标分值。</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rPr>
          <w:trHeight w:val="6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预算调整率（</w:t>
            </w:r>
            <w:r>
              <w:rPr>
                <w:rFonts w:ascii="仿宋_GB2312" w:hAnsi="仿宋_GB2312" w:eastAsia="仿宋_GB2312" w:cs="仿宋_GB2312"/>
              </w:rPr>
              <w:t>3</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部门本年度预算调整数与预算数的比率，用以反映和评价部门预算的调整程度。</w:t>
            </w:r>
          </w:p>
          <w:p>
            <w:pPr>
              <w:jc w:val="left"/>
            </w:pPr>
            <w:r>
              <w:rPr>
                <w:rFonts w:ascii="宋体" w:hAnsi="宋体" w:eastAsia="宋体" w:cs="宋体"/>
              </w:rPr>
              <w:t>预算调整率</w:t>
            </w:r>
            <w:r>
              <w:rPr>
                <w:rFonts w:ascii="仿宋_GB2312" w:hAnsi="仿宋_GB2312" w:eastAsia="仿宋_GB2312" w:cs="仿宋_GB2312"/>
              </w:rPr>
              <w:t>=</w:t>
            </w:r>
            <w:r>
              <w:rPr>
                <w:rFonts w:ascii="宋体" w:hAnsi="宋体" w:eastAsia="宋体" w:cs="宋体"/>
              </w:rPr>
              <w:t>（预算调整数</w:t>
            </w:r>
            <w:r>
              <w:rPr>
                <w:rFonts w:ascii="仿宋_GB2312" w:hAnsi="仿宋_GB2312" w:eastAsia="仿宋_GB2312" w:cs="仿宋_GB2312"/>
              </w:rPr>
              <w:t>/</w:t>
            </w:r>
            <w:r>
              <w:rPr>
                <w:rFonts w:ascii="宋体" w:hAnsi="宋体" w:eastAsia="宋体" w:cs="宋体"/>
              </w:rPr>
              <w:t>预算数）×</w:t>
            </w:r>
            <w:r>
              <w:rPr>
                <w:rFonts w:ascii="仿宋_GB2312" w:hAnsi="仿宋_GB2312" w:eastAsia="仿宋_GB2312" w:cs="仿宋_GB2312"/>
              </w:rPr>
              <w:t>100%</w:t>
            </w:r>
            <w:r>
              <w:rPr>
                <w:rFonts w:ascii="宋体" w:hAnsi="宋体" w:eastAsia="宋体" w:cs="宋体"/>
              </w:rPr>
              <w:t>。</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预算调整率等于</w:t>
            </w:r>
            <w:r>
              <w:rPr>
                <w:rFonts w:ascii="仿宋_GB2312" w:hAnsi="仿宋_GB2312" w:eastAsia="仿宋_GB2312" w:cs="仿宋_GB2312"/>
              </w:rPr>
              <w:t>0</w:t>
            </w:r>
            <w:r>
              <w:rPr>
                <w:rFonts w:ascii="宋体" w:hAnsi="宋体" w:eastAsia="宋体" w:cs="宋体"/>
              </w:rPr>
              <w:t>的，得满分；</w:t>
            </w:r>
            <w:r>
              <w:rPr>
                <w:rFonts w:ascii="仿宋_GB2312" w:hAnsi="仿宋_GB2312" w:eastAsia="仿宋_GB2312" w:cs="仿宋_GB2312"/>
              </w:rPr>
              <w:t xml:space="preserve"> </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预算调整率大于或等于</w:t>
            </w:r>
            <w:r>
              <w:rPr>
                <w:rFonts w:ascii="仿宋_GB2312" w:hAnsi="仿宋_GB2312" w:eastAsia="仿宋_GB2312" w:cs="仿宋_GB2312"/>
              </w:rPr>
              <w:t>10%</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预算调整率在</w:t>
            </w:r>
            <w:r>
              <w:rPr>
                <w:rFonts w:ascii="仿宋_GB2312" w:hAnsi="仿宋_GB2312" w:eastAsia="仿宋_GB2312" w:cs="仿宋_GB2312"/>
              </w:rPr>
              <w:t>0-10%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（预算调整率）</w:t>
            </w:r>
            <w:r>
              <w:rPr>
                <w:rFonts w:ascii="仿宋_GB2312" w:hAnsi="仿宋_GB2312" w:eastAsia="仿宋_GB2312" w:cs="仿宋_GB2312"/>
              </w:rPr>
              <w:t>-</w:t>
            </w:r>
            <w:r>
              <w:rPr>
                <w:rFonts w:ascii="宋体" w:hAnsi="宋体" w:eastAsia="宋体" w:cs="宋体"/>
              </w:rPr>
              <w:t>某部门预算调整率］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（预算调整率）</w:t>
            </w:r>
            <w:r>
              <w:rPr>
                <w:rFonts w:ascii="仿宋_GB2312" w:hAnsi="仿宋_GB2312" w:eastAsia="仿宋_GB2312" w:cs="仿宋_GB2312"/>
              </w:rPr>
              <w:t>-min</w:t>
            </w:r>
            <w:r>
              <w:rPr>
                <w:rFonts w:ascii="宋体" w:hAnsi="宋体" w:eastAsia="宋体" w:cs="宋体"/>
              </w:rPr>
              <w:t>（预算调整率）］×该指标分值。</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3</w:t>
            </w:r>
          </w:p>
        </w:tc>
      </w:tr>
      <w:tr>
        <w:tblPrEx>
          <w:tblCellMar>
            <w:top w:w="0" w:type="dxa"/>
            <w:left w:w="10" w:type="dxa"/>
            <w:bottom w:w="0" w:type="dxa"/>
            <w:right w:w="10" w:type="dxa"/>
          </w:tblCellMar>
        </w:tblPrEx>
        <w:trPr>
          <w:trHeight w:val="184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支付进度率</w:t>
            </w: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部门年度支付数与年度任务数的比率，用以反映和评价部门预算执行的及时和均衡程度。</w:t>
            </w:r>
          </w:p>
          <w:p>
            <w:pPr>
              <w:jc w:val="left"/>
            </w:pPr>
            <w:r>
              <w:rPr>
                <w:rFonts w:ascii="宋体" w:hAnsi="宋体" w:eastAsia="宋体" w:cs="宋体"/>
              </w:rPr>
              <w:t>支付进度率</w:t>
            </w:r>
            <w:r>
              <w:rPr>
                <w:rFonts w:ascii="仿宋_GB2312" w:hAnsi="仿宋_GB2312" w:eastAsia="仿宋_GB2312" w:cs="仿宋_GB2312"/>
              </w:rPr>
              <w:t>=</w:t>
            </w:r>
            <w:r>
              <w:rPr>
                <w:rFonts w:ascii="宋体" w:hAnsi="宋体" w:eastAsia="宋体" w:cs="宋体"/>
              </w:rPr>
              <w:t>（年度支付数</w:t>
            </w:r>
            <w:r>
              <w:rPr>
                <w:rFonts w:ascii="仿宋_GB2312" w:hAnsi="仿宋_GB2312" w:eastAsia="仿宋_GB2312" w:cs="仿宋_GB2312"/>
              </w:rPr>
              <w:t>/</w:t>
            </w:r>
            <w:r>
              <w:rPr>
                <w:rFonts w:ascii="宋体" w:hAnsi="宋体" w:eastAsia="宋体" w:cs="宋体"/>
              </w:rPr>
              <w:t>年度任务数）×</w:t>
            </w:r>
            <w:r>
              <w:rPr>
                <w:rFonts w:ascii="仿宋_GB2312" w:hAnsi="仿宋_GB2312" w:eastAsia="仿宋_GB2312" w:cs="仿宋_GB2312"/>
              </w:rPr>
              <w:t>100%</w:t>
            </w:r>
            <w:r>
              <w:rPr>
                <w:rFonts w:ascii="宋体" w:hAnsi="宋体" w:eastAsia="宋体" w:cs="宋体"/>
              </w:rPr>
              <w:t>。</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按年度的执行情况进行打分。得分</w:t>
            </w:r>
            <w:r>
              <w:rPr>
                <w:rFonts w:ascii="仿宋_GB2312" w:hAnsi="仿宋_GB2312" w:eastAsia="仿宋_GB2312" w:cs="仿宋_GB2312"/>
              </w:rPr>
              <w:t>=</w:t>
            </w:r>
            <w:r>
              <w:rPr>
                <w:rFonts w:ascii="宋体" w:hAnsi="宋体" w:eastAsia="宋体" w:cs="宋体"/>
              </w:rPr>
              <w:t>年度支付数</w:t>
            </w:r>
            <w:r>
              <w:rPr>
                <w:rFonts w:ascii="仿宋_GB2312" w:hAnsi="仿宋_GB2312" w:eastAsia="仿宋_GB2312" w:cs="仿宋_GB2312"/>
              </w:rPr>
              <w:t>/</w:t>
            </w:r>
            <w:r>
              <w:rPr>
                <w:rFonts w:ascii="宋体" w:hAnsi="宋体" w:eastAsia="宋体" w:cs="宋体"/>
              </w:rPr>
              <w:t>年度任务数×该指标分值。</w:t>
            </w:r>
          </w:p>
          <w:p>
            <w:pPr>
              <w:jc w:val="left"/>
            </w:pP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rPr>
          <w:trHeight w:val="1274"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结转结余率（</w:t>
            </w:r>
            <w:r>
              <w:rPr>
                <w:rFonts w:ascii="仿宋_GB2312" w:hAnsi="仿宋_GB2312" w:eastAsia="仿宋_GB2312" w:cs="仿宋_GB2312"/>
              </w:rPr>
              <w:t>4</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通过对部门本年度结转结余总额与支出预算数的比较，反映和评价部门对本年度结转结余资金的实际控制程度。</w:t>
            </w:r>
          </w:p>
          <w:p>
            <w:pPr>
              <w:jc w:val="left"/>
            </w:pPr>
            <w:r>
              <w:rPr>
                <w:rFonts w:ascii="宋体" w:hAnsi="宋体" w:eastAsia="宋体" w:cs="宋体"/>
              </w:rPr>
              <w:t>结转结余率</w:t>
            </w:r>
            <w:r>
              <w:rPr>
                <w:rFonts w:ascii="仿宋_GB2312" w:hAnsi="仿宋_GB2312" w:eastAsia="仿宋_GB2312" w:cs="仿宋_GB2312"/>
              </w:rPr>
              <w:t>=</w:t>
            </w:r>
            <w:r>
              <w:rPr>
                <w:rFonts w:ascii="宋体" w:hAnsi="宋体" w:eastAsia="宋体" w:cs="宋体"/>
              </w:rPr>
              <w:t>（结转结余总额</w:t>
            </w:r>
            <w:r>
              <w:rPr>
                <w:rFonts w:ascii="仿宋_GB2312" w:hAnsi="仿宋_GB2312" w:eastAsia="仿宋_GB2312" w:cs="仿宋_GB2312"/>
              </w:rPr>
              <w:t>/</w:t>
            </w:r>
            <w:r>
              <w:rPr>
                <w:rFonts w:ascii="宋体" w:hAnsi="宋体" w:eastAsia="宋体" w:cs="宋体"/>
              </w:rPr>
              <w:t>支出预算数）×</w:t>
            </w:r>
            <w:r>
              <w:rPr>
                <w:rFonts w:ascii="仿宋_GB2312" w:hAnsi="仿宋_GB2312" w:eastAsia="仿宋_GB2312" w:cs="仿宋_GB2312"/>
              </w:rPr>
              <w:t>100%</w:t>
            </w:r>
            <w:r>
              <w:rPr>
                <w:rFonts w:ascii="宋体" w:hAnsi="宋体" w:eastAsia="宋体" w:cs="宋体"/>
              </w:rPr>
              <w:t>。</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结转结余率等于</w:t>
            </w:r>
            <w:r>
              <w:rPr>
                <w:rFonts w:ascii="仿宋_GB2312" w:hAnsi="仿宋_GB2312" w:eastAsia="仿宋_GB2312" w:cs="仿宋_GB2312"/>
              </w:rPr>
              <w:t>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结转结余率大于或等于</w:t>
            </w:r>
            <w:r>
              <w:rPr>
                <w:rFonts w:ascii="仿宋_GB2312" w:hAnsi="仿宋_GB2312" w:eastAsia="仿宋_GB2312" w:cs="仿宋_GB2312"/>
              </w:rPr>
              <w:t>50%</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结转结余率在</w:t>
            </w:r>
            <w:r>
              <w:rPr>
                <w:rFonts w:ascii="仿宋_GB2312" w:hAnsi="仿宋_GB2312" w:eastAsia="仿宋_GB2312" w:cs="仿宋_GB2312"/>
              </w:rPr>
              <w:t>0-50%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（结转结余率）－某部门结转结余率</w:t>
            </w:r>
            <w:r>
              <w:rPr>
                <w:rFonts w:ascii="仿宋_GB2312" w:hAnsi="仿宋_GB2312" w:eastAsia="仿宋_GB2312" w:cs="仿宋_GB2312"/>
              </w:rPr>
              <w:t>]/[max</w:t>
            </w:r>
            <w:r>
              <w:rPr>
                <w:rFonts w:ascii="宋体" w:hAnsi="宋体" w:eastAsia="宋体" w:cs="宋体"/>
              </w:rPr>
              <w:t>（结转结余率）－</w:t>
            </w:r>
            <w:r>
              <w:rPr>
                <w:rFonts w:ascii="仿宋_GB2312" w:hAnsi="仿宋_GB2312" w:eastAsia="仿宋_GB2312" w:cs="仿宋_GB2312"/>
              </w:rPr>
              <w:t>min</w:t>
            </w:r>
            <w:r>
              <w:rPr>
                <w:rFonts w:ascii="宋体" w:hAnsi="宋体" w:eastAsia="宋体" w:cs="宋体"/>
              </w:rPr>
              <w:t>（结转结余率）</w:t>
            </w:r>
            <w:r>
              <w:rPr>
                <w:rFonts w:ascii="仿宋_GB2312" w:hAnsi="仿宋_GB2312" w:eastAsia="仿宋_GB2312" w:cs="仿宋_GB2312"/>
              </w:rPr>
              <w:t>]</w:t>
            </w:r>
            <w:r>
              <w:rPr>
                <w:rFonts w:ascii="宋体" w:hAnsi="宋体" w:eastAsia="宋体" w:cs="宋体"/>
              </w:rPr>
              <w:t>×该指标分值。</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4</w:t>
            </w:r>
          </w:p>
        </w:tc>
      </w:tr>
      <w:tr>
        <w:tblPrEx>
          <w:tblCellMar>
            <w:top w:w="0" w:type="dxa"/>
            <w:left w:w="10" w:type="dxa"/>
            <w:bottom w:w="0" w:type="dxa"/>
            <w:right w:w="10" w:type="dxa"/>
          </w:tblCellMar>
        </w:tblPrEx>
        <w:trPr>
          <w:trHeight w:val="161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公用经费控制率（</w:t>
            </w:r>
            <w:r>
              <w:rPr>
                <w:rFonts w:ascii="仿宋_GB2312" w:hAnsi="仿宋_GB2312" w:eastAsia="仿宋_GB2312" w:cs="仿宋_GB2312"/>
              </w:rPr>
              <w:t>4</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通过对部门本年度实际支出的公用经费总额与预算安排的公用经费总额的比率，反映和评价部门对机构运转成本的实际控制程度。</w:t>
            </w:r>
          </w:p>
          <w:p>
            <w:pPr>
              <w:jc w:val="left"/>
            </w:pPr>
            <w:r>
              <w:rPr>
                <w:rFonts w:ascii="宋体" w:hAnsi="宋体" w:eastAsia="宋体" w:cs="宋体"/>
              </w:rPr>
              <w:t>公用经费控制率</w:t>
            </w:r>
            <w:r>
              <w:rPr>
                <w:rFonts w:ascii="仿宋_GB2312" w:hAnsi="仿宋_GB2312" w:eastAsia="仿宋_GB2312" w:cs="仿宋_GB2312"/>
              </w:rPr>
              <w:t>=</w:t>
            </w:r>
            <w:r>
              <w:rPr>
                <w:rFonts w:ascii="宋体" w:hAnsi="宋体" w:eastAsia="宋体" w:cs="宋体"/>
              </w:rPr>
              <w:t>（实际支出公用经费总额</w:t>
            </w:r>
            <w:r>
              <w:rPr>
                <w:rFonts w:ascii="仿宋_GB2312" w:hAnsi="仿宋_GB2312" w:eastAsia="仿宋_GB2312" w:cs="仿宋_GB2312"/>
              </w:rPr>
              <w:t>/</w:t>
            </w:r>
            <w:r>
              <w:rPr>
                <w:rFonts w:ascii="宋体" w:hAnsi="宋体" w:eastAsia="宋体" w:cs="宋体"/>
              </w:rPr>
              <w:t>预算安排公用经费总额）×</w:t>
            </w:r>
            <w:r>
              <w:rPr>
                <w:rFonts w:ascii="仿宋_GB2312" w:hAnsi="仿宋_GB2312" w:eastAsia="仿宋_GB2312" w:cs="仿宋_GB2312"/>
              </w:rPr>
              <w:t>100%</w:t>
            </w:r>
            <w:r>
              <w:rPr>
                <w:rFonts w:ascii="宋体" w:hAnsi="宋体" w:eastAsia="宋体" w:cs="宋体"/>
              </w:rPr>
              <w:t>。</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公用经费控制率小于或等于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公用经费控制率大于或等于</w:t>
            </w:r>
            <w:r>
              <w:rPr>
                <w:rFonts w:ascii="仿宋_GB2312" w:hAnsi="仿宋_GB2312" w:eastAsia="仿宋_GB2312" w:cs="仿宋_GB2312"/>
              </w:rPr>
              <w:t>105%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公用经费控制率在</w:t>
            </w:r>
            <w:r>
              <w:rPr>
                <w:rFonts w:ascii="仿宋_GB2312" w:hAnsi="仿宋_GB2312" w:eastAsia="仿宋_GB2312" w:cs="仿宋_GB2312"/>
              </w:rPr>
              <w:t>100%-105%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（公用经费控制率）</w:t>
            </w:r>
            <w:r>
              <w:rPr>
                <w:rFonts w:ascii="仿宋_GB2312" w:hAnsi="仿宋_GB2312" w:eastAsia="仿宋_GB2312" w:cs="仿宋_GB2312"/>
              </w:rPr>
              <w:t>-</w:t>
            </w:r>
            <w:r>
              <w:rPr>
                <w:rFonts w:ascii="宋体" w:hAnsi="宋体" w:eastAsia="宋体" w:cs="宋体"/>
              </w:rPr>
              <w:t>某部门公用经费控制率］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（公用经费控制率）</w:t>
            </w:r>
            <w:r>
              <w:rPr>
                <w:rFonts w:ascii="仿宋_GB2312" w:hAnsi="仿宋_GB2312" w:eastAsia="仿宋_GB2312" w:cs="仿宋_GB2312"/>
              </w:rPr>
              <w:t>-min</w:t>
            </w:r>
            <w:r>
              <w:rPr>
                <w:rFonts w:ascii="宋体" w:hAnsi="宋体" w:eastAsia="宋体" w:cs="宋体"/>
              </w:rPr>
              <w:t>（公用经费控制率）］×该指标分值。</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4</w:t>
            </w:r>
          </w:p>
        </w:tc>
      </w:tr>
      <w:tr>
        <w:tblPrEx>
          <w:tblCellMar>
            <w:top w:w="0" w:type="dxa"/>
            <w:left w:w="10" w:type="dxa"/>
            <w:bottom w:w="0" w:type="dxa"/>
            <w:right w:w="10" w:type="dxa"/>
          </w:tblCellMar>
        </w:tblPrEx>
        <w:trPr>
          <w:trHeight w:val="11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政府采购执行率（</w:t>
            </w:r>
            <w:r>
              <w:rPr>
                <w:rFonts w:ascii="仿宋_GB2312" w:hAnsi="仿宋_GB2312" w:eastAsia="仿宋_GB2312" w:cs="仿宋_GB2312"/>
              </w:rPr>
              <w:t>4</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通过对部门本年度实际政府采购预算项目个数与政府采购预算项目个数的比较，反映和评价部门政府采购预算执行情况。</w:t>
            </w:r>
          </w:p>
          <w:p>
            <w:pPr>
              <w:jc w:val="left"/>
              <w:rPr>
                <w:rFonts w:ascii="Calibri" w:hAnsi="Calibri" w:eastAsia="Calibri" w:cs="Calibri"/>
              </w:rPr>
            </w:pPr>
            <w:r>
              <w:rPr>
                <w:rFonts w:ascii="宋体" w:hAnsi="宋体" w:eastAsia="宋体" w:cs="宋体"/>
              </w:rPr>
              <w:t>政府采购执行率</w:t>
            </w:r>
            <w:r>
              <w:rPr>
                <w:rFonts w:ascii="仿宋_GB2312" w:hAnsi="仿宋_GB2312" w:eastAsia="仿宋_GB2312" w:cs="仿宋_GB2312"/>
              </w:rPr>
              <w:t>=</w:t>
            </w:r>
            <w:r>
              <w:rPr>
                <w:rFonts w:ascii="宋体" w:hAnsi="宋体" w:eastAsia="宋体" w:cs="宋体"/>
              </w:rPr>
              <w:t>（实际政府采购预算项目个数</w:t>
            </w:r>
            <w:r>
              <w:rPr>
                <w:rFonts w:ascii="仿宋_GB2312" w:hAnsi="仿宋_GB2312" w:eastAsia="仿宋_GB2312" w:cs="仿宋_GB2312"/>
              </w:rPr>
              <w:t>/</w:t>
            </w:r>
            <w:r>
              <w:rPr>
                <w:rFonts w:ascii="宋体" w:hAnsi="宋体" w:eastAsia="宋体" w:cs="宋体"/>
              </w:rPr>
              <w:t>政府采购预算项目个数）×</w:t>
            </w:r>
            <w:r>
              <w:rPr>
                <w:rFonts w:ascii="仿宋_GB2312" w:hAnsi="仿宋_GB2312" w:eastAsia="仿宋_GB2312" w:cs="仿宋_GB2312"/>
              </w:rPr>
              <w:t>100%</w:t>
            </w:r>
            <w:r>
              <w:rPr>
                <w:rFonts w:ascii="宋体" w:hAnsi="宋体" w:eastAsia="宋体" w:cs="宋体"/>
              </w:rPr>
              <w:t>。</w:t>
            </w:r>
          </w:p>
          <w:p>
            <w:pPr>
              <w:jc w:val="left"/>
            </w:pPr>
            <w:r>
              <w:rPr>
                <w:rFonts w:ascii="宋体" w:hAnsi="宋体" w:eastAsia="宋体" w:cs="宋体"/>
              </w:rPr>
              <w:t>政府采购项目中非预算内安排的项目除外。</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政府采购执行率等于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政府采购执行率小于或等于</w:t>
            </w:r>
            <w:r>
              <w:rPr>
                <w:rFonts w:ascii="仿宋_GB2312" w:hAnsi="仿宋_GB2312" w:eastAsia="仿宋_GB2312" w:cs="仿宋_GB2312"/>
              </w:rPr>
              <w:t>90%</w:t>
            </w:r>
            <w:r>
              <w:rPr>
                <w:rFonts w:ascii="宋体" w:hAnsi="宋体" w:eastAsia="宋体" w:cs="宋体"/>
              </w:rPr>
              <w:t>的，</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政府采购执行率在</w:t>
            </w:r>
            <w:r>
              <w:rPr>
                <w:rFonts w:ascii="仿宋_GB2312" w:hAnsi="仿宋_GB2312" w:eastAsia="仿宋_GB2312" w:cs="仿宋_GB2312"/>
              </w:rPr>
              <w:t>90%-100%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［某部门政府采购执行率</w:t>
            </w:r>
            <w:r>
              <w:rPr>
                <w:rFonts w:ascii="仿宋_GB2312" w:hAnsi="仿宋_GB2312" w:eastAsia="仿宋_GB2312" w:cs="仿宋_GB2312"/>
              </w:rPr>
              <w:t>-min</w:t>
            </w:r>
            <w:r>
              <w:rPr>
                <w:rFonts w:ascii="宋体" w:hAnsi="宋体" w:eastAsia="宋体" w:cs="宋体"/>
              </w:rPr>
              <w:t>（政府采购执行率）］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（政府采购执行率）</w:t>
            </w:r>
            <w:r>
              <w:rPr>
                <w:rFonts w:ascii="仿宋_GB2312" w:hAnsi="仿宋_GB2312" w:eastAsia="仿宋_GB2312" w:cs="仿宋_GB2312"/>
              </w:rPr>
              <w:t>-min</w:t>
            </w:r>
            <w:r>
              <w:rPr>
                <w:rFonts w:ascii="宋体" w:hAnsi="宋体" w:eastAsia="宋体" w:cs="宋体"/>
              </w:rPr>
              <w:t>（政府采购执行率）］×该指标分值。</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4</w:t>
            </w:r>
          </w:p>
        </w:tc>
      </w:tr>
      <w:tr>
        <w:tblPrEx>
          <w:tblCellMar>
            <w:top w:w="0" w:type="dxa"/>
            <w:left w:w="10" w:type="dxa"/>
            <w:bottom w:w="0" w:type="dxa"/>
            <w:right w:w="10" w:type="dxa"/>
          </w:tblCellMar>
        </w:tblPrEx>
        <w:trPr>
          <w:trHeight w:val="6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预算管理情况</w:t>
            </w:r>
          </w:p>
          <w:p>
            <w:pPr>
              <w:jc w:val="left"/>
            </w:pPr>
            <w:r>
              <w:rPr>
                <w:rFonts w:ascii="宋体" w:hAnsi="宋体" w:eastAsia="宋体" w:cs="宋体"/>
              </w:rPr>
              <w:t>（</w:t>
            </w:r>
            <w:r>
              <w:rPr>
                <w:rFonts w:ascii="仿宋_GB2312" w:hAnsi="仿宋_GB2312" w:eastAsia="仿宋_GB2312" w:cs="仿宋_GB2312"/>
              </w:rPr>
              <w:t>15</w:t>
            </w:r>
            <w:r>
              <w:rPr>
                <w:rFonts w:ascii="宋体" w:hAnsi="宋体" w:eastAsia="宋体" w:cs="宋体"/>
              </w:rPr>
              <w:t>）</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资金使用合规性（</w:t>
            </w:r>
            <w:r>
              <w:rPr>
                <w:rFonts w:ascii="仿宋_GB2312" w:hAnsi="仿宋_GB2312" w:eastAsia="仿宋_GB2312" w:cs="仿宋_GB2312"/>
              </w:rPr>
              <w:t>8</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部门使用预算资金是否符合相关的预算财务管理制度的规定，反映和评价部门预算资金的规范运行情况。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符合国家财经法规和财务管理制度规定以及有关部门资金管理办法的规定；</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资金的拨付有完整的审批过程和手续；</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项目的重大开支经过评估论证；</w:t>
            </w:r>
          </w:p>
          <w:p>
            <w:pPr>
              <w:jc w:val="left"/>
              <w:rPr>
                <w:rFonts w:ascii="Calibri" w:hAnsi="Calibri" w:eastAsia="Calibri" w:cs="Calibri"/>
              </w:rPr>
            </w:pPr>
            <w:r>
              <w:rPr>
                <w:rFonts w:ascii="仿宋_GB2312" w:hAnsi="仿宋_GB2312" w:eastAsia="仿宋_GB2312" w:cs="仿宋_GB2312"/>
              </w:rPr>
              <w:t>4.</w:t>
            </w:r>
            <w:r>
              <w:rPr>
                <w:rFonts w:ascii="宋体" w:hAnsi="宋体" w:eastAsia="宋体" w:cs="宋体"/>
              </w:rPr>
              <w:t>符合部门预算批复的用途；</w:t>
            </w:r>
          </w:p>
          <w:p>
            <w:pPr>
              <w:jc w:val="left"/>
              <w:rPr>
                <w:rFonts w:ascii="Calibri" w:hAnsi="Calibri" w:eastAsia="Calibri" w:cs="Calibri"/>
              </w:rPr>
            </w:pPr>
            <w:r>
              <w:rPr>
                <w:rFonts w:ascii="仿宋_GB2312" w:hAnsi="仿宋_GB2312" w:eastAsia="仿宋_GB2312" w:cs="仿宋_GB2312"/>
              </w:rPr>
              <w:t>5.</w:t>
            </w:r>
            <w:r>
              <w:rPr>
                <w:rFonts w:ascii="宋体" w:hAnsi="宋体" w:eastAsia="宋体" w:cs="宋体"/>
              </w:rPr>
              <w:t>不存在截留情况；</w:t>
            </w:r>
          </w:p>
          <w:p>
            <w:pPr>
              <w:jc w:val="left"/>
              <w:rPr>
                <w:rFonts w:ascii="Calibri" w:hAnsi="Calibri" w:eastAsia="Calibri" w:cs="Calibri"/>
              </w:rPr>
            </w:pPr>
            <w:r>
              <w:rPr>
                <w:rFonts w:ascii="仿宋_GB2312" w:hAnsi="仿宋_GB2312" w:eastAsia="仿宋_GB2312" w:cs="仿宋_GB2312"/>
              </w:rPr>
              <w:t>6.</w:t>
            </w:r>
            <w:r>
              <w:rPr>
                <w:rFonts w:ascii="宋体" w:hAnsi="宋体" w:eastAsia="宋体" w:cs="宋体"/>
              </w:rPr>
              <w:t>不存在挤占情况；</w:t>
            </w:r>
          </w:p>
          <w:p>
            <w:pPr>
              <w:jc w:val="left"/>
              <w:rPr>
                <w:rFonts w:ascii="Calibri" w:hAnsi="Calibri" w:eastAsia="Calibri" w:cs="Calibri"/>
              </w:rPr>
            </w:pPr>
            <w:r>
              <w:rPr>
                <w:rFonts w:ascii="仿宋_GB2312" w:hAnsi="仿宋_GB2312" w:eastAsia="仿宋_GB2312" w:cs="仿宋_GB2312"/>
              </w:rPr>
              <w:t>7.</w:t>
            </w:r>
            <w:r>
              <w:rPr>
                <w:rFonts w:ascii="宋体" w:hAnsi="宋体" w:eastAsia="宋体" w:cs="宋体"/>
              </w:rPr>
              <w:t>不存在挪用情况；</w:t>
            </w:r>
          </w:p>
          <w:p>
            <w:pPr>
              <w:jc w:val="left"/>
            </w:pPr>
            <w:r>
              <w:rPr>
                <w:rFonts w:ascii="仿宋_GB2312" w:hAnsi="仿宋_GB2312" w:eastAsia="仿宋_GB2312" w:cs="仿宋_GB2312"/>
              </w:rPr>
              <w:t>8.</w:t>
            </w:r>
            <w:r>
              <w:rPr>
                <w:rFonts w:ascii="宋体" w:hAnsi="宋体" w:eastAsia="宋体" w:cs="宋体"/>
              </w:rPr>
              <w:t>不存在虚列支出情况。</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8</w:t>
            </w:r>
            <w:r>
              <w:rPr>
                <w:rFonts w:ascii="宋体" w:hAnsi="宋体" w:eastAsia="宋体" w:cs="宋体"/>
              </w:rPr>
              <w:t>）；</w:t>
            </w:r>
          </w:p>
          <w:p>
            <w:pPr>
              <w:jc w:val="left"/>
              <w:rPr>
                <w:rFonts w:ascii="Calibri" w:hAnsi="Calibri" w:eastAsia="Calibri" w:cs="Calibri"/>
              </w:rPr>
            </w:pPr>
            <w:r>
              <w:rPr>
                <w:rFonts w:ascii="宋体" w:hAnsi="宋体" w:eastAsia="宋体" w:cs="宋体"/>
              </w:rPr>
              <w:t>符合其中七项（</w:t>
            </w:r>
            <w:r>
              <w:rPr>
                <w:rFonts w:ascii="仿宋_GB2312" w:hAnsi="仿宋_GB2312" w:eastAsia="仿宋_GB2312" w:cs="仿宋_GB2312"/>
              </w:rPr>
              <w:t>6</w:t>
            </w:r>
            <w:r>
              <w:rPr>
                <w:rFonts w:ascii="宋体" w:hAnsi="宋体" w:eastAsia="宋体" w:cs="宋体"/>
              </w:rPr>
              <w:t>）；</w:t>
            </w:r>
          </w:p>
          <w:p>
            <w:pPr>
              <w:jc w:val="left"/>
              <w:rPr>
                <w:rFonts w:ascii="Calibri" w:hAnsi="Calibri" w:eastAsia="Calibri" w:cs="Calibri"/>
              </w:rPr>
            </w:pPr>
            <w:r>
              <w:rPr>
                <w:rFonts w:ascii="宋体" w:hAnsi="宋体" w:eastAsia="宋体" w:cs="宋体"/>
              </w:rPr>
              <w:t>符合其中六项（</w:t>
            </w:r>
            <w:r>
              <w:rPr>
                <w:rFonts w:ascii="仿宋_GB2312" w:hAnsi="仿宋_GB2312" w:eastAsia="仿宋_GB2312" w:cs="仿宋_GB2312"/>
              </w:rPr>
              <w:t>4</w:t>
            </w:r>
            <w:r>
              <w:rPr>
                <w:rFonts w:ascii="宋体" w:hAnsi="宋体" w:eastAsia="宋体" w:cs="宋体"/>
              </w:rPr>
              <w:t>）；</w:t>
            </w:r>
          </w:p>
          <w:p>
            <w:pPr>
              <w:jc w:val="left"/>
              <w:rPr>
                <w:rFonts w:ascii="Calibri" w:hAnsi="Calibri" w:eastAsia="Calibri" w:cs="Calibri"/>
              </w:rPr>
            </w:pPr>
            <w:r>
              <w:rPr>
                <w:rFonts w:ascii="宋体" w:hAnsi="宋体" w:eastAsia="宋体" w:cs="宋体"/>
              </w:rPr>
              <w:t>符合其中五项（</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符合其中四项及以下（</w:t>
            </w:r>
            <w:r>
              <w:rPr>
                <w:rFonts w:ascii="仿宋_GB2312" w:hAnsi="仿宋_GB2312" w:eastAsia="仿宋_GB2312" w:cs="仿宋_GB2312"/>
              </w:rPr>
              <w:t>0</w:t>
            </w:r>
            <w:r>
              <w:rPr>
                <w:rFonts w:ascii="宋体" w:hAnsi="宋体" w:eastAsia="宋体" w:cs="宋体"/>
              </w:rPr>
              <w:t>）。</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eastAsia" w:ascii="宋体" w:hAnsi="宋体" w:eastAsia="宋体" w:cs="宋体"/>
                <w:sz w:val="22"/>
                <w:lang w:eastAsia="zh-CN"/>
              </w:rPr>
            </w:pPr>
            <w:r>
              <w:rPr>
                <w:rFonts w:hint="eastAsia" w:ascii="宋体" w:hAnsi="宋体" w:eastAsia="宋体" w:cs="宋体"/>
                <w:sz w:val="22"/>
                <w:lang w:val="en-US" w:eastAsia="zh-CN"/>
              </w:rPr>
              <w:t>8</w:t>
            </w:r>
          </w:p>
        </w:tc>
      </w:tr>
      <w:tr>
        <w:tblPrEx>
          <w:tblCellMar>
            <w:top w:w="0" w:type="dxa"/>
            <w:left w:w="10" w:type="dxa"/>
            <w:bottom w:w="0" w:type="dxa"/>
            <w:right w:w="10" w:type="dxa"/>
          </w:tblCellMar>
        </w:tblPrEx>
        <w:trPr>
          <w:trHeight w:val="6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预决算信息公开性（</w:t>
            </w:r>
            <w:r>
              <w:rPr>
                <w:rFonts w:ascii="仿宋_GB2312" w:hAnsi="仿宋_GB2312" w:eastAsia="仿宋_GB2312" w:cs="仿宋_GB2312"/>
              </w:rPr>
              <w:t>3</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部门是否按照政府信息公开有关规定公开相关预决算信息，用以反映和评价部门预决算管理的公开透明情况。</w:t>
            </w:r>
          </w:p>
          <w:p>
            <w:pPr>
              <w:jc w:val="left"/>
              <w:rPr>
                <w:rFonts w:ascii="Calibri" w:hAnsi="Calibri" w:eastAsia="Calibri" w:cs="Calibri"/>
              </w:rPr>
            </w:pPr>
            <w:r>
              <w:rPr>
                <w:rFonts w:ascii="宋体" w:hAnsi="宋体" w:eastAsia="宋体" w:cs="宋体"/>
              </w:rPr>
              <w:t>预决算信息是指与部门预算、执行、决算、监督、绩效等管理相关的信息。</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公开预决算信息；</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按规定内容公开预决算信息；</w:t>
            </w:r>
          </w:p>
          <w:p>
            <w:pPr>
              <w:jc w:val="left"/>
            </w:pPr>
            <w:r>
              <w:rPr>
                <w:rFonts w:ascii="仿宋_GB2312" w:hAnsi="仿宋_GB2312" w:eastAsia="仿宋_GB2312" w:cs="仿宋_GB2312"/>
              </w:rPr>
              <w:t>3.</w:t>
            </w:r>
            <w:r>
              <w:rPr>
                <w:rFonts w:ascii="宋体" w:hAnsi="宋体" w:eastAsia="宋体" w:cs="宋体"/>
              </w:rPr>
              <w:t>按规定时限公开预决算信息。</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3</w:t>
            </w:r>
            <w:r>
              <w:rPr>
                <w:rFonts w:ascii="宋体" w:hAnsi="宋体" w:eastAsia="宋体" w:cs="宋体"/>
              </w:rPr>
              <w:t>）；</w:t>
            </w:r>
          </w:p>
          <w:p>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符合其中一项及以下（</w:t>
            </w:r>
            <w:r>
              <w:rPr>
                <w:rFonts w:ascii="仿宋_GB2312" w:hAnsi="仿宋_GB2312" w:eastAsia="仿宋_GB2312" w:cs="仿宋_GB2312"/>
              </w:rPr>
              <w:t>0</w:t>
            </w:r>
            <w:r>
              <w:rPr>
                <w:rFonts w:ascii="宋体" w:hAnsi="宋体" w:eastAsia="宋体" w:cs="宋体"/>
              </w:rPr>
              <w:t>）。</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3</w:t>
            </w:r>
          </w:p>
        </w:tc>
      </w:tr>
      <w:tr>
        <w:tblPrEx>
          <w:tblCellMar>
            <w:top w:w="0" w:type="dxa"/>
            <w:left w:w="10" w:type="dxa"/>
            <w:bottom w:w="0" w:type="dxa"/>
            <w:right w:w="10" w:type="dxa"/>
          </w:tblCellMar>
        </w:tblPrEx>
        <w:trPr>
          <w:trHeight w:val="6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基础信息完善性</w:t>
            </w:r>
            <w:r>
              <w:rPr>
                <w:rFonts w:ascii="宋体" w:hAnsi="宋体" w:eastAsia="宋体" w:cs="宋体"/>
              </w:rPr>
              <w:t>（</w:t>
            </w:r>
            <w:r>
              <w:rPr>
                <w:rFonts w:ascii="仿宋_GB2312" w:hAnsi="仿宋_GB2312" w:eastAsia="仿宋_GB2312" w:cs="仿宋_GB2312"/>
              </w:rPr>
              <w:t>4</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部门基础信息是否完善，用以反映和评价基础信息对预算管理工作的支撑情况。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基本财务管理制度健全；</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基础数据信息和会计信息资料真实；</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基础数据信息和会计信息资料完整；</w:t>
            </w:r>
          </w:p>
          <w:p>
            <w:pPr>
              <w:jc w:val="left"/>
            </w:pPr>
            <w:r>
              <w:rPr>
                <w:rFonts w:ascii="仿宋_GB2312" w:hAnsi="仿宋_GB2312" w:eastAsia="仿宋_GB2312" w:cs="仿宋_GB2312"/>
              </w:rPr>
              <w:t>4.</w:t>
            </w:r>
            <w:r>
              <w:rPr>
                <w:rFonts w:ascii="宋体" w:hAnsi="宋体" w:eastAsia="宋体" w:cs="宋体"/>
              </w:rPr>
              <w:t>基础数据信息和会计信息资料准确。</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符合全部四项（</w:t>
            </w:r>
            <w:r>
              <w:rPr>
                <w:rFonts w:ascii="仿宋_GB2312" w:hAnsi="仿宋_GB2312" w:eastAsia="仿宋_GB2312" w:cs="仿宋_GB2312"/>
              </w:rPr>
              <w:t>4</w:t>
            </w:r>
            <w:r>
              <w:rPr>
                <w:rFonts w:ascii="宋体" w:hAnsi="宋体" w:eastAsia="宋体" w:cs="宋体"/>
              </w:rPr>
              <w:t>）；</w:t>
            </w:r>
          </w:p>
          <w:p>
            <w:pPr>
              <w:jc w:val="left"/>
              <w:rPr>
                <w:rFonts w:ascii="Calibri" w:hAnsi="Calibri" w:eastAsia="Calibri" w:cs="Calibri"/>
              </w:rPr>
            </w:pPr>
            <w:r>
              <w:rPr>
                <w:rFonts w:ascii="宋体" w:hAnsi="宋体" w:eastAsia="宋体" w:cs="宋体"/>
              </w:rPr>
              <w:t>符合其中三项（</w:t>
            </w:r>
            <w:r>
              <w:rPr>
                <w:rFonts w:ascii="仿宋_GB2312" w:hAnsi="仿宋_GB2312" w:eastAsia="仿宋_GB2312" w:cs="仿宋_GB2312"/>
              </w:rPr>
              <w:t>2</w:t>
            </w:r>
            <w:r>
              <w:rPr>
                <w:rFonts w:ascii="宋体" w:hAnsi="宋体" w:eastAsia="宋体" w:cs="宋体"/>
              </w:rPr>
              <w:t>）；</w:t>
            </w:r>
          </w:p>
          <w:p>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1</w:t>
            </w:r>
            <w:r>
              <w:rPr>
                <w:rFonts w:ascii="宋体" w:hAnsi="宋体" w:eastAsia="宋体" w:cs="宋体"/>
              </w:rPr>
              <w:t>）；</w:t>
            </w:r>
          </w:p>
          <w:p>
            <w:pPr>
              <w:jc w:val="left"/>
            </w:pPr>
            <w:r>
              <w:rPr>
                <w:rFonts w:ascii="宋体" w:hAnsi="宋体" w:eastAsia="宋体" w:cs="宋体"/>
              </w:rPr>
              <w:t>符合其中一项及以下（</w:t>
            </w:r>
            <w:r>
              <w:rPr>
                <w:rFonts w:ascii="仿宋_GB2312" w:hAnsi="仿宋_GB2312" w:eastAsia="仿宋_GB2312" w:cs="仿宋_GB2312"/>
              </w:rPr>
              <w:t>0</w:t>
            </w:r>
            <w:r>
              <w:rPr>
                <w:rFonts w:ascii="宋体" w:hAnsi="宋体" w:eastAsia="宋体" w:cs="宋体"/>
              </w:rPr>
              <w:t>）。</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4</w:t>
            </w:r>
          </w:p>
        </w:tc>
      </w:tr>
      <w:tr>
        <w:tblPrEx>
          <w:tblCellMar>
            <w:top w:w="0" w:type="dxa"/>
            <w:left w:w="10" w:type="dxa"/>
            <w:bottom w:w="0" w:type="dxa"/>
            <w:right w:w="10" w:type="dxa"/>
          </w:tblCellMar>
        </w:tblPrEx>
        <w:trPr>
          <w:trHeight w:val="6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资产管理情况（</w:t>
            </w:r>
            <w:r>
              <w:rPr>
                <w:rFonts w:ascii="仿宋_GB2312" w:hAnsi="仿宋_GB2312" w:eastAsia="仿宋_GB2312" w:cs="仿宋_GB2312"/>
              </w:rPr>
              <w:t>5</w:t>
            </w:r>
            <w:r>
              <w:rPr>
                <w:rFonts w:ascii="宋体" w:hAnsi="宋体" w:eastAsia="宋体" w:cs="宋体"/>
              </w:rPr>
              <w:t>分）</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资产管理完整性（</w:t>
            </w:r>
            <w:r>
              <w:rPr>
                <w:rFonts w:ascii="仿宋_GB2312" w:hAnsi="仿宋_GB2312" w:eastAsia="仿宋_GB2312" w:cs="仿宋_GB2312"/>
              </w:rPr>
              <w:t>2</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部门的资产是否保存完整、使用合规、收入及时足额上缴，用以反映和评价部门资产运行情况。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资产保存完整；</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资产账务管理是否合规，</w:t>
            </w:r>
            <w:r>
              <w:rPr>
                <w:rFonts w:hint="eastAsia" w:ascii="宋体" w:hAnsi="宋体" w:eastAsia="宋体" w:cs="宋体"/>
                <w:lang w:eastAsia="zh-CN"/>
              </w:rPr>
              <w:t>账</w:t>
            </w:r>
            <w:r>
              <w:rPr>
                <w:rFonts w:ascii="宋体" w:hAnsi="宋体" w:eastAsia="宋体" w:cs="宋体"/>
              </w:rPr>
              <w:t>实相符；</w:t>
            </w:r>
          </w:p>
          <w:p>
            <w:pPr>
              <w:jc w:val="left"/>
            </w:pPr>
            <w:r>
              <w:rPr>
                <w:rFonts w:ascii="仿宋_GB2312" w:hAnsi="仿宋_GB2312" w:eastAsia="仿宋_GB2312" w:cs="仿宋_GB2312"/>
              </w:rPr>
              <w:t>3.</w:t>
            </w:r>
            <w:r>
              <w:rPr>
                <w:rFonts w:ascii="宋体" w:hAnsi="宋体" w:eastAsia="宋体" w:cs="宋体"/>
              </w:rPr>
              <w:t>资产有偿使用及处置收入及时足额上缴。</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符合全部三项（</w:t>
            </w:r>
            <w:r>
              <w:rPr>
                <w:rFonts w:ascii="仿宋_GB2312" w:hAnsi="仿宋_GB2312" w:eastAsia="仿宋_GB2312" w:cs="仿宋_GB2312"/>
              </w:rPr>
              <w:t>3</w:t>
            </w:r>
            <w:r>
              <w:rPr>
                <w:rFonts w:ascii="宋体" w:hAnsi="宋体" w:eastAsia="宋体" w:cs="宋体"/>
              </w:rPr>
              <w:t>）；</w:t>
            </w:r>
          </w:p>
          <w:p>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2</w:t>
            </w:r>
            <w:r>
              <w:rPr>
                <w:rFonts w:ascii="宋体" w:hAnsi="宋体" w:eastAsia="宋体" w:cs="宋体"/>
              </w:rPr>
              <w:t>）；</w:t>
            </w:r>
          </w:p>
          <w:p>
            <w:pPr>
              <w:jc w:val="left"/>
              <w:rPr>
                <w:rFonts w:ascii="Calibri" w:hAnsi="Calibri" w:eastAsia="Calibri" w:cs="Calibri"/>
              </w:rPr>
            </w:pPr>
            <w:r>
              <w:rPr>
                <w:rFonts w:ascii="宋体" w:hAnsi="宋体" w:eastAsia="宋体" w:cs="宋体"/>
              </w:rPr>
              <w:t>符合其中一项（</w:t>
            </w:r>
            <w:r>
              <w:rPr>
                <w:rFonts w:ascii="仿宋_GB2312" w:hAnsi="仿宋_GB2312" w:eastAsia="仿宋_GB2312" w:cs="仿宋_GB2312"/>
              </w:rPr>
              <w:t>1</w:t>
            </w:r>
            <w:r>
              <w:rPr>
                <w:rFonts w:ascii="宋体" w:hAnsi="宋体" w:eastAsia="宋体" w:cs="宋体"/>
              </w:rPr>
              <w:t>）；</w:t>
            </w:r>
          </w:p>
          <w:p>
            <w:pPr>
              <w:jc w:val="left"/>
            </w:pPr>
            <w:r>
              <w:rPr>
                <w:rFonts w:ascii="宋体" w:hAnsi="宋体" w:eastAsia="宋体" w:cs="宋体"/>
              </w:rPr>
              <w:t>符合零项（</w:t>
            </w:r>
            <w:r>
              <w:rPr>
                <w:rFonts w:ascii="仿宋_GB2312" w:hAnsi="仿宋_GB2312" w:eastAsia="仿宋_GB2312" w:cs="仿宋_GB2312"/>
              </w:rPr>
              <w:t>0</w:t>
            </w:r>
            <w:r>
              <w:rPr>
                <w:rFonts w:ascii="宋体" w:hAnsi="宋体" w:eastAsia="宋体" w:cs="宋体"/>
              </w:rPr>
              <w:t>）。</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rPr>
          <w:trHeight w:val="6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固定资产利用率（</w:t>
            </w:r>
            <w:r>
              <w:rPr>
                <w:rFonts w:ascii="仿宋_GB2312" w:hAnsi="仿宋_GB2312" w:eastAsia="仿宋_GB2312" w:cs="仿宋_GB2312"/>
              </w:rPr>
              <w:t>3</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部门实际在用固定资产总额与所有固定资产总额的比率，用以反映和评价部门固定资产使用效率。</w:t>
            </w:r>
          </w:p>
          <w:p>
            <w:pPr>
              <w:jc w:val="left"/>
            </w:pPr>
            <w:r>
              <w:rPr>
                <w:rFonts w:ascii="宋体" w:hAnsi="宋体" w:eastAsia="宋体" w:cs="宋体"/>
              </w:rPr>
              <w:t>固定资产利用率</w:t>
            </w:r>
            <w:r>
              <w:rPr>
                <w:rFonts w:ascii="仿宋_GB2312" w:hAnsi="仿宋_GB2312" w:eastAsia="仿宋_GB2312" w:cs="仿宋_GB2312"/>
              </w:rPr>
              <w:t>=</w:t>
            </w:r>
            <w:r>
              <w:rPr>
                <w:rFonts w:ascii="宋体" w:hAnsi="宋体" w:eastAsia="宋体" w:cs="宋体"/>
              </w:rPr>
              <w:t>（实际在用固定资产总额</w:t>
            </w:r>
            <w:r>
              <w:rPr>
                <w:rFonts w:ascii="仿宋_GB2312" w:hAnsi="仿宋_GB2312" w:eastAsia="仿宋_GB2312" w:cs="仿宋_GB2312"/>
              </w:rPr>
              <w:t>/</w:t>
            </w:r>
            <w:r>
              <w:rPr>
                <w:rFonts w:ascii="宋体" w:hAnsi="宋体" w:eastAsia="宋体" w:cs="宋体"/>
              </w:rPr>
              <w:t>所有固定资产总额）×</w:t>
            </w:r>
            <w:r>
              <w:rPr>
                <w:rFonts w:ascii="仿宋_GB2312" w:hAnsi="仿宋_GB2312" w:eastAsia="仿宋_GB2312" w:cs="仿宋_GB2312"/>
              </w:rPr>
              <w:t>100%</w:t>
            </w:r>
            <w:r>
              <w:rPr>
                <w:rFonts w:ascii="宋体" w:hAnsi="宋体" w:eastAsia="宋体" w:cs="宋体"/>
              </w:rPr>
              <w:t>。</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固定资产利用率大于或等于</w:t>
            </w:r>
            <w:r>
              <w:rPr>
                <w:rFonts w:ascii="仿宋_GB2312" w:hAnsi="仿宋_GB2312" w:eastAsia="仿宋_GB2312" w:cs="仿宋_GB2312"/>
              </w:rPr>
              <w:t>95%</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固定资产利用率小于或等于</w:t>
            </w:r>
            <w:r>
              <w:rPr>
                <w:rFonts w:ascii="仿宋_GB2312" w:hAnsi="仿宋_GB2312" w:eastAsia="仿宋_GB2312" w:cs="仿宋_GB2312"/>
              </w:rPr>
              <w:t>85%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固定资产利用率在</w:t>
            </w:r>
            <w:r>
              <w:rPr>
                <w:rFonts w:ascii="仿宋_GB2312" w:hAnsi="仿宋_GB2312" w:eastAsia="仿宋_GB2312" w:cs="仿宋_GB2312"/>
              </w:rPr>
              <w:t>85%-95%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［某部门固定资产利用率</w:t>
            </w:r>
            <w:r>
              <w:rPr>
                <w:rFonts w:ascii="仿宋_GB2312" w:hAnsi="仿宋_GB2312" w:eastAsia="仿宋_GB2312" w:cs="仿宋_GB2312"/>
              </w:rPr>
              <w:t>-min</w:t>
            </w:r>
            <w:r>
              <w:rPr>
                <w:rFonts w:ascii="宋体" w:hAnsi="宋体" w:eastAsia="宋体" w:cs="宋体"/>
              </w:rPr>
              <w:t>（固定资产利用率）］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（固定资产利用率）</w:t>
            </w:r>
            <w:r>
              <w:rPr>
                <w:rFonts w:ascii="仿宋_GB2312" w:hAnsi="仿宋_GB2312" w:eastAsia="仿宋_GB2312" w:cs="仿宋_GB2312"/>
              </w:rPr>
              <w:t>-min</w:t>
            </w:r>
            <w:r>
              <w:rPr>
                <w:rFonts w:ascii="宋体" w:hAnsi="宋体" w:eastAsia="宋体" w:cs="宋体"/>
              </w:rPr>
              <w:t>（固定资产利用率）］×该指标分值。</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3</w:t>
            </w:r>
          </w:p>
        </w:tc>
      </w:tr>
      <w:tr>
        <w:tblPrEx>
          <w:tblCellMar>
            <w:top w:w="0" w:type="dxa"/>
            <w:left w:w="10" w:type="dxa"/>
            <w:bottom w:w="0" w:type="dxa"/>
            <w:right w:w="10" w:type="dxa"/>
          </w:tblCellMar>
        </w:tblPrEx>
        <w:trPr>
          <w:trHeight w:val="68"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产出</w:t>
            </w:r>
            <w:r>
              <w:rPr>
                <w:rFonts w:ascii="仿宋_GB2312" w:hAnsi="仿宋_GB2312" w:eastAsia="仿宋_GB2312" w:cs="仿宋_GB2312"/>
              </w:rPr>
              <w:t>(25</w:t>
            </w:r>
            <w:r>
              <w:rPr>
                <w:rFonts w:ascii="宋体" w:hAnsi="宋体" w:eastAsia="宋体" w:cs="宋体"/>
              </w:rPr>
              <w:t>分</w:t>
            </w:r>
            <w:r>
              <w:rPr>
                <w:rFonts w:ascii="仿宋_GB2312" w:hAnsi="仿宋_GB2312" w:eastAsia="仿宋_GB2312" w:cs="仿宋_GB2312"/>
              </w:rPr>
              <w:t>)</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职责履行情况（</w:t>
            </w:r>
            <w:r>
              <w:rPr>
                <w:rFonts w:ascii="仿宋_GB2312" w:hAnsi="仿宋_GB2312" w:eastAsia="仿宋_GB2312" w:cs="仿宋_GB2312"/>
              </w:rPr>
              <w:t>25</w:t>
            </w:r>
            <w:r>
              <w:rPr>
                <w:rFonts w:ascii="宋体" w:hAnsi="宋体" w:eastAsia="宋体" w:cs="宋体"/>
              </w:rPr>
              <w:t>）</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履职完成情况（</w:t>
            </w:r>
            <w:r>
              <w:rPr>
                <w:rFonts w:ascii="仿宋_GB2312" w:hAnsi="仿宋_GB2312" w:eastAsia="仿宋_GB2312" w:cs="仿宋_GB2312"/>
              </w:rPr>
              <w:t>10</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根据年度主要任务分解表的</w:t>
            </w:r>
            <w:bookmarkStart w:id="0" w:name="_GoBack"/>
            <w:bookmarkEnd w:id="0"/>
            <w:r>
              <w:rPr>
                <w:rFonts w:ascii="仿宋" w:hAnsi="仿宋" w:eastAsia="仿宋" w:cs="仿宋"/>
                <w:color w:val="000000"/>
              </w:rPr>
              <w:t>具体任务，逐项评价任务量化指标完成情况、实施效果和责任制建立情况。用以反映和考核部门（单位）履职工作任务目标的完成情况。评价要点：</w:t>
            </w:r>
            <w:r>
              <w:rPr>
                <w:rFonts w:ascii="仿宋" w:hAnsi="仿宋" w:eastAsia="仿宋" w:cs="仿宋"/>
                <w:color w:val="000000"/>
              </w:rPr>
              <w:br w:type="textWrapping"/>
            </w:r>
            <w:r>
              <w:rPr>
                <w:rFonts w:ascii="仿宋" w:hAnsi="仿宋" w:eastAsia="仿宋" w:cs="仿宋"/>
                <w:color w:val="000000"/>
              </w:rPr>
              <w:t xml:space="preserve">1.每项任务是否已制定了明确、具体、可量化、可衡量的绩效指标；           </w:t>
            </w:r>
            <w:r>
              <w:rPr>
                <w:rFonts w:ascii="仿宋" w:hAnsi="仿宋" w:eastAsia="仿宋" w:cs="仿宋"/>
                <w:color w:val="000000"/>
              </w:rPr>
              <w:br w:type="textWrapping"/>
            </w:r>
            <w:r>
              <w:rPr>
                <w:rFonts w:ascii="仿宋" w:hAnsi="仿宋" w:eastAsia="仿宋" w:cs="仿宋"/>
                <w:color w:val="000000"/>
              </w:rPr>
              <w:t>2.每项任务绩效指标的完成情况，是全部完成、基本完成、未完成，还是未实施；</w:t>
            </w:r>
            <w:r>
              <w:rPr>
                <w:rFonts w:ascii="仿宋" w:hAnsi="仿宋" w:eastAsia="仿宋" w:cs="仿宋"/>
                <w:color w:val="000000"/>
              </w:rPr>
              <w:br w:type="textWrapping"/>
            </w:r>
            <w:r>
              <w:rPr>
                <w:rFonts w:ascii="仿宋" w:hAnsi="仿宋" w:eastAsia="仿宋" w:cs="仿宋"/>
                <w:color w:val="000000"/>
              </w:rPr>
              <w:t>3.每项任务实施效果情况，是优秀、良好、一般，还是无效果；</w:t>
            </w:r>
            <w:r>
              <w:rPr>
                <w:rFonts w:ascii="仿宋" w:hAnsi="仿宋" w:eastAsia="仿宋" w:cs="仿宋"/>
                <w:color w:val="000000"/>
              </w:rPr>
              <w:br w:type="textWrapping"/>
            </w:r>
            <w:r>
              <w:rPr>
                <w:rFonts w:ascii="仿宋" w:hAnsi="仿宋" w:eastAsia="仿宋" w:cs="仿宋"/>
                <w:color w:val="000000"/>
              </w:rPr>
              <w:t>4.每项任务是否建立了目标责任制，是否落实到具体部门和人员负责。</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根据不同部门履职的内容和特点，具体测算部门履职工作任务目标的完成情况。</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10</w:t>
            </w:r>
          </w:p>
        </w:tc>
      </w:tr>
      <w:tr>
        <w:tblPrEx>
          <w:tblCellMar>
            <w:top w:w="0" w:type="dxa"/>
            <w:left w:w="10" w:type="dxa"/>
            <w:bottom w:w="0" w:type="dxa"/>
            <w:right w:w="10" w:type="dxa"/>
          </w:tblCellMar>
        </w:tblPrEx>
        <w:trPr>
          <w:trHeight w:val="309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项目完成质量达标率（</w:t>
            </w:r>
            <w:r>
              <w:rPr>
                <w:rFonts w:ascii="仿宋_GB2312" w:hAnsi="仿宋_GB2312" w:eastAsia="仿宋_GB2312" w:cs="仿宋_GB2312"/>
              </w:rPr>
              <w:t>15</w:t>
            </w:r>
            <w:r>
              <w:rPr>
                <w:rFonts w:ascii="宋体" w:hAnsi="宋体" w:eastAsia="宋体" w:cs="宋体"/>
              </w:rPr>
              <w:t>）</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部门已完成项目中质量达标项目个数占已完成项目个数的比率</w:t>
            </w:r>
            <w:r>
              <w:rPr>
                <w:rFonts w:ascii="仿宋_GB2312" w:hAnsi="仿宋_GB2312" w:eastAsia="仿宋_GB2312" w:cs="仿宋_GB2312"/>
              </w:rPr>
              <w:t>,</w:t>
            </w:r>
            <w:r>
              <w:rPr>
                <w:rFonts w:ascii="宋体" w:hAnsi="宋体" w:eastAsia="宋体" w:cs="宋体"/>
              </w:rPr>
              <w:t>用以反映和评价部门履职质量目标的实现程度。</w:t>
            </w:r>
          </w:p>
          <w:p>
            <w:pPr>
              <w:jc w:val="left"/>
              <w:rPr>
                <w:rFonts w:ascii="Calibri" w:hAnsi="Calibri" w:eastAsia="Calibri" w:cs="Calibri"/>
              </w:rPr>
            </w:pPr>
            <w:r>
              <w:rPr>
                <w:rFonts w:ascii="宋体" w:hAnsi="宋体" w:eastAsia="宋体" w:cs="宋体"/>
              </w:rPr>
              <w:t>项目质量达标率</w:t>
            </w:r>
            <w:r>
              <w:rPr>
                <w:rFonts w:ascii="仿宋_GB2312" w:hAnsi="仿宋_GB2312" w:eastAsia="仿宋_GB2312" w:cs="仿宋_GB2312"/>
              </w:rPr>
              <w:t>=</w:t>
            </w:r>
            <w:r>
              <w:rPr>
                <w:rFonts w:ascii="宋体" w:hAnsi="宋体" w:eastAsia="宋体" w:cs="宋体"/>
              </w:rPr>
              <w:t>（已完成项目中质量达标项目个数</w:t>
            </w:r>
            <w:r>
              <w:rPr>
                <w:rFonts w:ascii="仿宋_GB2312" w:hAnsi="仿宋_GB2312" w:eastAsia="仿宋_GB2312" w:cs="仿宋_GB2312"/>
              </w:rPr>
              <w:t>/</w:t>
            </w:r>
            <w:r>
              <w:rPr>
                <w:rFonts w:ascii="宋体" w:hAnsi="宋体" w:eastAsia="宋体" w:cs="宋体"/>
              </w:rPr>
              <w:t>已完成项目个数）×</w:t>
            </w:r>
            <w:r>
              <w:rPr>
                <w:rFonts w:ascii="仿宋_GB2312" w:hAnsi="仿宋_GB2312" w:eastAsia="仿宋_GB2312" w:cs="仿宋_GB2312"/>
              </w:rPr>
              <w:t>100%</w:t>
            </w:r>
            <w:r>
              <w:rPr>
                <w:rFonts w:ascii="宋体" w:hAnsi="宋体" w:eastAsia="宋体" w:cs="宋体"/>
              </w:rPr>
              <w:t>。</w:t>
            </w:r>
          </w:p>
          <w:p>
            <w:pPr>
              <w:jc w:val="left"/>
            </w:pPr>
            <w:r>
              <w:rPr>
                <w:rFonts w:ascii="宋体" w:hAnsi="宋体" w:eastAsia="宋体" w:cs="宋体"/>
              </w:rPr>
              <w:t>项目质量达标是指项目决算验收合格。</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项目质量达标率等于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项目质量达标率小于或等于</w:t>
            </w:r>
            <w:r>
              <w:rPr>
                <w:rFonts w:ascii="仿宋_GB2312" w:hAnsi="仿宋_GB2312" w:eastAsia="仿宋_GB2312" w:cs="仿宋_GB2312"/>
              </w:rPr>
              <w:t>99%</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项目质量达标率在</w:t>
            </w:r>
            <w:r>
              <w:rPr>
                <w:rFonts w:ascii="仿宋_GB2312" w:hAnsi="仿宋_GB2312" w:eastAsia="仿宋_GB2312" w:cs="仿宋_GB2312"/>
              </w:rPr>
              <w:t>99%-100%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r>
              <w:rPr>
                <w:rFonts w:ascii="仿宋_GB2312" w:hAnsi="仿宋_GB2312" w:eastAsia="仿宋_GB2312" w:cs="仿宋_GB2312"/>
              </w:rPr>
              <w:t xml:space="preserve"> </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［某部门项目质量达标率</w:t>
            </w:r>
            <w:r>
              <w:rPr>
                <w:rFonts w:ascii="仿宋_GB2312" w:hAnsi="仿宋_GB2312" w:eastAsia="仿宋_GB2312" w:cs="仿宋_GB2312"/>
              </w:rPr>
              <w:t>-min</w:t>
            </w:r>
            <w:r>
              <w:rPr>
                <w:rFonts w:ascii="宋体" w:hAnsi="宋体" w:eastAsia="宋体" w:cs="宋体"/>
              </w:rPr>
              <w:t>（项目质量达标率）］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（项目质量达标率）</w:t>
            </w:r>
            <w:r>
              <w:rPr>
                <w:rFonts w:ascii="仿宋_GB2312" w:hAnsi="仿宋_GB2312" w:eastAsia="仿宋_GB2312" w:cs="仿宋_GB2312"/>
              </w:rPr>
              <w:t>-min</w:t>
            </w:r>
            <w:r>
              <w:rPr>
                <w:rFonts w:ascii="宋体" w:hAnsi="宋体" w:eastAsia="宋体" w:cs="宋体"/>
              </w:rPr>
              <w:t>（项目质量达标率）］×该指标分值。</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r>
      <w:tr>
        <w:tblPrEx>
          <w:tblCellMar>
            <w:top w:w="0" w:type="dxa"/>
            <w:left w:w="10" w:type="dxa"/>
            <w:bottom w:w="0" w:type="dxa"/>
            <w:right w:w="10" w:type="dxa"/>
          </w:tblCellMar>
        </w:tblPrEx>
        <w:trPr>
          <w:trHeight w:val="68"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效果（</w:t>
            </w:r>
            <w:r>
              <w:rPr>
                <w:rFonts w:ascii="仿宋_GB2312" w:hAnsi="仿宋_GB2312" w:eastAsia="仿宋_GB2312" w:cs="仿宋_GB2312"/>
              </w:rPr>
              <w:t>20</w:t>
            </w:r>
            <w:r>
              <w:rPr>
                <w:rFonts w:ascii="宋体" w:hAnsi="宋体" w:eastAsia="宋体" w:cs="宋体"/>
              </w:rPr>
              <w:t>分）</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hAnsi="仿宋_GB2312" w:eastAsia="仿宋_GB2312" w:cs="仿宋_GB2312"/>
              </w:rPr>
            </w:pPr>
          </w:p>
          <w:p>
            <w:pPr>
              <w:jc w:val="left"/>
              <w:rPr>
                <w:rFonts w:ascii="仿宋_GB2312" w:hAnsi="仿宋_GB2312" w:eastAsia="仿宋_GB2312" w:cs="仿宋_GB2312"/>
              </w:rPr>
            </w:pPr>
            <w:r>
              <w:rPr>
                <w:rFonts w:ascii="宋体" w:hAnsi="宋体" w:eastAsia="宋体" w:cs="宋体"/>
              </w:rPr>
              <w:t>履职效益情况</w:t>
            </w:r>
          </w:p>
          <w:p>
            <w:pPr>
              <w:jc w:val="left"/>
            </w:pPr>
            <w:r>
              <w:rPr>
                <w:rFonts w:ascii="宋体" w:hAnsi="宋体" w:eastAsia="宋体" w:cs="宋体"/>
              </w:rPr>
              <w:t>（</w:t>
            </w:r>
            <w:r>
              <w:rPr>
                <w:rFonts w:ascii="仿宋_GB2312" w:hAnsi="仿宋_GB2312" w:eastAsia="仿宋_GB2312" w:cs="仿宋_GB2312"/>
              </w:rPr>
              <w:t>20</w:t>
            </w:r>
            <w:r>
              <w:rPr>
                <w:rFonts w:ascii="宋体" w:hAnsi="宋体" w:eastAsia="宋体" w:cs="宋体"/>
              </w:rPr>
              <w:t>分）</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经济效益</w:t>
            </w: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 w:hAnsi="仿宋" w:eastAsia="仿宋" w:cs="仿宋"/>
                <w:color w:val="000000"/>
              </w:rPr>
            </w:pPr>
            <w:r>
              <w:rPr>
                <w:rFonts w:ascii="仿宋" w:hAnsi="仿宋" w:eastAsia="仿宋" w:cs="仿宋"/>
                <w:color w:val="000000"/>
              </w:rPr>
              <w:t>部门及所属二级单位通过履行职责和预算安排支出项目的实施，对我市带来的经济影响。</w:t>
            </w:r>
          </w:p>
          <w:p>
            <w:pPr>
              <w:jc w:val="left"/>
            </w:pPr>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 xml:space="preserve">1.通过部门所属企事业单位改革，促进了企事业单位效益增长情况；          </w:t>
            </w:r>
            <w:r>
              <w:rPr>
                <w:rFonts w:ascii="仿宋" w:hAnsi="仿宋" w:eastAsia="仿宋" w:cs="仿宋"/>
                <w:color w:val="000000"/>
              </w:rPr>
              <w:br w:type="textWrapping"/>
            </w:r>
            <w:r>
              <w:rPr>
                <w:rFonts w:ascii="仿宋" w:hAnsi="仿宋" w:eastAsia="仿宋" w:cs="仿宋"/>
                <w:color w:val="000000"/>
              </w:rPr>
              <w:t>2.通过预算支出项目的实施，促进了行业生产能力增长，从而带动行业经济效益增长；</w:t>
            </w:r>
            <w:r>
              <w:rPr>
                <w:rFonts w:ascii="仿宋" w:hAnsi="仿宋" w:eastAsia="仿宋" w:cs="仿宋"/>
                <w:color w:val="000000"/>
              </w:rPr>
              <w:br w:type="textWrapping"/>
            </w:r>
            <w:r>
              <w:rPr>
                <w:rFonts w:ascii="仿宋" w:hAnsi="仿宋" w:eastAsia="仿宋" w:cs="仿宋"/>
                <w:color w:val="000000"/>
              </w:rPr>
              <w:t>3.通过预算支出项目的实施，有效提高劳动效率，节约成本费用；</w:t>
            </w:r>
            <w:r>
              <w:rPr>
                <w:rFonts w:ascii="仿宋" w:hAnsi="仿宋" w:eastAsia="仿宋" w:cs="仿宋"/>
                <w:color w:val="000000"/>
              </w:rPr>
              <w:br w:type="textWrapping"/>
            </w:r>
            <w:r>
              <w:rPr>
                <w:rFonts w:ascii="仿宋" w:hAnsi="仿宋" w:eastAsia="仿宋" w:cs="仿宋"/>
                <w:color w:val="000000"/>
              </w:rPr>
              <w:t>4.通过预算支出项目的实施，降低了损耗，从而提高了生产效益；</w:t>
            </w:r>
            <w:r>
              <w:rPr>
                <w:rFonts w:ascii="仿宋" w:hAnsi="仿宋" w:eastAsia="仿宋" w:cs="仿宋"/>
                <w:color w:val="000000"/>
              </w:rPr>
              <w:br w:type="textWrapping"/>
            </w:r>
            <w:r>
              <w:rPr>
                <w:rFonts w:ascii="仿宋" w:hAnsi="仿宋" w:eastAsia="仿宋" w:cs="仿宋"/>
                <w:color w:val="000000"/>
              </w:rPr>
              <w:t>5.通过预算支出项目的实施，完善了突发情况的监测预警，保障了生产安全，降低了生产损失。</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根据不同部门履职的内容和特点，具体测算部门履职产生的经济效益。</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rPr>
          <w:trHeight w:val="6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
              <w:rPr>
                <w:rFonts w:ascii="宋体" w:hAnsi="宋体" w:eastAsia="宋体" w:cs="宋体"/>
                <w:color w:val="000000"/>
              </w:rPr>
              <w:t>社会效益（</w:t>
            </w:r>
            <w:r>
              <w:rPr>
                <w:rFonts w:ascii="仿宋_GB2312" w:hAnsi="仿宋_GB2312" w:eastAsia="仿宋_GB2312" w:cs="仿宋_GB2312"/>
                <w:color w:val="000000"/>
              </w:rPr>
              <w:t>5</w:t>
            </w:r>
            <w:r>
              <w:rPr>
                <w:rFonts w:ascii="宋体" w:hAnsi="宋体" w:eastAsia="宋体" w:cs="宋体"/>
                <w:color w:val="000000"/>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 w:hAnsi="仿宋" w:eastAsia="仿宋" w:cs="仿宋"/>
                <w:color w:val="000000"/>
              </w:rPr>
            </w:pPr>
            <w:r>
              <w:rPr>
                <w:rFonts w:ascii="仿宋" w:hAnsi="仿宋" w:eastAsia="仿宋" w:cs="仿宋"/>
                <w:color w:val="000000"/>
              </w:rPr>
              <w:t>部门及所属二级单位履行职责对社会发展所带来的直接或间接影响。</w:t>
            </w:r>
          </w:p>
          <w:p>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 xml:space="preserve">1.通过部门所属企事业单位的改革，促进了企事业单位可持续发展，带动就业增长情况；          </w:t>
            </w:r>
            <w:r>
              <w:rPr>
                <w:rFonts w:ascii="仿宋" w:hAnsi="仿宋" w:eastAsia="仿宋" w:cs="仿宋"/>
                <w:color w:val="000000"/>
              </w:rPr>
              <w:br w:type="textWrapping"/>
            </w:r>
            <w:r>
              <w:rPr>
                <w:rFonts w:ascii="仿宋" w:hAnsi="仿宋" w:eastAsia="仿宋" w:cs="仿宋"/>
                <w:color w:val="000000"/>
              </w:rPr>
              <w:t>2.通过预算支出项目的实施，是否明显促进了行业精神文明建设；</w:t>
            </w:r>
            <w:r>
              <w:rPr>
                <w:rFonts w:ascii="仿宋" w:hAnsi="仿宋" w:eastAsia="仿宋" w:cs="仿宋"/>
                <w:color w:val="000000"/>
              </w:rPr>
              <w:br w:type="textWrapping"/>
            </w:r>
            <w:r>
              <w:rPr>
                <w:rFonts w:ascii="仿宋" w:hAnsi="仿宋" w:eastAsia="仿宋" w:cs="仿宋"/>
                <w:color w:val="000000"/>
              </w:rPr>
              <w:t>3.通过部门履职是否明显提高城乡居民生活水平，满足了人们日益增长的物质与文化生活需求；</w:t>
            </w:r>
            <w:r>
              <w:rPr>
                <w:rFonts w:ascii="仿宋" w:hAnsi="仿宋" w:eastAsia="仿宋" w:cs="仿宋"/>
                <w:color w:val="000000"/>
              </w:rPr>
              <w:br w:type="textWrapping"/>
            </w:r>
            <w:r>
              <w:rPr>
                <w:rFonts w:ascii="仿宋" w:hAnsi="仿宋" w:eastAsia="仿宋" w:cs="仿宋"/>
                <w:color w:val="000000"/>
              </w:rPr>
              <w:t>4.通过预算项目的实施，是否提高了劳动生产率，降低了劳动强度，促进了劳动人民的身心健康；</w:t>
            </w:r>
            <w:r>
              <w:rPr>
                <w:rFonts w:ascii="仿宋" w:hAnsi="仿宋" w:eastAsia="仿宋" w:cs="仿宋"/>
                <w:color w:val="000000"/>
              </w:rPr>
              <w:br w:type="textWrapping"/>
            </w:r>
            <w:r>
              <w:rPr>
                <w:rFonts w:ascii="仿宋" w:hAnsi="仿宋" w:eastAsia="仿宋" w:cs="仿宋"/>
                <w:color w:val="000000"/>
              </w:rPr>
              <w:t>5.通过部门履职行业形象是否得到了大大提升了，增强了部门影响力。</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
              <w:rPr>
                <w:rFonts w:ascii="仿宋" w:hAnsi="仿宋" w:eastAsia="仿宋" w:cs="仿宋"/>
                <w:color w:val="000000"/>
              </w:rPr>
              <w:t>根据不同部门履职的内容和特点，具体测算部门履职产生的社会效益。</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rPr>
          <w:trHeight w:val="6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生态效益（</w:t>
            </w:r>
            <w:r>
              <w:rPr>
                <w:rFonts w:ascii="仿宋_GB2312" w:hAnsi="仿宋_GB2312" w:eastAsia="仿宋_GB2312" w:cs="仿宋_GB2312"/>
                <w:color w:val="000000"/>
              </w:rPr>
              <w:t>5</w:t>
            </w:r>
            <w:r>
              <w:rPr>
                <w:rFonts w:ascii="宋体" w:hAnsi="宋体" w:eastAsia="宋体" w:cs="宋体"/>
                <w:color w:val="000000"/>
              </w:rPr>
              <w:t>分）</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 w:hAnsi="仿宋" w:eastAsia="仿宋" w:cs="仿宋"/>
                <w:color w:val="000000"/>
              </w:rPr>
            </w:pPr>
            <w:r>
              <w:rPr>
                <w:rFonts w:ascii="仿宋" w:hAnsi="仿宋" w:eastAsia="仿宋" w:cs="仿宋"/>
                <w:color w:val="000000"/>
              </w:rPr>
              <w:t>部门及所属二级单位履行职责对生态环境所带来的直接或间接影响。</w:t>
            </w:r>
          </w:p>
          <w:p>
            <w:pPr>
              <w:jc w:val="left"/>
            </w:pPr>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1.通过预算支出项目的实施，绿色、节能环保新技术的应用和推广，明显带动各环节的节能减排，也具有一定的环境效益；</w:t>
            </w:r>
            <w:r>
              <w:rPr>
                <w:rFonts w:ascii="仿宋" w:hAnsi="仿宋" w:eastAsia="仿宋" w:cs="仿宋"/>
                <w:color w:val="000000"/>
              </w:rPr>
              <w:br w:type="textWrapping"/>
            </w:r>
            <w:r>
              <w:rPr>
                <w:rFonts w:ascii="仿宋" w:hAnsi="仿宋" w:eastAsia="仿宋" w:cs="仿宋"/>
                <w:color w:val="000000"/>
              </w:rPr>
              <w:t>2.通过履职有效地控制虚假、伪劣、霉变等劣质产品进入市场，影响了人民生活质量，净化地市场环境；</w:t>
            </w:r>
            <w:r>
              <w:rPr>
                <w:rFonts w:ascii="仿宋" w:hAnsi="仿宋" w:eastAsia="仿宋" w:cs="仿宋"/>
                <w:color w:val="000000"/>
              </w:rPr>
              <w:br w:type="textWrapping"/>
            </w:r>
            <w:r>
              <w:rPr>
                <w:rFonts w:ascii="仿宋" w:hAnsi="仿宋" w:eastAsia="仿宋" w:cs="仿宋"/>
                <w:color w:val="000000"/>
              </w:rPr>
              <w:t>3.通过预算支出项目的实施，是否达到减少污染物排放；</w:t>
            </w:r>
            <w:r>
              <w:rPr>
                <w:rFonts w:ascii="仿宋" w:hAnsi="仿宋" w:eastAsia="仿宋" w:cs="仿宋"/>
                <w:color w:val="000000"/>
              </w:rPr>
              <w:br w:type="textWrapping"/>
            </w:r>
            <w:r>
              <w:rPr>
                <w:rFonts w:ascii="仿宋" w:hAnsi="仿宋" w:eastAsia="仿宋" w:cs="仿宋"/>
                <w:color w:val="000000"/>
              </w:rPr>
              <w:t>4.通过预算支出项目的实施，周围环境得到了整治，面貌得到了改善。</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根据不同部门履职的内容和特点，具体测算部门履职产生的生态效益。</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rPr>
          <w:trHeight w:val="6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服务对象满意度（</w:t>
            </w:r>
            <w:r>
              <w:rPr>
                <w:rFonts w:ascii="仿宋_GB2312" w:hAnsi="仿宋_GB2312" w:eastAsia="仿宋_GB2312" w:cs="仿宋_GB2312"/>
              </w:rPr>
              <w:t>5</w:t>
            </w:r>
            <w:r>
              <w:rPr>
                <w:rFonts w:ascii="宋体" w:hAnsi="宋体" w:eastAsia="宋体" w:cs="宋体"/>
              </w:rPr>
              <w:t>）</w:t>
            </w:r>
          </w:p>
        </w:tc>
        <w:tc>
          <w:tcPr>
            <w:tcW w:w="1689"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ascii="宋体" w:hAnsi="宋体" w:eastAsia="宋体" w:cs="宋体"/>
              </w:rPr>
              <w:t>通过对部门（单位）的服务对象对部门履职效果的满意程度调查，反映和考核社会公众或服务对象对部门履职的满意度。</w:t>
            </w:r>
          </w:p>
        </w:tc>
        <w:tc>
          <w:tcPr>
            <w:tcW w:w="122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 w:hAnsi="仿宋" w:eastAsia="仿宋" w:cs="仿宋"/>
              </w:rPr>
            </w:pPr>
            <w:r>
              <w:rPr>
                <w:rFonts w:ascii="仿宋" w:hAnsi="仿宋" w:eastAsia="仿宋" w:cs="仿宋"/>
              </w:rPr>
              <w:t>按照满意度调查的优秀、良好、合格、不合格给予该项指标打分：</w:t>
            </w:r>
          </w:p>
          <w:p>
            <w:r>
              <w:rPr>
                <w:rFonts w:ascii="仿宋" w:hAnsi="仿宋" w:eastAsia="仿宋" w:cs="仿宋"/>
              </w:rPr>
              <w:t>优秀（5）；良好（3）；合格（1）；不合格（0）。</w:t>
            </w:r>
          </w:p>
        </w:tc>
        <w:tc>
          <w:tcPr>
            <w:tcW w:w="40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3</w:t>
            </w:r>
          </w:p>
        </w:tc>
      </w:tr>
    </w:tbl>
    <w:p>
      <w:pPr>
        <w:spacing w:line="520" w:lineRule="exact"/>
        <w:ind w:firstLine="640" w:firstLineChars="200"/>
        <w:rPr>
          <w:rFonts w:hint="eastAsia" w:ascii="仿宋" w:hAnsi="仿宋" w:eastAsia="仿宋" w:cs="仿宋"/>
          <w:sz w:val="32"/>
          <w:szCs w:val="32"/>
        </w:rPr>
      </w:pPr>
    </w:p>
    <w:p>
      <w:pPr>
        <w:ind w:firstLine="640" w:firstLineChars="200"/>
        <w:jc w:val="right"/>
        <w:rPr>
          <w:rFonts w:hint="eastAsia" w:ascii="仿宋" w:hAnsi="仿宋" w:eastAsia="仿宋" w:cs="仿宋"/>
          <w:b w:val="0"/>
          <w:bCs w:val="0"/>
          <w:sz w:val="32"/>
          <w:szCs w:val="32"/>
          <w:lang w:eastAsia="zh-CN"/>
        </w:rPr>
      </w:pPr>
    </w:p>
    <w:p>
      <w:pPr>
        <w:numPr>
          <w:ilvl w:val="0"/>
          <w:numId w:val="0"/>
        </w:numPr>
        <w:rPr>
          <w:rFonts w:hint="eastAsia" w:ascii="仿宋" w:hAnsi="仿宋" w:eastAsia="仿宋" w:cs="仿宋"/>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MDQxNzg2NDIyMmJiZmM3ZTI0NDkyNWE0MDY2NzQifQ=="/>
  </w:docVars>
  <w:rsids>
    <w:rsidRoot w:val="00083CA3"/>
    <w:rsid w:val="00083CA3"/>
    <w:rsid w:val="004F7C4B"/>
    <w:rsid w:val="009E3B41"/>
    <w:rsid w:val="00EC78D2"/>
    <w:rsid w:val="0748264C"/>
    <w:rsid w:val="108F345A"/>
    <w:rsid w:val="14F504AE"/>
    <w:rsid w:val="161B0566"/>
    <w:rsid w:val="26B34232"/>
    <w:rsid w:val="303F302B"/>
    <w:rsid w:val="30D56858"/>
    <w:rsid w:val="33B50080"/>
    <w:rsid w:val="36D9651D"/>
    <w:rsid w:val="3E704E5E"/>
    <w:rsid w:val="41273B19"/>
    <w:rsid w:val="4662762C"/>
    <w:rsid w:val="49AB3B7A"/>
    <w:rsid w:val="49C073A3"/>
    <w:rsid w:val="4ED45C42"/>
    <w:rsid w:val="513E365E"/>
    <w:rsid w:val="591B0471"/>
    <w:rsid w:val="5B4146F5"/>
    <w:rsid w:val="708A65F2"/>
    <w:rsid w:val="7D8D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200" w:firstLineChars="200"/>
    </w:pPr>
  </w:style>
  <w:style w:type="paragraph" w:styleId="3">
    <w:name w:val="Body Text Indent"/>
    <w:basedOn w:val="1"/>
    <w:qFormat/>
    <w:uiPriority w:val="99"/>
    <w:pPr>
      <w:ind w:left="200" w:leftChars="200"/>
    </w:pPr>
    <w:rPr>
      <w:rFonts w:ascii="Times New Roman" w:hAnsi="Times New Roman"/>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customStyle="1" w:styleId="7">
    <w:name w:val="txt71"/>
    <w:basedOn w:val="6"/>
    <w:qFormat/>
    <w:uiPriority w:val="0"/>
    <w:rPr>
      <w:rFonts w:hint="eastAsia" w:ascii="微软雅黑" w:hAnsi="微软雅黑" w:eastAsia="微软雅黑" w:cs="微软雅黑"/>
      <w:color w:val="4A4A4A"/>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7376</Words>
  <Characters>7913</Characters>
  <Lines>57</Lines>
  <Paragraphs>16</Paragraphs>
  <TotalTime>94</TotalTime>
  <ScaleCrop>false</ScaleCrop>
  <LinksUpToDate>false</LinksUpToDate>
  <CharactersWithSpaces>7954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2020-12-16T06:50:00Z</dcterms:created>
  <dc:creator>a</dc:creator>
  <cp:lastModifiedBy>Administrator</cp:lastModifiedBy>
  <dcterms:modified xsi:type="dcterms:W3CDTF">2024-04-10T03:20:13Z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080739AA3BC04112B38B7A236239D6F8_13</vt:lpwstr>
  </property>
</Properties>
</file>