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一、中共沙河市委网络安全和信息化委员会办公室本级收支预算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106.97</w:t>
            </w:r>
          </w:p>
        </w:tc>
        <w:tc>
          <w:tcPr>
            <w:tcW w:w="4535" w:type="dxa"/>
            <w:vAlign w:val="center"/>
          </w:tcPr>
          <w:p>
            <w:pPr>
              <w:pStyle w:val="14"/>
            </w:pPr>
            <w:r>
              <w:t>一、一般公共服务支出</w:t>
            </w:r>
          </w:p>
        </w:tc>
        <w:tc>
          <w:tcPr>
            <w:tcW w:w="2126" w:type="dxa"/>
            <w:vAlign w:val="center"/>
          </w:tcPr>
          <w:p>
            <w:pPr>
              <w:pStyle w:val="13"/>
            </w:pPr>
            <w: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106.97</w:t>
            </w:r>
          </w:p>
        </w:tc>
        <w:tc>
          <w:tcPr>
            <w:tcW w:w="4535" w:type="dxa"/>
            <w:vAlign w:val="center"/>
          </w:tcPr>
          <w:p>
            <w:pPr>
              <w:pStyle w:val="16"/>
            </w:pPr>
            <w:r>
              <w:t>本年支出合计</w:t>
            </w:r>
          </w:p>
        </w:tc>
        <w:tc>
          <w:tcPr>
            <w:tcW w:w="2126" w:type="dxa"/>
            <w:vAlign w:val="center"/>
          </w:tcPr>
          <w:p>
            <w:pPr>
              <w:pStyle w:val="17"/>
            </w:pPr>
            <w:r>
              <w:t>106.97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106.97</w:t>
            </w:r>
          </w:p>
        </w:tc>
        <w:tc>
          <w:tcPr>
            <w:tcW w:w="4535" w:type="dxa"/>
            <w:vAlign w:val="center"/>
          </w:tcPr>
          <w:p>
            <w:pPr>
              <w:pStyle w:val="16"/>
            </w:pPr>
            <w:r>
              <w:t>支出总计</w:t>
            </w:r>
          </w:p>
        </w:tc>
        <w:tc>
          <w:tcPr>
            <w:tcW w:w="2126" w:type="dxa"/>
            <w:vAlign w:val="center"/>
          </w:tcPr>
          <w:p>
            <w:pPr>
              <w:pStyle w:val="17"/>
            </w:pPr>
            <w:r>
              <w:t>106.97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2013799</w:t>
            </w:r>
          </w:p>
        </w:tc>
        <w:tc>
          <w:tcPr>
            <w:tcW w:w="1559" w:type="dxa"/>
            <w:vAlign w:val="center"/>
          </w:tcPr>
          <w:p>
            <w:pPr>
              <w:pStyle w:val="14"/>
            </w:pPr>
            <w:r>
              <w:t>其他网信事务支出</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106.97</w:t>
            </w:r>
          </w:p>
        </w:tc>
        <w:tc>
          <w:tcPr>
            <w:tcW w:w="1361" w:type="dxa"/>
            <w:vAlign w:val="center"/>
          </w:tcPr>
          <w:p>
            <w:pPr>
              <w:pStyle w:val="17"/>
            </w:pPr>
            <w:r>
              <w:t>102.92</w:t>
            </w:r>
          </w:p>
        </w:tc>
        <w:tc>
          <w:tcPr>
            <w:tcW w:w="1361" w:type="dxa"/>
            <w:vAlign w:val="center"/>
          </w:tcPr>
          <w:p>
            <w:pPr>
              <w:pStyle w:val="17"/>
            </w:pPr>
            <w:r>
              <w:t>4.05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2013799</w:t>
            </w:r>
          </w:p>
        </w:tc>
        <w:tc>
          <w:tcPr>
            <w:tcW w:w="4535" w:type="dxa"/>
            <w:vAlign w:val="center"/>
          </w:tcPr>
          <w:p>
            <w:pPr>
              <w:pStyle w:val="14"/>
            </w:pPr>
            <w:r>
              <w:t>其他网信事务支出</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106.97</w:t>
            </w:r>
          </w:p>
        </w:tc>
        <w:tc>
          <w:tcPr>
            <w:tcW w:w="3402" w:type="dxa"/>
            <w:vAlign w:val="center"/>
          </w:tcPr>
          <w:p>
            <w:pPr>
              <w:pStyle w:val="14"/>
            </w:pPr>
            <w:r>
              <w:t>一、一般公共服务支出</w:t>
            </w:r>
          </w:p>
        </w:tc>
        <w:tc>
          <w:tcPr>
            <w:tcW w:w="1474" w:type="dxa"/>
            <w:vAlign w:val="center"/>
          </w:tcPr>
          <w:p>
            <w:pPr>
              <w:pStyle w:val="13"/>
            </w:pPr>
            <w:r>
              <w:t>82.92</w:t>
            </w:r>
          </w:p>
        </w:tc>
        <w:tc>
          <w:tcPr>
            <w:tcW w:w="1474" w:type="dxa"/>
            <w:vAlign w:val="center"/>
          </w:tcPr>
          <w:p>
            <w:pPr>
              <w:pStyle w:val="13"/>
            </w:pPr>
            <w:r>
              <w:t>82.92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10.51</w:t>
            </w:r>
          </w:p>
        </w:tc>
        <w:tc>
          <w:tcPr>
            <w:tcW w:w="1474" w:type="dxa"/>
            <w:vAlign w:val="center"/>
          </w:tcPr>
          <w:p>
            <w:pPr>
              <w:pStyle w:val="13"/>
            </w:pPr>
            <w:r>
              <w:t>10.51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4.83</w:t>
            </w:r>
          </w:p>
        </w:tc>
        <w:tc>
          <w:tcPr>
            <w:tcW w:w="1474" w:type="dxa"/>
            <w:vAlign w:val="center"/>
          </w:tcPr>
          <w:p>
            <w:pPr>
              <w:pStyle w:val="13"/>
            </w:pPr>
            <w:r>
              <w:t>4.83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8.71</w:t>
            </w:r>
          </w:p>
        </w:tc>
        <w:tc>
          <w:tcPr>
            <w:tcW w:w="1474" w:type="dxa"/>
            <w:vAlign w:val="center"/>
          </w:tcPr>
          <w:p>
            <w:pPr>
              <w:pStyle w:val="13"/>
            </w:pPr>
            <w:r>
              <w:t>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106.97</w:t>
            </w:r>
          </w:p>
        </w:tc>
        <w:tc>
          <w:tcPr>
            <w:tcW w:w="3402" w:type="dxa"/>
            <w:vAlign w:val="center"/>
          </w:tcPr>
          <w:p>
            <w:pPr>
              <w:pStyle w:val="16"/>
            </w:pPr>
            <w:r>
              <w:t>本年支出合计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106.97</w:t>
            </w:r>
          </w:p>
        </w:tc>
        <w:tc>
          <w:tcPr>
            <w:tcW w:w="3402" w:type="dxa"/>
            <w:vAlign w:val="center"/>
          </w:tcPr>
          <w:p>
            <w:pPr>
              <w:pStyle w:val="16"/>
            </w:pPr>
            <w:r>
              <w:t>支出总计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106.97</w:t>
            </w:r>
          </w:p>
        </w:tc>
        <w:tc>
          <w:tcPr>
            <w:tcW w:w="2551" w:type="dxa"/>
            <w:vAlign w:val="center"/>
          </w:tcPr>
          <w:p>
            <w:pPr>
              <w:pStyle w:val="17"/>
            </w:pPr>
            <w:r>
              <w:t>102.92</w:t>
            </w:r>
          </w:p>
        </w:tc>
        <w:tc>
          <w:tcPr>
            <w:tcW w:w="2551" w:type="dxa"/>
            <w:vAlign w:val="center"/>
          </w:tcPr>
          <w:p>
            <w:pPr>
              <w:pStyle w:val="17"/>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2013799</w:t>
            </w:r>
          </w:p>
        </w:tc>
        <w:tc>
          <w:tcPr>
            <w:tcW w:w="4535" w:type="dxa"/>
            <w:vAlign w:val="center"/>
          </w:tcPr>
          <w:p>
            <w:pPr>
              <w:pStyle w:val="14"/>
            </w:pPr>
            <w:r>
              <w:t>其他网信事务支出</w:t>
            </w:r>
          </w:p>
        </w:tc>
        <w:tc>
          <w:tcPr>
            <w:tcW w:w="2551" w:type="dxa"/>
            <w:vAlign w:val="center"/>
          </w:tcPr>
          <w:p>
            <w:pPr>
              <w:pStyle w:val="13"/>
            </w:pPr>
            <w:r>
              <w:t>4.05</w:t>
            </w:r>
          </w:p>
        </w:tc>
        <w:tc>
          <w:tcPr>
            <w:tcW w:w="2551" w:type="dxa"/>
            <w:vAlign w:val="center"/>
          </w:tcPr>
          <w:p>
            <w:pPr>
              <w:pStyle w:val="13"/>
            </w:pP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102.92</w:t>
            </w:r>
          </w:p>
        </w:tc>
        <w:tc>
          <w:tcPr>
            <w:tcW w:w="2551" w:type="dxa"/>
            <w:vAlign w:val="center"/>
          </w:tcPr>
          <w:p>
            <w:pPr>
              <w:pStyle w:val="17"/>
            </w:pPr>
            <w:r>
              <w:t>95.27</w:t>
            </w:r>
          </w:p>
        </w:tc>
        <w:tc>
          <w:tcPr>
            <w:tcW w:w="2551" w:type="dxa"/>
            <w:vAlign w:val="center"/>
          </w:tcPr>
          <w:p>
            <w:pPr>
              <w:pStyle w:val="17"/>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95.27</w:t>
            </w:r>
          </w:p>
        </w:tc>
        <w:tc>
          <w:tcPr>
            <w:tcW w:w="2551" w:type="dxa"/>
            <w:vAlign w:val="center"/>
          </w:tcPr>
          <w:p>
            <w:pPr>
              <w:pStyle w:val="13"/>
            </w:pPr>
            <w:r>
              <w:t>95.27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33.48</w:t>
            </w:r>
          </w:p>
        </w:tc>
        <w:tc>
          <w:tcPr>
            <w:tcW w:w="2551" w:type="dxa"/>
            <w:vAlign w:val="center"/>
          </w:tcPr>
          <w:p>
            <w:pPr>
              <w:pStyle w:val="13"/>
            </w:pPr>
            <w:r>
              <w:t>33.48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16.64</w:t>
            </w:r>
          </w:p>
        </w:tc>
        <w:tc>
          <w:tcPr>
            <w:tcW w:w="2551" w:type="dxa"/>
            <w:vAlign w:val="center"/>
          </w:tcPr>
          <w:p>
            <w:pPr>
              <w:pStyle w:val="13"/>
            </w:pPr>
            <w:r>
              <w:t>16.64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13.58</w:t>
            </w:r>
          </w:p>
        </w:tc>
        <w:tc>
          <w:tcPr>
            <w:tcW w:w="2551" w:type="dxa"/>
            <w:vAlign w:val="center"/>
          </w:tcPr>
          <w:p>
            <w:pPr>
              <w:pStyle w:val="13"/>
            </w:pPr>
            <w:r>
              <w:t>13.58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7.65</w:t>
            </w:r>
          </w:p>
        </w:tc>
        <w:tc>
          <w:tcPr>
            <w:tcW w:w="2551" w:type="dxa"/>
            <w:vAlign w:val="center"/>
          </w:tcPr>
          <w:p>
            <w:pPr>
              <w:pStyle w:val="13"/>
            </w:pPr>
          </w:p>
        </w:tc>
        <w:tc>
          <w:tcPr>
            <w:tcW w:w="2551" w:type="dxa"/>
            <w:vAlign w:val="center"/>
          </w:tcPr>
          <w:p>
            <w:pPr>
              <w:pStyle w:val="13"/>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中共沙河市委网络安全和信息化委员会办公室2023年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中共沙河市委网络安全和信息化委员会办公室2023年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、《地方预决算公开操作规程》和《关于进一步推进预算公开工作的实施意见》规定，现将中共沙河市委网络安全和信息化委员会办公室2023年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pStyle w:val="19"/>
      </w:pPr>
      <w: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pStyle w:val="19"/>
      </w:pPr>
      <w:r>
        <w:t>（三）统筹协调全市网络安全保障体系和可信体系建设。牵头协调有关</w:t>
      </w:r>
      <w:r>
        <w:rPr>
          <w:rFonts w:hint="eastAsia"/>
          <w:lang w:eastAsia="zh-CN"/>
        </w:rPr>
        <w:t>单位</w:t>
      </w:r>
      <w:r>
        <w:t>制定相关行业网络安全规划及保障评价指标体系，协调信息安全保护工作；指导推进全市党政军</w:t>
      </w:r>
      <w:r>
        <w:rPr>
          <w:rFonts w:hint="eastAsia"/>
          <w:lang w:eastAsia="zh-CN"/>
        </w:rPr>
        <w:t>单位</w:t>
      </w:r>
      <w:r>
        <w:t>，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pStyle w:val="19"/>
      </w:pPr>
      <w:r>
        <w:t>（四）督促落实我市涉及政治、经济、文化、社会、生态及军事等各个领域的网络安全和信息化重大事项；负责协调处理网络安全和信息化重大突发事件与有关应急工作。</w:t>
      </w:r>
    </w:p>
    <w:p>
      <w:pPr>
        <w:pStyle w:val="19"/>
      </w:pPr>
      <w:r>
        <w:t>（五）负责全市互联网信息内容管理。统筹协调组织互联网宣传管理和舆论引导工作，组织开展网上评论，指导推动网络评论队伍建设，维护互联网意识形态安全；研究</w:t>
      </w:r>
      <w:r>
        <w:rPr>
          <w:rFonts w:hint="eastAsia"/>
          <w:lang w:eastAsia="zh-CN"/>
        </w:rPr>
        <w:t>拟定</w:t>
      </w:r>
      <w:r>
        <w:t>互联网新闻信息传播相关政策；负责互联网信息内容监督管理执法，组织开展网络舆论生态治理，依法指导和管理本市落地网站及市内新媒体新应用，会同有关</w:t>
      </w:r>
      <w:r>
        <w:rPr>
          <w:rFonts w:hint="eastAsia"/>
          <w:lang w:eastAsia="zh-CN"/>
        </w:rPr>
        <w:t>单位</w:t>
      </w:r>
      <w:r>
        <w:t>处置和封堵网上有害信息，依照相关法律和规定查处违法违规行为和网站。</w:t>
      </w:r>
    </w:p>
    <w:p>
      <w:pPr>
        <w:pStyle w:val="19"/>
      </w:pPr>
      <w:r>
        <w:t>（六）负责指导协调全市网络舆情工作。收集、分析、研判、报送和处置网络舆情信息，依法规范舆情服务市场。</w:t>
      </w:r>
    </w:p>
    <w:p>
      <w:pPr>
        <w:pStyle w:val="19"/>
      </w:pPr>
      <w:r>
        <w:t>（七）推动全市网络阵地建设和重点新闻网站规划建设。指导协调网络游戏、网络视听、网络出版等相关业务，推动移动互联网发展，会同有关</w:t>
      </w:r>
      <w:r>
        <w:rPr>
          <w:rFonts w:hint="eastAsia"/>
          <w:lang w:eastAsia="zh-CN"/>
        </w:rPr>
        <w:t>单位</w:t>
      </w:r>
      <w:r>
        <w:t>推动传统媒体与新兴媒体融合发展；负责全市网站转载新闻稿源的管理。</w:t>
      </w:r>
    </w:p>
    <w:p>
      <w:pPr>
        <w:pStyle w:val="19"/>
      </w:pPr>
      <w:r>
        <w:t>（八）推动全市网络社会工作和网络文化、网络文明建设；发展、联系、服务网络社会组织，指导互联网行业自律，推进网站党建工作。</w:t>
      </w:r>
    </w:p>
    <w:p>
      <w:pPr>
        <w:pStyle w:val="19"/>
      </w:pPr>
      <w: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w:t>
      </w:r>
      <w:r>
        <w:rPr>
          <w:rFonts w:hint="eastAsia"/>
          <w:lang w:eastAsia="zh-CN"/>
        </w:rPr>
        <w:t>单位</w:t>
      </w:r>
      <w:r>
        <w:t>督促电信运营企业、接入服务企业、域名注册管理和服务机构做好域名注册、互联网地址（1P地址）分配、网站登记备案、接入以及网络行为主体身份信息核对等基础管理工作；指导协调有关</w:t>
      </w:r>
      <w:r>
        <w:rPr>
          <w:rFonts w:hint="eastAsia"/>
          <w:lang w:eastAsia="zh-CN"/>
        </w:rPr>
        <w:t>单位</w:t>
      </w:r>
      <w:r>
        <w:t>推进新技术新应用安全评估，统筹协调全市移动互联网管理。</w:t>
      </w:r>
    </w:p>
    <w:p>
      <w:pPr>
        <w:pStyle w:val="19"/>
      </w:pPr>
      <w: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pStyle w:val="19"/>
      </w:pPr>
      <w:r>
        <w:t>（十一）规划指导市内机构开展金融信息服务业务。组织开展全市金融信息服务市场监管；协调金融监管</w:t>
      </w:r>
      <w:r>
        <w:rPr>
          <w:rFonts w:hint="eastAsia"/>
          <w:lang w:eastAsia="zh-CN"/>
        </w:rPr>
        <w:t>单位</w:t>
      </w:r>
      <w:r>
        <w:t>建立全市网络金融信息发布、传播监管制度及工作机制。</w:t>
      </w:r>
    </w:p>
    <w:p>
      <w:pPr>
        <w:pStyle w:val="19"/>
      </w:pPr>
      <w:r>
        <w:t>（十二）组织</w:t>
      </w:r>
      <w:r>
        <w:rPr>
          <w:rFonts w:hint="eastAsia"/>
          <w:lang w:eastAsia="zh-CN"/>
        </w:rPr>
        <w:t>拟定</w:t>
      </w:r>
      <w:r>
        <w:t>网络安全和信息化干部人才队伍发展规划，组织开展网信系统干部教育培训和人才队伍建设，规划指导全市互联网新闻信息服务从业人员教育培训和考评工作，组织开展网络媒介素养教育。</w:t>
      </w:r>
    </w:p>
    <w:p>
      <w:pPr>
        <w:pStyle w:val="19"/>
      </w:pPr>
      <w:r>
        <w:t>（十三）组织开展相关领域国内国际交流与合作。</w:t>
      </w:r>
    </w:p>
    <w:p>
      <w:pPr>
        <w:pStyle w:val="19"/>
      </w:pPr>
      <w:r>
        <w:t>（十四）指导、检查、推动各乡镇办事处和有关</w:t>
      </w:r>
      <w:r>
        <w:rPr>
          <w:rFonts w:hint="eastAsia"/>
          <w:lang w:eastAsia="zh-CN"/>
        </w:rPr>
        <w:t>单位</w:t>
      </w:r>
      <w:r>
        <w:t>网络安全和信息化工作。</w:t>
      </w:r>
    </w:p>
    <w:p>
      <w:pPr>
        <w:pStyle w:val="19"/>
      </w:pPr>
      <w: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中共沙河市委网络安全和信息化委员会办公室本级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预算的编制实行综合预算管理，即全部收入和支出都反映在预算中。中共沙河市委网络安全和信息化委员会办公室机关及所属事业单位的收支包含在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2023年</w:t>
      </w:r>
      <w:r>
        <w:rPr>
          <w:rFonts w:hint="eastAsia"/>
          <w:lang w:eastAsia="zh-CN"/>
        </w:rPr>
        <w:t>单位</w:t>
      </w:r>
      <w:r>
        <w:t>预算总收入106.97万元。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无机关运行经费。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总书记在全国宣传思想工作会议上的讲话为指导，认真学习贯彻省、邢台市宣传思想工作会议，紧紧围绕市委、市政府中心工作和重点工作，大力推进网络宣传工作，不断加强网络信息管理，立足工作实际，突出思想引领，创新方法举措，积极开展了一系列工作，牢牢把握网上舆论主动权，利用多种渠道宣传沙河。切实提升网络安全防护体系。持续开展政务平台，上云系统和重点单位网络安全常态化和专项检查检测；积极办好2022年国家网络安全宣传周活动，开展网络安全“五进”宣传活动，强化主体责任，健全网络安全机制，明确各涉网用网单位工作职责，提升网络安全应急处置水平。持续深化网络综合治理体系，深入开展“净网”专项行动，加强网络管理执法，加大对属地自媒体违法违规行为的处罚力度，加强互联网新闻信息服务从业人员管理，建立从业</w:t>
      </w:r>
      <w:r>
        <w:rPr>
          <w:rFonts w:hint="eastAsia"/>
          <w:lang w:eastAsia="zh-CN"/>
        </w:rPr>
        <w:t>人员信息库</w:t>
      </w:r>
      <w:r>
        <w:t>，召开专题培训，加大网络辟谣工作力度，健全网络辟谣联动机制，及时有效处置网络谣言，持续开展“网络辟谣”“利民护企”等“五进”宣传活动。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持续做好网上正面宣传。一是对外宣传，继续加强与省、中央级重要网络媒体联系合作，及时将沙河经济社会发展亮点工作宣传出去，提升对外影响力；二是属地内宣传，加强政务新媒体、社会自媒体管理，做到统一发声，及时发布我市正能量信息，浓厚氛围；三是做好微信群组管理，充分利用微信群组快速传播的作用，持续开展重要思想、上级政策解读、疫情防控知识、党员干部应知应会等网上宣传活动，让更多正能量网络宣传飞入寻常百姓家。</w:t>
      </w:r>
    </w:p>
    <w:p>
      <w:pPr>
        <w:pStyle w:val="24"/>
      </w:pPr>
      <w:r>
        <w:t>二、建强用好湡水网军队伍。持续加强“湡水网军”建设工程，在做好核心网评员建设的同时，加强骨干网评员建设工作，通过组织召开专题培训会，开展网络舆论引导应急比武演练等活动，进一步提升全市舆论引导应急能力水平。</w:t>
      </w:r>
    </w:p>
    <w:p>
      <w:pPr>
        <w:pStyle w:val="24"/>
      </w:pPr>
      <w:r>
        <w:t>三、增强网上舆情监测处置力度。一是谋划搭建更新网络舆情监测平台，针对微信、短视频等新媒体舆情信息，能够及时监测，及时处置苗头性、易发酵的舆情；二是定期组织召开各相关单位舆情应对处置联席会商会议；三是建立舆情工作台账，搭建重大舆情案例数据库，围绕重点敏感时间节点，严格管控政治类有害信息。</w:t>
      </w:r>
    </w:p>
    <w:p>
      <w:pPr>
        <w:pStyle w:val="24"/>
      </w:pPr>
      <w:r>
        <w:t>四、切实提升网络安全防护体系。一是持续开展政务平台、上云系统和重点单位网站安全常态化和专项检查检测；二是积极办好2022年国家网络安全宣传周活动，开展网络安全“五进”宣传活动；三是强化主体责任，健全网络安全机制，明确各涉网用网单位工作职责，提升网络安全应急处置水平。</w:t>
      </w:r>
    </w:p>
    <w:p>
      <w:pPr>
        <w:pStyle w:val="24"/>
      </w:pPr>
      <w:r>
        <w:t>五、深化网络综合治理体系。一是深入开展“净网”专项行动，加强网络管理执法，加大对属地自媒体违法违规行为的处罚力度；二是加强互联网新闻信息服务从业人员管理，建立从业</w:t>
      </w:r>
      <w:r>
        <w:rPr>
          <w:rFonts w:hint="eastAsia"/>
          <w:lang w:eastAsia="zh-CN"/>
        </w:rPr>
        <w:t>人员信息库</w:t>
      </w:r>
      <w:r>
        <w:t>，召开专题培训；三是加大网络辟谣工作力度，健全网络辟谣联动机制，及时有效处置网络谣言，持续开展“网络辟谣”“利民护企”等“五进”宣传活动。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（一）提高政治站位。坚持以习近平新时代中国特色社会主义思想为指导，紧紧围绕市委重大决策部署，立足发展全局，突出工作重点，深化有效举措，着力提升网信工作水平，确保全年目标任务高质量完成。</w:t>
      </w:r>
    </w:p>
    <w:p>
      <w:pPr>
        <w:pStyle w:val="25"/>
      </w:pPr>
      <w:r>
        <w:t>（二）强化预算执行，严格支出管理。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25"/>
      </w:pPr>
      <w:r>
        <w:t>（三）健全评价机制，狠抓工作落实。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25"/>
      </w:pPr>
      <w:r>
        <w:t>（四）加强内部监督，规范财务管理。综合股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1、网络安全和信息化工作经费绩效目标表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1.保障网络安全和信息化工作正常运转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完成网络安全检查工作</w:t>
            </w:r>
          </w:p>
        </w:tc>
        <w:tc>
          <w:tcPr>
            <w:tcW w:w="2835" w:type="dxa"/>
            <w:vAlign w:val="center"/>
          </w:tcPr>
          <w:p>
            <w:pPr>
              <w:pStyle w:val="14"/>
            </w:pPr>
            <w:r>
              <w:t>完成网络安全检查工作</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网络安全建设验收合格</w:t>
            </w:r>
          </w:p>
        </w:tc>
        <w:tc>
          <w:tcPr>
            <w:tcW w:w="2835" w:type="dxa"/>
            <w:vAlign w:val="center"/>
          </w:tcPr>
          <w:p>
            <w:pPr>
              <w:pStyle w:val="14"/>
            </w:pPr>
            <w:r>
              <w:t>项目验收正常开展后续工作合格率</w:t>
            </w:r>
          </w:p>
        </w:tc>
        <w:tc>
          <w:tcPr>
            <w:tcW w:w="2551" w:type="dxa"/>
            <w:vAlign w:val="center"/>
          </w:tcPr>
          <w:p>
            <w:pPr>
              <w:pStyle w:val="14"/>
            </w:pPr>
            <w:r>
              <w:t>≥85合格率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信息系统及网络安全隐患减少</w:t>
            </w:r>
          </w:p>
        </w:tc>
        <w:tc>
          <w:tcPr>
            <w:tcW w:w="2835" w:type="dxa"/>
            <w:vAlign w:val="center"/>
          </w:tcPr>
          <w:p>
            <w:pPr>
              <w:pStyle w:val="14"/>
            </w:pPr>
            <w:r>
              <w:t>信息系统及网络安全隐患排查完成时间</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成本实用率</w:t>
            </w:r>
          </w:p>
        </w:tc>
        <w:tc>
          <w:tcPr>
            <w:tcW w:w="2835" w:type="dxa"/>
            <w:vAlign w:val="center"/>
          </w:tcPr>
          <w:p>
            <w:pPr>
              <w:pStyle w:val="14"/>
            </w:pPr>
            <w:r>
              <w:t>成本实用率</w:t>
            </w:r>
          </w:p>
        </w:tc>
        <w:tc>
          <w:tcPr>
            <w:tcW w:w="2551" w:type="dxa"/>
            <w:vAlign w:val="center"/>
          </w:tcPr>
          <w:p>
            <w:pPr>
              <w:pStyle w:val="14"/>
            </w:pPr>
            <w:r>
              <w:t>≥85使用率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资金使用效率</w:t>
            </w:r>
          </w:p>
        </w:tc>
        <w:tc>
          <w:tcPr>
            <w:tcW w:w="2835" w:type="dxa"/>
            <w:vAlign w:val="center"/>
          </w:tcPr>
          <w:p>
            <w:pPr>
              <w:pStyle w:val="14"/>
            </w:pPr>
            <w:r>
              <w:t>资金使用效率</w:t>
            </w:r>
          </w:p>
        </w:tc>
        <w:tc>
          <w:tcPr>
            <w:tcW w:w="2551" w:type="dxa"/>
            <w:vAlign w:val="center"/>
          </w:tcPr>
          <w:p>
            <w:pPr>
              <w:pStyle w:val="14"/>
            </w:pPr>
            <w:r>
              <w:t>≥80使用率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≥85影响力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≥85可持续性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≥30满意度</w:t>
            </w:r>
          </w:p>
        </w:tc>
        <w:tc>
          <w:tcPr>
            <w:tcW w:w="2268" w:type="dxa"/>
            <w:vAlign w:val="center"/>
          </w:tcPr>
          <w:p>
            <w:pPr>
              <w:pStyle w:val="14"/>
            </w:pPr>
            <w:r>
              <w:t>年度测评表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2023年，中共沙河市委网络安全和信息化委员会办公室安排政府采购预算0.00万元。具体内容见下表。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105.12</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105.12</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12.23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一、中共沙河市委网络安全和信息化委员会办公室本级收支预算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106.97</w:t>
            </w:r>
          </w:p>
        </w:tc>
        <w:tc>
          <w:tcPr>
            <w:tcW w:w="4535" w:type="dxa"/>
            <w:vAlign w:val="center"/>
          </w:tcPr>
          <w:p>
            <w:pPr>
              <w:pStyle w:val="14"/>
            </w:pPr>
            <w:r>
              <w:t>一、一般公共服务支出</w:t>
            </w:r>
          </w:p>
        </w:tc>
        <w:tc>
          <w:tcPr>
            <w:tcW w:w="2126" w:type="dxa"/>
            <w:vAlign w:val="center"/>
          </w:tcPr>
          <w:p>
            <w:pPr>
              <w:pStyle w:val="13"/>
            </w:pPr>
            <w: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106.97</w:t>
            </w:r>
          </w:p>
        </w:tc>
        <w:tc>
          <w:tcPr>
            <w:tcW w:w="4535" w:type="dxa"/>
            <w:vAlign w:val="center"/>
          </w:tcPr>
          <w:p>
            <w:pPr>
              <w:pStyle w:val="16"/>
            </w:pPr>
            <w:r>
              <w:t>本年支出合计</w:t>
            </w:r>
          </w:p>
        </w:tc>
        <w:tc>
          <w:tcPr>
            <w:tcW w:w="2126" w:type="dxa"/>
            <w:vAlign w:val="center"/>
          </w:tcPr>
          <w:p>
            <w:pPr>
              <w:pStyle w:val="17"/>
            </w:pPr>
            <w:r>
              <w:t>106.97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106.97</w:t>
            </w:r>
          </w:p>
        </w:tc>
        <w:tc>
          <w:tcPr>
            <w:tcW w:w="4535" w:type="dxa"/>
            <w:vAlign w:val="center"/>
          </w:tcPr>
          <w:p>
            <w:pPr>
              <w:pStyle w:val="16"/>
            </w:pPr>
            <w:r>
              <w:t>支出总计</w:t>
            </w:r>
          </w:p>
        </w:tc>
        <w:tc>
          <w:tcPr>
            <w:tcW w:w="2126" w:type="dxa"/>
            <w:vAlign w:val="center"/>
          </w:tcPr>
          <w:p>
            <w:pPr>
              <w:pStyle w:val="17"/>
            </w:pPr>
            <w:r>
              <w:t>106.97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2013799</w:t>
            </w:r>
          </w:p>
        </w:tc>
        <w:tc>
          <w:tcPr>
            <w:tcW w:w="1559" w:type="dxa"/>
            <w:vAlign w:val="center"/>
          </w:tcPr>
          <w:p>
            <w:pPr>
              <w:pStyle w:val="14"/>
            </w:pPr>
            <w:r>
              <w:t>其他网信事务支出</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106.97</w:t>
            </w:r>
          </w:p>
        </w:tc>
        <w:tc>
          <w:tcPr>
            <w:tcW w:w="1361" w:type="dxa"/>
            <w:vAlign w:val="center"/>
          </w:tcPr>
          <w:p>
            <w:pPr>
              <w:pStyle w:val="17"/>
            </w:pPr>
            <w:r>
              <w:t>102.92</w:t>
            </w:r>
          </w:p>
        </w:tc>
        <w:tc>
          <w:tcPr>
            <w:tcW w:w="1361" w:type="dxa"/>
            <w:vAlign w:val="center"/>
          </w:tcPr>
          <w:p>
            <w:pPr>
              <w:pStyle w:val="17"/>
            </w:pPr>
            <w:r>
              <w:t>4.05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2013799</w:t>
            </w:r>
          </w:p>
        </w:tc>
        <w:tc>
          <w:tcPr>
            <w:tcW w:w="4535" w:type="dxa"/>
            <w:vAlign w:val="center"/>
          </w:tcPr>
          <w:p>
            <w:pPr>
              <w:pStyle w:val="14"/>
            </w:pPr>
            <w:r>
              <w:t>其他网信事务支出</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106.97</w:t>
            </w:r>
          </w:p>
        </w:tc>
        <w:tc>
          <w:tcPr>
            <w:tcW w:w="3402" w:type="dxa"/>
            <w:vAlign w:val="center"/>
          </w:tcPr>
          <w:p>
            <w:pPr>
              <w:pStyle w:val="14"/>
            </w:pPr>
            <w:r>
              <w:t>一、一般公共服务支出</w:t>
            </w:r>
          </w:p>
        </w:tc>
        <w:tc>
          <w:tcPr>
            <w:tcW w:w="1474" w:type="dxa"/>
            <w:vAlign w:val="center"/>
          </w:tcPr>
          <w:p>
            <w:pPr>
              <w:pStyle w:val="13"/>
            </w:pPr>
            <w:r>
              <w:t>82.92</w:t>
            </w:r>
          </w:p>
        </w:tc>
        <w:tc>
          <w:tcPr>
            <w:tcW w:w="1474" w:type="dxa"/>
            <w:vAlign w:val="center"/>
          </w:tcPr>
          <w:p>
            <w:pPr>
              <w:pStyle w:val="13"/>
            </w:pPr>
            <w:r>
              <w:t>82.92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10.51</w:t>
            </w:r>
          </w:p>
        </w:tc>
        <w:tc>
          <w:tcPr>
            <w:tcW w:w="1474" w:type="dxa"/>
            <w:vAlign w:val="center"/>
          </w:tcPr>
          <w:p>
            <w:pPr>
              <w:pStyle w:val="13"/>
            </w:pPr>
            <w:r>
              <w:t>10.51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4.83</w:t>
            </w:r>
          </w:p>
        </w:tc>
        <w:tc>
          <w:tcPr>
            <w:tcW w:w="1474" w:type="dxa"/>
            <w:vAlign w:val="center"/>
          </w:tcPr>
          <w:p>
            <w:pPr>
              <w:pStyle w:val="13"/>
            </w:pPr>
            <w:r>
              <w:t>4.83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8.71</w:t>
            </w:r>
          </w:p>
        </w:tc>
        <w:tc>
          <w:tcPr>
            <w:tcW w:w="1474" w:type="dxa"/>
            <w:vAlign w:val="center"/>
          </w:tcPr>
          <w:p>
            <w:pPr>
              <w:pStyle w:val="13"/>
            </w:pPr>
            <w:r>
              <w:t>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106.97</w:t>
            </w:r>
          </w:p>
        </w:tc>
        <w:tc>
          <w:tcPr>
            <w:tcW w:w="3402" w:type="dxa"/>
            <w:vAlign w:val="center"/>
          </w:tcPr>
          <w:p>
            <w:pPr>
              <w:pStyle w:val="16"/>
            </w:pPr>
            <w:r>
              <w:t>本年支出合计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106.97</w:t>
            </w:r>
          </w:p>
        </w:tc>
        <w:tc>
          <w:tcPr>
            <w:tcW w:w="3402" w:type="dxa"/>
            <w:vAlign w:val="center"/>
          </w:tcPr>
          <w:p>
            <w:pPr>
              <w:pStyle w:val="16"/>
            </w:pPr>
            <w:r>
              <w:t>支出总计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106.97</w:t>
            </w:r>
          </w:p>
        </w:tc>
        <w:tc>
          <w:tcPr>
            <w:tcW w:w="2551" w:type="dxa"/>
            <w:vAlign w:val="center"/>
          </w:tcPr>
          <w:p>
            <w:pPr>
              <w:pStyle w:val="17"/>
            </w:pPr>
            <w:r>
              <w:t>102.92</w:t>
            </w:r>
          </w:p>
        </w:tc>
        <w:tc>
          <w:tcPr>
            <w:tcW w:w="2551" w:type="dxa"/>
            <w:vAlign w:val="center"/>
          </w:tcPr>
          <w:p>
            <w:pPr>
              <w:pStyle w:val="17"/>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2013799</w:t>
            </w:r>
          </w:p>
        </w:tc>
        <w:tc>
          <w:tcPr>
            <w:tcW w:w="4535" w:type="dxa"/>
            <w:vAlign w:val="center"/>
          </w:tcPr>
          <w:p>
            <w:pPr>
              <w:pStyle w:val="14"/>
            </w:pPr>
            <w:r>
              <w:t>其他网信事务支出</w:t>
            </w:r>
          </w:p>
        </w:tc>
        <w:tc>
          <w:tcPr>
            <w:tcW w:w="2551" w:type="dxa"/>
            <w:vAlign w:val="center"/>
          </w:tcPr>
          <w:p>
            <w:pPr>
              <w:pStyle w:val="13"/>
            </w:pPr>
            <w:r>
              <w:t>4.05</w:t>
            </w:r>
          </w:p>
        </w:tc>
        <w:tc>
          <w:tcPr>
            <w:tcW w:w="2551" w:type="dxa"/>
            <w:vAlign w:val="center"/>
          </w:tcPr>
          <w:p>
            <w:pPr>
              <w:pStyle w:val="13"/>
            </w:pP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102.92</w:t>
            </w:r>
          </w:p>
        </w:tc>
        <w:tc>
          <w:tcPr>
            <w:tcW w:w="2551" w:type="dxa"/>
            <w:vAlign w:val="center"/>
          </w:tcPr>
          <w:p>
            <w:pPr>
              <w:pStyle w:val="17"/>
            </w:pPr>
            <w:r>
              <w:t>95.27</w:t>
            </w:r>
          </w:p>
        </w:tc>
        <w:tc>
          <w:tcPr>
            <w:tcW w:w="2551" w:type="dxa"/>
            <w:vAlign w:val="center"/>
          </w:tcPr>
          <w:p>
            <w:pPr>
              <w:pStyle w:val="17"/>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95.27</w:t>
            </w:r>
          </w:p>
        </w:tc>
        <w:tc>
          <w:tcPr>
            <w:tcW w:w="2551" w:type="dxa"/>
            <w:vAlign w:val="center"/>
          </w:tcPr>
          <w:p>
            <w:pPr>
              <w:pStyle w:val="13"/>
            </w:pPr>
            <w:r>
              <w:t>95.27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33.48</w:t>
            </w:r>
          </w:p>
        </w:tc>
        <w:tc>
          <w:tcPr>
            <w:tcW w:w="2551" w:type="dxa"/>
            <w:vAlign w:val="center"/>
          </w:tcPr>
          <w:p>
            <w:pPr>
              <w:pStyle w:val="13"/>
            </w:pPr>
            <w:r>
              <w:t>33.48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16.64</w:t>
            </w:r>
          </w:p>
        </w:tc>
        <w:tc>
          <w:tcPr>
            <w:tcW w:w="2551" w:type="dxa"/>
            <w:vAlign w:val="center"/>
          </w:tcPr>
          <w:p>
            <w:pPr>
              <w:pStyle w:val="13"/>
            </w:pPr>
            <w:r>
              <w:t>16.64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13.58</w:t>
            </w:r>
          </w:p>
        </w:tc>
        <w:tc>
          <w:tcPr>
            <w:tcW w:w="2551" w:type="dxa"/>
            <w:vAlign w:val="center"/>
          </w:tcPr>
          <w:p>
            <w:pPr>
              <w:pStyle w:val="13"/>
            </w:pPr>
            <w:r>
              <w:t>13.58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7.65</w:t>
            </w:r>
          </w:p>
        </w:tc>
        <w:tc>
          <w:tcPr>
            <w:tcW w:w="2551" w:type="dxa"/>
            <w:vAlign w:val="center"/>
          </w:tcPr>
          <w:p>
            <w:pPr>
              <w:pStyle w:val="13"/>
            </w:pPr>
          </w:p>
        </w:tc>
        <w:tc>
          <w:tcPr>
            <w:tcW w:w="2551" w:type="dxa"/>
            <w:vAlign w:val="center"/>
          </w:tcPr>
          <w:p>
            <w:pPr>
              <w:pStyle w:val="13"/>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中共沙河市委网络安全和信息化委员会办公室本级2023年单位预算信息公开情况说明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、《地方预决算公开操作规程》和《关于进一步推进预算公开工作的实施意见》规定，现将中共沙河市委网络安全和信息化委员会办公室本级2023年单位预算公开如下：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pStyle w:val="27"/>
      </w:pPr>
      <w: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pStyle w:val="27"/>
      </w:pPr>
      <w:r>
        <w:t>（三）统筹协调全市网络安全保障体系和可信体系建设。牵头协调有关</w:t>
      </w:r>
      <w:r>
        <w:rPr>
          <w:rFonts w:hint="eastAsia"/>
          <w:lang w:eastAsia="zh-CN"/>
        </w:rPr>
        <w:t>单位</w:t>
      </w:r>
      <w:r>
        <w:t>制定相关行业网络安全规划及保障评价指标体系，协调信息安全保护工作；指导推进全市党政军</w:t>
      </w:r>
      <w:r>
        <w:rPr>
          <w:rFonts w:hint="eastAsia"/>
          <w:lang w:eastAsia="zh-CN"/>
        </w:rPr>
        <w:t>单位</w:t>
      </w:r>
      <w:r>
        <w:t>，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pStyle w:val="27"/>
      </w:pPr>
      <w:r>
        <w:t>（四）督促落实我市涉及政治、经济、文化、社会、生态及军事等各个领域的网络安全和信息化重大事项；负责协调处理网络安全和信息化重大突发事件与有关应急工作。</w:t>
      </w:r>
    </w:p>
    <w:p>
      <w:pPr>
        <w:pStyle w:val="27"/>
      </w:pPr>
      <w:r>
        <w:t>（五）负责全市互联网信息内容管理。统筹协调组织互联网宣传管理和舆论引导工作，组织开展网上评论，指导推动网络评论队伍建设，维护互联网意识形态安全；研究</w:t>
      </w:r>
      <w:r>
        <w:rPr>
          <w:rFonts w:hint="eastAsia"/>
          <w:lang w:eastAsia="zh-CN"/>
        </w:rPr>
        <w:t>拟定</w:t>
      </w:r>
      <w:r>
        <w:t>互联网新闻信息传播相关政策；负责互联网信息内容监督管理执法，组织开展网络舆论生态治理，依法指导和管理本市落地网站及市内新媒体新应用，会同有关</w:t>
      </w:r>
      <w:r>
        <w:rPr>
          <w:rFonts w:hint="eastAsia"/>
          <w:lang w:eastAsia="zh-CN"/>
        </w:rPr>
        <w:t>单位</w:t>
      </w:r>
      <w:r>
        <w:t>处置和封堵网上有害信息，依照相关法律和规定查处违法违规行为和网站。</w:t>
      </w:r>
    </w:p>
    <w:p>
      <w:pPr>
        <w:pStyle w:val="27"/>
      </w:pPr>
      <w:r>
        <w:t>（六）负责指导协调全市网络舆情工作。收集、分析、研判、报送和处置网络舆情信息，依法规范舆情服务市场。</w:t>
      </w:r>
    </w:p>
    <w:p>
      <w:pPr>
        <w:pStyle w:val="27"/>
      </w:pPr>
      <w:r>
        <w:t>（七）推动全市网络阵地建设和重点新闻网站规划建设。指导协调网络游戏、网络视听、网络出版等相关业务，推动移动互联网发展，会同有关</w:t>
      </w:r>
      <w:r>
        <w:rPr>
          <w:rFonts w:hint="eastAsia"/>
          <w:lang w:eastAsia="zh-CN"/>
        </w:rPr>
        <w:t>单位</w:t>
      </w:r>
      <w:r>
        <w:t>推动传统媒体与新兴媒体融合发展；负责全市网站转载新闻稿源的管理。</w:t>
      </w:r>
    </w:p>
    <w:p>
      <w:pPr>
        <w:pStyle w:val="27"/>
      </w:pPr>
      <w:r>
        <w:t>（八）推动全市网络社会工作和网络文化、网络文明建设；发展、联系、服务网络社会组织，指导互联网行业自律，推进网站党建工作。</w:t>
      </w:r>
    </w:p>
    <w:p>
      <w:pPr>
        <w:pStyle w:val="27"/>
      </w:pPr>
      <w: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w:t>
      </w:r>
      <w:r>
        <w:rPr>
          <w:rFonts w:hint="eastAsia"/>
          <w:lang w:eastAsia="zh-CN"/>
        </w:rPr>
        <w:t>单位</w:t>
      </w:r>
      <w:r>
        <w:t>督促电信运营企业、接入服务企业、域名注册管理和服务机构做好域名注册、互联网地址（1P地址）分配、网站登记备案、接入以及网络行为主体身份信息核对等基础管理工作；指导协调有关</w:t>
      </w:r>
      <w:r>
        <w:rPr>
          <w:rFonts w:hint="eastAsia"/>
          <w:lang w:eastAsia="zh-CN"/>
        </w:rPr>
        <w:t>单位</w:t>
      </w:r>
      <w:r>
        <w:t>推进新技术新应用安全评估，统筹协调全市移动互联网管理。</w:t>
      </w:r>
    </w:p>
    <w:p>
      <w:pPr>
        <w:pStyle w:val="27"/>
      </w:pPr>
      <w: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pStyle w:val="27"/>
      </w:pPr>
      <w:r>
        <w:t>（十一）规划指导市内机构开展金融信息服务业务。组织开展全市金融信息服务市场监管；协调金融监管</w:t>
      </w:r>
      <w:r>
        <w:rPr>
          <w:rFonts w:hint="eastAsia"/>
          <w:lang w:eastAsia="zh-CN"/>
        </w:rPr>
        <w:t>单位</w:t>
      </w:r>
      <w:r>
        <w:t>建立全市网络金融信息发布、传播监管制度及工作机制。</w:t>
      </w:r>
    </w:p>
    <w:p>
      <w:pPr>
        <w:pStyle w:val="27"/>
      </w:pPr>
      <w:r>
        <w:t>（十二）组织</w:t>
      </w:r>
      <w:r>
        <w:rPr>
          <w:rFonts w:hint="eastAsia"/>
          <w:lang w:eastAsia="zh-CN"/>
        </w:rPr>
        <w:t>拟定</w:t>
      </w:r>
      <w:r>
        <w:t>网络安全和信息化干部人才队伍发展规划，组织开展网信系统干部教育培训和人才队伍建设，规划指导全市互联网新闻信息服务从业人员教育培训和考评工作，组织开展网络媒介素养教育。</w:t>
      </w:r>
    </w:p>
    <w:p>
      <w:pPr>
        <w:pStyle w:val="27"/>
      </w:pPr>
      <w:r>
        <w:t>（十三）组织开展相关领域国内国际交流与合作。</w:t>
      </w:r>
    </w:p>
    <w:p>
      <w:pPr>
        <w:pStyle w:val="27"/>
      </w:pPr>
      <w:r>
        <w:t>（十四）指导、检查、推动各乡镇办事处和有关</w:t>
      </w:r>
      <w:r>
        <w:rPr>
          <w:rFonts w:hint="eastAsia"/>
          <w:lang w:eastAsia="zh-CN"/>
        </w:rPr>
        <w:t>单位</w:t>
      </w:r>
      <w:r>
        <w:t>网络安全和信息化工作。</w:t>
      </w:r>
    </w:p>
    <w:p>
      <w:pPr>
        <w:pStyle w:val="27"/>
      </w:pPr>
      <w: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中共沙河市委网络安全和信息化委员会办公室本级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2023年</w:t>
      </w:r>
      <w:r>
        <w:rPr>
          <w:rFonts w:hint="eastAsia"/>
          <w:lang w:eastAsia="zh-CN"/>
        </w:rPr>
        <w:t>单位</w:t>
      </w:r>
      <w:r>
        <w:t>预算总收入106.97万元，总支出106.57万元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我单位无机关运行经费。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1、网络安全和信息化工作经费绩效目标表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1.保障网络安全和信息化工作正常运转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完成网络安全检查工作</w:t>
            </w:r>
          </w:p>
        </w:tc>
        <w:tc>
          <w:tcPr>
            <w:tcW w:w="2835" w:type="dxa"/>
            <w:vAlign w:val="center"/>
          </w:tcPr>
          <w:p>
            <w:pPr>
              <w:pStyle w:val="14"/>
            </w:pPr>
            <w:r>
              <w:t>完成网络安全检查工作</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网络安全建设验收合格</w:t>
            </w:r>
          </w:p>
        </w:tc>
        <w:tc>
          <w:tcPr>
            <w:tcW w:w="2835" w:type="dxa"/>
            <w:vAlign w:val="center"/>
          </w:tcPr>
          <w:p>
            <w:pPr>
              <w:pStyle w:val="14"/>
            </w:pPr>
            <w:r>
              <w:t>项目验收正常开展后续工作合格率</w:t>
            </w:r>
          </w:p>
        </w:tc>
        <w:tc>
          <w:tcPr>
            <w:tcW w:w="2551" w:type="dxa"/>
            <w:vAlign w:val="center"/>
          </w:tcPr>
          <w:p>
            <w:pPr>
              <w:pStyle w:val="14"/>
            </w:pPr>
            <w:r>
              <w:t>≥85合格率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信息系统及网络安全隐患减少</w:t>
            </w:r>
          </w:p>
        </w:tc>
        <w:tc>
          <w:tcPr>
            <w:tcW w:w="2835" w:type="dxa"/>
            <w:vAlign w:val="center"/>
          </w:tcPr>
          <w:p>
            <w:pPr>
              <w:pStyle w:val="14"/>
            </w:pPr>
            <w:r>
              <w:t>信息系统及网络安全隐患排查完成时间</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成本实用率</w:t>
            </w:r>
          </w:p>
        </w:tc>
        <w:tc>
          <w:tcPr>
            <w:tcW w:w="2835" w:type="dxa"/>
            <w:vAlign w:val="center"/>
          </w:tcPr>
          <w:p>
            <w:pPr>
              <w:pStyle w:val="14"/>
            </w:pPr>
            <w:r>
              <w:t>成本实用率</w:t>
            </w:r>
          </w:p>
        </w:tc>
        <w:tc>
          <w:tcPr>
            <w:tcW w:w="2551" w:type="dxa"/>
            <w:vAlign w:val="center"/>
          </w:tcPr>
          <w:p>
            <w:pPr>
              <w:pStyle w:val="14"/>
            </w:pPr>
            <w:r>
              <w:t>≥85使用率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资金使用效率</w:t>
            </w:r>
          </w:p>
        </w:tc>
        <w:tc>
          <w:tcPr>
            <w:tcW w:w="2835" w:type="dxa"/>
            <w:vAlign w:val="center"/>
          </w:tcPr>
          <w:p>
            <w:pPr>
              <w:pStyle w:val="14"/>
            </w:pPr>
            <w:r>
              <w:t>资金使用效率</w:t>
            </w:r>
          </w:p>
        </w:tc>
        <w:tc>
          <w:tcPr>
            <w:tcW w:w="2551" w:type="dxa"/>
            <w:vAlign w:val="center"/>
          </w:tcPr>
          <w:p>
            <w:pPr>
              <w:pStyle w:val="14"/>
            </w:pPr>
            <w:r>
              <w:t>≥80使用率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≥85影响力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≥85可持续性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≥30满意度</w:t>
            </w:r>
          </w:p>
        </w:tc>
        <w:tc>
          <w:tcPr>
            <w:tcW w:w="2268" w:type="dxa"/>
            <w:vAlign w:val="center"/>
          </w:tcPr>
          <w:p>
            <w:pPr>
              <w:pStyle w:val="14"/>
            </w:pPr>
            <w:r>
              <w:t>年度测评表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2023年，中共沙河市委网络安全和信息化委员会办公室本级安排政府采购预算0.00万元。具体内容见下表。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中共沙河市委网络安全和信息化委员会办公室本级上年末固定资产金额为0.00万元（详见下表）。本年度拟购置固定资产总额为0.00万元，已按要求列入政府采购预算，详见政府采购预算表。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w:t>
      </w:r>
      <w:r>
        <w:rPr>
          <w:rFonts w:hint="eastAsia" w:eastAsia="方正仿宋_GBK" w:cs="Times New Roman"/>
          <w:b w:val="0"/>
          <w:color w:val="000000"/>
          <w:sz w:val="28"/>
          <w:lang w:eastAsia="zh-CN"/>
        </w:rPr>
        <w:t>单位</w:t>
      </w:r>
      <w:bookmarkStart w:id="19" w:name="_GoBack"/>
      <w:bookmarkEnd w:id="19"/>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jVlZjlmMjVhNzNjZjA0MWE2ZTViNGRmOTBlOTgifQ=="/>
  </w:docVars>
  <w:rsids>
    <w:rsidRoot w:val="00000000"/>
    <w:rsid w:val="13106812"/>
    <w:rsid w:val="14697FBE"/>
    <w:rsid w:val="16965856"/>
    <w:rsid w:val="28700E97"/>
    <w:rsid w:val="472E3F4D"/>
    <w:rsid w:val="626E2DA0"/>
    <w:rsid w:val="721D22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2023-03-03T14:27:36Z</dcterms:created>
  <dcterms:modified xsi:type="dcterms:W3CDTF">2023-03-03T06:27:36Z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2023-03-03T14:27:37Z</dcterms:created>
  <dcterms:modified xsi:type="dcterms:W3CDTF">2023-03-03T06:27:37Z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2023-03-03T14:27:36Z</dcterms:created>
  <dcterms:modified xsi:type="dcterms:W3CDTF">2023-03-03T06:27:36Z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f7f2f34-7def-4807-b161-705fd0bf90e2}">
  <ds:schemaRefs/>
</ds:datastoreItem>
</file>

<file path=customXml/itemProps10.xml><?xml version="1.0" encoding="utf-8"?>
<ds:datastoreItem xmlns:ds="http://schemas.openxmlformats.org/officeDocument/2006/customXml" ds:itemID="{4608280a-61ba-40ac-b8a2-ced2aeb538ba}">
  <ds:schemaRefs/>
</ds:datastoreItem>
</file>

<file path=customXml/itemProps11.xml><?xml version="1.0" encoding="utf-8"?>
<ds:datastoreItem xmlns:ds="http://schemas.openxmlformats.org/officeDocument/2006/customXml" ds:itemID="{ecd9b153-093a-419e-b54a-635cfce38d6a}">
  <ds:schemaRefs/>
</ds:datastoreItem>
</file>

<file path=customXml/itemProps12.xml><?xml version="1.0" encoding="utf-8"?>
<ds:datastoreItem xmlns:ds="http://schemas.openxmlformats.org/officeDocument/2006/customXml" ds:itemID="{7cf46912-3760-4d91-bbe2-9c5677ad89a2}">
  <ds:schemaRefs/>
</ds:datastoreItem>
</file>

<file path=customXml/itemProps13.xml><?xml version="1.0" encoding="utf-8"?>
<ds:datastoreItem xmlns:ds="http://schemas.openxmlformats.org/officeDocument/2006/customXml" ds:itemID="{9d1437ab-5904-4820-bbce-ef7b140839ce}">
  <ds:schemaRefs/>
</ds:datastoreItem>
</file>

<file path=customXml/itemProps14.xml><?xml version="1.0" encoding="utf-8"?>
<ds:datastoreItem xmlns:ds="http://schemas.openxmlformats.org/officeDocument/2006/customXml" ds:itemID="{0e0f7de5-6196-468a-9da5-2a47ed1d2ade}">
  <ds:schemaRefs/>
</ds:datastoreItem>
</file>

<file path=customXml/itemProps2.xml><?xml version="1.0" encoding="utf-8"?>
<ds:datastoreItem xmlns:ds="http://schemas.openxmlformats.org/officeDocument/2006/customXml" ds:itemID="{f7068c36-7116-44d8-9f49-44d805481b38}">
  <ds:schemaRefs/>
</ds:datastoreItem>
</file>

<file path=customXml/itemProps3.xml><?xml version="1.0" encoding="utf-8"?>
<ds:datastoreItem xmlns:ds="http://schemas.openxmlformats.org/officeDocument/2006/customXml" ds:itemID="{0396a3bf-0fc3-4858-9898-55d6c502904b}">
  <ds:schemaRefs/>
</ds:datastoreItem>
</file>

<file path=customXml/itemProps4.xml><?xml version="1.0" encoding="utf-8"?>
<ds:datastoreItem xmlns:ds="http://schemas.openxmlformats.org/officeDocument/2006/customXml" ds:itemID="{3c27a7d5-9027-493b-9482-ae3b559a2fa7}">
  <ds:schemaRefs/>
</ds:datastoreItem>
</file>

<file path=customXml/itemProps5.xml><?xml version="1.0" encoding="utf-8"?>
<ds:datastoreItem xmlns:ds="http://schemas.openxmlformats.org/officeDocument/2006/customXml" ds:itemID="{461e09a2-80cb-4cd8-bd2b-8037350e1a11}">
  <ds:schemaRefs/>
</ds:datastoreItem>
</file>

<file path=customXml/itemProps6.xml><?xml version="1.0" encoding="utf-8"?>
<ds:datastoreItem xmlns:ds="http://schemas.openxmlformats.org/officeDocument/2006/customXml" ds:itemID="{70609c89-de9b-400a-a540-37c6e41f1328}">
  <ds:schemaRefs/>
</ds:datastoreItem>
</file>

<file path=customXml/itemProps7.xml><?xml version="1.0" encoding="utf-8"?>
<ds:datastoreItem xmlns:ds="http://schemas.openxmlformats.org/officeDocument/2006/customXml" ds:itemID="{9b036941-069a-4caa-bc69-68b9e40b30b3}">
  <ds:schemaRefs/>
</ds:datastoreItem>
</file>

<file path=customXml/itemProps8.xml><?xml version="1.0" encoding="utf-8"?>
<ds:datastoreItem xmlns:ds="http://schemas.openxmlformats.org/officeDocument/2006/customXml" ds:itemID="{249af280-1d2d-4914-aad7-2ca62be127ca}">
  <ds:schemaRefs/>
</ds:datastoreItem>
</file>

<file path=customXml/itemProps9.xml><?xml version="1.0" encoding="utf-8"?>
<ds:datastoreItem xmlns:ds="http://schemas.openxmlformats.org/officeDocument/2006/customXml" ds:itemID="{872c2635-282b-4738-82fb-48c7ba19cde9}">
  <ds:schemaRefs/>
</ds:datastoreItem>
</file>

<file path=docProps/app.xml><?xml version="1.0" encoding="utf-8"?>
<Properties xmlns="http://schemas.openxmlformats.org/officeDocument/2006/extended-properties" xmlns:vt="http://schemas.openxmlformats.org/officeDocument/2006/docPropsVTypes">
  <Pages>70</Pages>
  <Words>13927</Words>
  <Characters>15968</Characters>
  <TotalTime>14</TotalTime>
  <ScaleCrop>false</ScaleCrop>
  <LinksUpToDate>false</LinksUpToDate>
  <CharactersWithSpaces>16241</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2023-03-03T14:27:00Z</dcterms:created>
  <dc:creator>Administrator</dc:creator>
  <cp:lastModifiedBy>不二臣</cp:lastModifiedBy>
  <dcterms:modified xsi:type="dcterms:W3CDTF">2024-09-18T03:28:17Z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1403325CC1B24A299B45F51D7D3DCB3B</vt:lpwstr>
  </property>
</Properties>
</file>