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4"/>
        <w:rPr>
          <w:rFonts w:hint="eastAsia" w:cs="Times New Roman" w:asciiTheme="majorEastAsia" w:hAnsiTheme="majorEastAsia" w:eastAsiaTheme="majorEastAsia"/>
          <w:bCs/>
          <w:color w:val="auto"/>
          <w:kern w:val="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outlineLvl w:val="4"/>
        <w:rPr>
          <w:rFonts w:cs="Times New Roman" w:asciiTheme="majorEastAsia" w:hAnsiTheme="majorEastAsia" w:eastAsiaTheme="majorEastAsia"/>
          <w:bCs/>
          <w:color w:val="auto"/>
          <w:kern w:val="0"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Cs/>
          <w:color w:val="auto"/>
          <w:kern w:val="0"/>
          <w:sz w:val="44"/>
          <w:szCs w:val="44"/>
        </w:rPr>
        <w:t>沙河市20</w:t>
      </w:r>
      <w:r>
        <w:rPr>
          <w:rFonts w:hint="eastAsia" w:cs="Times New Roman" w:asciiTheme="majorEastAsia" w:hAnsiTheme="majorEastAsia" w:eastAsiaTheme="majorEastAsia"/>
          <w:bCs/>
          <w:color w:val="auto"/>
          <w:kern w:val="0"/>
          <w:sz w:val="44"/>
          <w:szCs w:val="44"/>
          <w:lang w:val="en-US" w:eastAsia="zh-CN"/>
        </w:rPr>
        <w:t>23</w:t>
      </w:r>
      <w:r>
        <w:rPr>
          <w:rFonts w:hint="eastAsia" w:cs="Times New Roman" w:asciiTheme="majorEastAsia" w:hAnsiTheme="majorEastAsia" w:eastAsiaTheme="majorEastAsia"/>
          <w:bCs/>
          <w:color w:val="auto"/>
          <w:kern w:val="0"/>
          <w:sz w:val="44"/>
          <w:szCs w:val="44"/>
        </w:rPr>
        <w:t>年国民经济和社会发展统计公报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5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0" w:firstLineChars="200"/>
        <w:textAlignment w:val="auto"/>
        <w:outlineLvl w:val="4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年，全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市坚持以习近平新时代中国特色社会主义思想为指导，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认真学习贯彻习近平总书记视察河北精神，坚决落实省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、邢台市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各项经济工作部署，坚持稳中求进工作总基调，主动融入新发展格局，聚焦重点、攻坚突破，持续优化调整产业结构，在稳中求进中推动高质量发展，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全市经济运行保持平稳发展态势，各项社会事业发展呈现良好态势。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5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4"/>
        <w:rPr>
          <w:rFonts w:ascii="黑体" w:hAnsi="黑体" w:eastAsia="黑体" w:cs="Times New Roman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kern w:val="0"/>
          <w:sz w:val="32"/>
          <w:szCs w:val="32"/>
        </w:rPr>
        <w:t>一、综合</w:t>
      </w:r>
    </w:p>
    <w:p>
      <w:pPr>
        <w:widowControl/>
        <w:shd w:val="clear" w:color="auto" w:fill="FFFFFF"/>
        <w:spacing w:line="360" w:lineRule="auto"/>
        <w:ind w:firstLine="480"/>
        <w:outlineLvl w:val="4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初步核算，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生产总值实现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219.83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同比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%。其中，第一产业增加值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8.06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-0.1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%；第二产业增加值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84.92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0.9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%；第三产业增加值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126.84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从产业结构来看，全市三次产业结构为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.7：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38.6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57.7，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与去年同期相比，第一产业持平，第二产业比重降低了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个百分点，第三产业比重提高了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个百分点。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三次产业对经济增长的贡献率分别为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-0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.1%、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18.5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%、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81.6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全市人均生产总值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51254元。</w:t>
      </w:r>
    </w:p>
    <w:p>
      <w:pPr>
        <w:widowControl/>
        <w:spacing w:line="560" w:lineRule="atLeast"/>
        <w:ind w:firstLine="633" w:firstLineChars="198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初步核算，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民营经济增加值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166.16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同比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3.0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%；占全市生产总值的比重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75.6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%，比上年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降低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个百分点。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民营经济实缴税金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14.05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亿元，比上年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55.8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％，占全部财政收入的比重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57.1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％，比上年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提高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10.5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个百分点。</w:t>
      </w:r>
    </w:p>
    <w:p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both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图1  2019-2023年地区生产总值及其增速</w:t>
      </w:r>
    </w:p>
    <w:p>
      <w:pPr>
        <w:widowControl/>
        <w:shd w:val="clear" w:color="auto" w:fill="FFFFFF"/>
        <w:spacing w:line="360" w:lineRule="auto"/>
        <w:jc w:val="center"/>
        <w:outlineLvl w:val="4"/>
      </w:pPr>
      <w:r>
        <w:drawing>
          <wp:inline distT="0" distB="0" distL="114300" distR="114300">
            <wp:extent cx="5294630" cy="3819525"/>
            <wp:effectExtent l="0" t="0" r="0" b="0"/>
            <wp:docPr id="99974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图2  2019-2023年三次产业增加值占地区生产总值比重（%）</w:t>
      </w:r>
    </w:p>
    <w:p>
      <w:pPr>
        <w:widowControl/>
        <w:shd w:val="clear" w:color="auto" w:fill="FFFFFF"/>
        <w:spacing w:line="360" w:lineRule="auto"/>
        <w:jc w:val="center"/>
        <w:outlineLvl w:val="4"/>
        <w:rPr>
          <w:rFonts w:ascii="黑体" w:hAnsi="黑体" w:eastAsia="黑体"/>
          <w:color w:val="auto"/>
          <w:sz w:val="32"/>
          <w:szCs w:val="32"/>
        </w:rPr>
      </w:pPr>
      <w:r>
        <w:drawing>
          <wp:inline distT="0" distB="0" distL="114300" distR="114300">
            <wp:extent cx="4495800" cy="3714750"/>
            <wp:effectExtent l="4445" t="4445" r="14605" b="14605"/>
            <wp:docPr id="1003592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表1 2023年全市生产总值</w:t>
      </w:r>
    </w:p>
    <w:tbl>
      <w:tblPr>
        <w:tblStyle w:val="6"/>
        <w:tblW w:w="7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1185"/>
        <w:gridCol w:w="1038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绝对值（万元）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增速（%）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占比（%）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地区生产总值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2198289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按产业分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第一产业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80620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849242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第三产业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1268427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按行业分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lang w:val="en-US" w:eastAsia="zh-CN" w:bidi="ar"/>
              </w:rPr>
              <w:t>农、林、牧、渔业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88938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734605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115789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311369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交通运输、仓储邮电业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215880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25536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203542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63650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3388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10613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8538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34386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7931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-1.4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26463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14.1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141213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44328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-3.4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公共管理、社会保障和社会组织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162120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 </w:t>
            </w:r>
          </w:p>
        </w:tc>
      </w:tr>
    </w:tbl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</w:rPr>
        <w:t>农</w:t>
      </w:r>
      <w:r>
        <w:rPr>
          <w:rFonts w:eastAsia="黑体"/>
          <w:color w:val="auto"/>
          <w:sz w:val="32"/>
          <w:szCs w:val="32"/>
        </w:rPr>
        <w:t> </w:t>
      </w:r>
      <w:r>
        <w:rPr>
          <w:rFonts w:ascii="黑体" w:hAnsi="黑体" w:eastAsia="黑体"/>
          <w:color w:val="auto"/>
          <w:sz w:val="32"/>
          <w:szCs w:val="32"/>
        </w:rPr>
        <w:t>业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农林牧渔业总产值完成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158531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%。其中，农业产值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55236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%；林业产值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7648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32.6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%；牧业产值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79918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%；渔业产值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3524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8.9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%；农林牧渔服务业产值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12205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农林牧渔业增加值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80620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全年粮食播种面积2.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万公顷，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0.76%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。粮食总产量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%。其中，夏粮产量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%；秋粮产量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年粮食产量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（万吨）</w:t>
      </w:r>
    </w:p>
    <w:p>
      <w:pPr>
        <w:jc w:val="center"/>
        <w:rPr>
          <w:rFonts w:ascii="仿宋_GB2312" w:eastAsia="仿宋_GB2312"/>
          <w:color w:val="FF0000"/>
          <w:sz w:val="32"/>
          <w:szCs w:val="32"/>
        </w:rPr>
      </w:pPr>
      <w:r>
        <w:drawing>
          <wp:inline distT="0" distB="0" distL="114300" distR="114300">
            <wp:extent cx="4571365" cy="2914650"/>
            <wp:effectExtent l="0" t="0" r="635" b="0"/>
            <wp:docPr id="100360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豆类播种面积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42.12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%；豆类产量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699.8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86.15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%。薯类播种面积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261.8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79.91%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；折粮产量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1636吨，增长58.71%。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棉花播种面积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公顷，比上年下降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%；棉花总产量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26.45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油料播种面积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1266.8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%；油料总产量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2335.36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蔬菜播种面积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555.51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%；蔬菜总产量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21414.9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肉类总产量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13835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吨，比上年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%。其中，猪肉产量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7573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%；牛肉产量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1336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2.4%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；羊肉产量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697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8.8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%；禽肉产量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4136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%。禽蛋产量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36536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%；牛奶产量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7645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吨，增长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31.6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outlineLvl w:val="4"/>
        <w:rPr>
          <w:rFonts w:ascii="黑体" w:hAnsi="黑体" w:eastAsia="黑体" w:cs="Times New Roman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kern w:val="0"/>
          <w:sz w:val="32"/>
          <w:szCs w:val="32"/>
        </w:rPr>
        <w:t>三、工业和建筑业</w:t>
      </w:r>
    </w:p>
    <w:p>
      <w:pPr>
        <w:widowControl/>
        <w:shd w:val="clear" w:color="auto" w:fill="FFFFFF"/>
        <w:spacing w:line="360" w:lineRule="auto"/>
        <w:ind w:firstLine="480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全部工业增加值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73.5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同比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%，其中规模以上工业增加值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%。在规模以上工业中，分门类看，采矿业增加值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23.6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%，制造业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%，电力、热力、燃气及水生产和供应业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5.6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</w:t>
      </w:r>
    </w:p>
    <w:p>
      <w:pPr>
        <w:widowControl/>
        <w:shd w:val="clear" w:color="auto" w:fill="FFFFFF"/>
        <w:spacing w:line="360" w:lineRule="auto"/>
        <w:jc w:val="center"/>
        <w:outlineLvl w:val="4"/>
        <w:rPr>
          <w:rFonts w:ascii="仿宋" w:hAnsi="仿宋" w:eastAsia="仿宋" w:cs="Times New Roman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 xml:space="preserve"> 201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年规模以上工业增加值增速</w:t>
      </w:r>
    </w:p>
    <w:p>
      <w:pPr>
        <w:widowControl/>
        <w:shd w:val="clear" w:color="auto" w:fill="FFFFFF"/>
        <w:spacing w:line="360" w:lineRule="auto"/>
        <w:ind w:firstLine="480"/>
        <w:outlineLvl w:val="4"/>
        <w:rPr>
          <w:rFonts w:ascii="仿宋_GB2312" w:hAnsi="Times New Roman" w:eastAsia="仿宋_GB2312" w:cs="Times New Roman"/>
          <w:bCs/>
          <w:color w:val="FF0000"/>
          <w:kern w:val="0"/>
          <w:sz w:val="32"/>
          <w:szCs w:val="32"/>
        </w:rPr>
      </w:pPr>
      <w:r>
        <w:drawing>
          <wp:inline distT="0" distB="0" distL="114300" distR="114300">
            <wp:extent cx="4667250" cy="2809875"/>
            <wp:effectExtent l="0" t="0" r="0" b="0"/>
            <wp:docPr id="1003610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640" w:firstLineChars="200"/>
        <w:outlineLvl w:val="4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规模以上工业中，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个行业大类中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个行业增加值保持增长态势。其中，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农副食品加工业增加值同比增长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、化学原料和化学制品制造业增长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、非金属矿物制品业增长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通用设备制造业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20.7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、汽车制造业增长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36.0%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、废弃资源综合利用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业增加值增长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32.0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从产品产量看，玻璃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万重量箱，比上年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钢化玻璃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696万平方米，下降30.6%；中空玻璃145万平方米，增长15.2%；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179.4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%；铁矿石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230.5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%；铁精粉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%；小麦粉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110.0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%；发电量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569043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万千瓦时，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；炭黑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34.8万吨，增长3.6%；金属紧固件22.3万吨，增长25.0%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tbl>
      <w:tblPr>
        <w:tblStyle w:val="6"/>
        <w:tblW w:w="84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425"/>
        <w:gridCol w:w="2294"/>
        <w:gridCol w:w="2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 xml:space="preserve">   规模以上工业主要产品产量及增速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单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位</w:t>
            </w:r>
          </w:p>
        </w:tc>
        <w:tc>
          <w:tcPr>
            <w:tcW w:w="2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产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量</w:t>
            </w:r>
          </w:p>
        </w:tc>
        <w:tc>
          <w:tcPr>
            <w:tcW w:w="24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比上年增长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发电量　　 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万千瓦小时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569043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玻璃        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万重量箱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8676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钢化玻璃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中空玻璃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12435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2305173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120167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铁精粉  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1309046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玻璃纤维纱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194630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　  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1793859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日用玻璃制品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93808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　  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1100489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金属紧固件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222525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立方米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508238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347841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白炭黑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29729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 </w:t>
            </w:r>
          </w:p>
        </w:tc>
      </w:tr>
    </w:tbl>
    <w:p>
      <w:pPr>
        <w:widowControl/>
        <w:wordWrap w:val="0"/>
        <w:spacing w:line="200" w:lineRule="atLeast"/>
        <w:jc w:val="left"/>
        <w:rPr>
          <w:rFonts w:ascii="仿宋_GB2312" w:hAnsi="宋体" w:eastAsia="仿宋_GB2312" w:cs="宋体"/>
          <w:color w:val="FF0000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firstLine="640" w:firstLineChars="200"/>
        <w:outlineLvl w:val="4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规模以上工业实现营业务收入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271.57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%；利润总额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大中型工业企业实现利润总额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3.36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亿元；利税总额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10.64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1316.89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%。</w:t>
      </w:r>
    </w:p>
    <w:p>
      <w:pPr>
        <w:widowControl/>
        <w:shd w:val="clear" w:color="auto" w:fill="FFFFFF"/>
        <w:spacing w:line="360" w:lineRule="auto"/>
        <w:ind w:firstLine="640" w:firstLineChars="200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全社会建筑业增加值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11.58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亿元，比上年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%。资质等级以上建筑业企业房屋施工面积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283.42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万平方米，增长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9.9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商品房销售面积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35.39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万平方米，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28.5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</w:t>
      </w:r>
    </w:p>
    <w:p>
      <w:pPr>
        <w:widowControl/>
        <w:shd w:val="clear" w:color="auto" w:fill="FFFFFF"/>
        <w:spacing w:line="360" w:lineRule="auto"/>
        <w:ind w:firstLine="640" w:firstLineChars="200"/>
        <w:outlineLvl w:val="4"/>
        <w:rPr>
          <w:rFonts w:ascii="黑体" w:hAnsi="黑体" w:eastAsia="黑体" w:cs="Times New Roman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kern w:val="0"/>
          <w:sz w:val="32"/>
          <w:szCs w:val="32"/>
        </w:rPr>
        <w:t>四、固定资产投资</w:t>
      </w:r>
    </w:p>
    <w:p>
      <w:pPr>
        <w:widowControl/>
        <w:shd w:val="clear" w:color="auto" w:fill="FFFFFF"/>
        <w:spacing w:line="360" w:lineRule="auto"/>
        <w:ind w:firstLine="800" w:firstLineChars="250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固定资产投资(不含农户)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比上年增长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6.3%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 xml:space="preserve">  201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年固定资产投资增速（%）</w:t>
      </w:r>
    </w:p>
    <w:p>
      <w:pPr>
        <w:widowControl/>
        <w:shd w:val="clear" w:color="auto" w:fill="FFFFFF"/>
        <w:spacing w:line="360" w:lineRule="auto"/>
        <w:ind w:firstLine="420" w:firstLineChars="200"/>
        <w:jc w:val="center"/>
        <w:outlineLvl w:val="4"/>
        <w:rPr>
          <w:rFonts w:ascii="仿宋_GB2312" w:hAnsi="宋体" w:eastAsia="仿宋_GB2312" w:cs="Times New Roman"/>
          <w:bCs/>
          <w:color w:val="FF0000"/>
          <w:kern w:val="0"/>
          <w:sz w:val="32"/>
          <w:szCs w:val="32"/>
        </w:rPr>
      </w:pPr>
      <w:r>
        <w:drawing>
          <wp:inline distT="0" distB="0" distL="114300" distR="114300">
            <wp:extent cx="4667250" cy="2809875"/>
            <wp:effectExtent l="0" t="0" r="0" b="0"/>
            <wp:docPr id="1003611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640" w:firstLineChars="200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在固定资产投资(不含农户)中，第一产业投资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67.1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%；第二产业投资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4.6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%；第三产业投资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26.3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%。工业技改投资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8.1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%，占工业投资的比重为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69.8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</w:t>
      </w:r>
    </w:p>
    <w:p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年分行业固定资产投资增长速度</w:t>
      </w:r>
    </w:p>
    <w:tbl>
      <w:tblPr>
        <w:tblStyle w:val="6"/>
        <w:tblW w:w="6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 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比上年增长%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 计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-67.1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采矿业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农副食品加工业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化学原料和化学制品制造业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非金属矿物制品业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黑色金属冶炼和压延加工业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通用设备制造业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废弃资源综合利用业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公共管理、社会保障和社会组织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201.8</w:t>
            </w:r>
          </w:p>
        </w:tc>
      </w:tr>
    </w:tbl>
    <w:p>
      <w:pPr>
        <w:widowControl/>
        <w:shd w:val="clear" w:color="auto" w:fill="FFFFFF"/>
        <w:spacing w:line="360" w:lineRule="auto"/>
        <w:ind w:firstLine="640" w:firstLineChars="200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全市房地产开发投资比上年增长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28.4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%。其中，商品房销售面积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28.5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outlineLvl w:val="4"/>
        <w:rPr>
          <w:rFonts w:ascii="黑体" w:hAnsi="黑体" w:eastAsia="黑体" w:cs="Times New Roman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kern w:val="0"/>
          <w:sz w:val="32"/>
          <w:szCs w:val="32"/>
        </w:rPr>
        <w:t>五、国内贸易</w:t>
      </w:r>
    </w:p>
    <w:p>
      <w:pPr>
        <w:widowControl/>
        <w:shd w:val="clear" w:color="auto" w:fill="FFFFFF"/>
        <w:spacing w:line="360" w:lineRule="auto"/>
        <w:ind w:firstLine="640" w:firstLineChars="200"/>
        <w:outlineLvl w:val="4"/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社会消费品零售总额实现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85.71亿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同比增长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8.1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</w:t>
      </w:r>
    </w:p>
    <w:p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 xml:space="preserve">  201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年社会消费品零售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总额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增速</w:t>
      </w:r>
    </w:p>
    <w:p>
      <w:pPr>
        <w:widowControl/>
        <w:shd w:val="clear" w:color="auto" w:fill="FFFFFF"/>
        <w:spacing w:line="360" w:lineRule="auto"/>
        <w:jc w:val="center"/>
        <w:outlineLvl w:val="4"/>
        <w:rPr>
          <w:rFonts w:ascii="仿宋_GB2312" w:hAnsi="Times New Roman" w:eastAsia="仿宋_GB2312" w:cs="Times New Roman"/>
          <w:bCs/>
          <w:color w:val="FF0000"/>
          <w:kern w:val="0"/>
          <w:sz w:val="32"/>
          <w:szCs w:val="32"/>
        </w:rPr>
      </w:pPr>
      <w:r>
        <w:drawing>
          <wp:inline distT="0" distB="0" distL="114300" distR="114300">
            <wp:extent cx="4667250" cy="2809875"/>
            <wp:effectExtent l="0" t="0" r="0" b="0"/>
            <wp:docPr id="3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640" w:firstLineChars="200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限额以上企业（单位）消费品零售额完成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在限额以上批发和零售单位商品零售额中，粮油食品类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11.2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%，饮料类增长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4.6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%，烟酒类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8.7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%，服装鞋帽针纺织品类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21.5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%，化妆品类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%，体育娱乐用品类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%，文化办公用品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类下降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48.9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%，家用电器和音像器材类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8.9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%，金银珠宝类增长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31.4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%，日用品类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%，石油及制品类增长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36.1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 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outlineLvl w:val="4"/>
        <w:rPr>
          <w:rFonts w:ascii="黑体" w:hAnsi="黑体" w:eastAsia="黑体" w:cs="Times New Roman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kern w:val="0"/>
          <w:sz w:val="32"/>
          <w:szCs w:val="32"/>
        </w:rPr>
        <w:t>六、对外经济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进出口总值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12.73亿元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%。其中，出口总值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;进口总值0.15亿元，下降13.27%。</w:t>
      </w:r>
    </w:p>
    <w:p>
      <w:pPr>
        <w:widowControl/>
        <w:adjustRightInd w:val="0"/>
        <w:snapToGrid w:val="0"/>
        <w:spacing w:beforeLines="50" w:line="360" w:lineRule="auto"/>
        <w:ind w:firstLine="640" w:firstLineChars="200"/>
        <w:jc w:val="left"/>
        <w:textAlignment w:val="baseline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七、</w:t>
      </w:r>
      <w:r>
        <w:rPr>
          <w:rFonts w:hint="eastAsia" w:hAnsi="宋体" w:eastAsia="黑体" w:cs="宋体"/>
          <w:color w:val="auto"/>
          <w:kern w:val="0"/>
          <w:sz w:val="32"/>
          <w:szCs w:val="32"/>
        </w:rPr>
        <w:t>财政、金融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全市财政收入累计完成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24.63亿元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%。其中，公共财政预算收入完成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14.5亿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分税种看，增值税收入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3.8亿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227.3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；企业所得税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0.54亿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；个人所得税收入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0.16亿元，下降12.3%；城市维护建设税收入0.62亿元，增长1.6%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全市公共财政预算支出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29.86亿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%。其中，一般公共服务支出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3.11亿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公共安全支出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1.05亿元，下降22.3%；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8.5亿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%；卫生健康支出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2.66亿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%；节能环保支出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1.09亿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3.98亿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；农林水事务支出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2.46亿元，下降11.0%；文化旅游体育与传媒支出0.26亿元，增长14.4%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jc w:val="center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年全部财政收入和公共预算财政收入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（亿元）</w:t>
      </w:r>
    </w:p>
    <w:p>
      <w:pPr>
        <w:jc w:val="center"/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572000" cy="3094990"/>
            <wp:effectExtent l="0" t="0" r="0" b="0"/>
            <wp:docPr id="981019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年末金融机构存贷款余额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（亿元）</w:t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5057775" cy="3314700"/>
            <wp:effectExtent l="0" t="0" r="0" b="0"/>
            <wp:docPr id="1003628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ind w:firstLine="640" w:firstLineChars="200"/>
        <w:rPr>
          <w:rFonts w:hint="eastAsia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12月末，全市金融机构各项存款余额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519.7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%。月末贷款余额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351.7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widowControl/>
        <w:ind w:firstLine="640" w:firstLineChars="200"/>
        <w:jc w:val="left"/>
        <w:textAlignment w:val="baseline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hAnsi="宋体" w:eastAsia="黑体" w:cs="宋体"/>
          <w:color w:val="auto"/>
          <w:kern w:val="0"/>
          <w:sz w:val="32"/>
          <w:szCs w:val="32"/>
        </w:rPr>
        <w:t>八、教育、卫生</w:t>
      </w:r>
    </w:p>
    <w:p>
      <w:pPr>
        <w:widowControl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全市共有普通中学2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所，中学专任教师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3408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人，在校学生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33883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人；小学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所，小学教学点1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所，小学专任教师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2543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人，在校学生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53321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人；中专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所，在校学生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8805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人；特殊教育学校1所，在校学生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247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人；幼教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所，在校生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17974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人。</w:t>
      </w:r>
    </w:p>
    <w:p>
      <w:pPr>
        <w:widowControl/>
        <w:jc w:val="center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color w:val="auto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各类学校招生和在校生情况</w:t>
      </w:r>
    </w:p>
    <w:tbl>
      <w:tblPr>
        <w:tblStyle w:val="6"/>
        <w:tblW w:w="948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891"/>
        <w:gridCol w:w="1890"/>
        <w:gridCol w:w="2182"/>
        <w:gridCol w:w="195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指  标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学校数（所）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招生数（人）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在校生数（人）</w:t>
            </w:r>
          </w:p>
        </w:tc>
        <w:tc>
          <w:tcPr>
            <w:tcW w:w="1954" w:type="dxa"/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毕业生数（人）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66" w:type="dxa"/>
            <w:tcBorders>
              <w:bottom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普通中学</w:t>
            </w:r>
          </w:p>
        </w:tc>
        <w:tc>
          <w:tcPr>
            <w:tcW w:w="1891" w:type="dxa"/>
            <w:tcBorders>
              <w:bottom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12416</w:t>
            </w:r>
          </w:p>
        </w:tc>
        <w:tc>
          <w:tcPr>
            <w:tcW w:w="2182" w:type="dxa"/>
            <w:tcBorders>
              <w:bottom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33883</w:t>
            </w:r>
          </w:p>
        </w:tc>
        <w:tc>
          <w:tcPr>
            <w:tcW w:w="1954" w:type="dxa"/>
            <w:tcBorders>
              <w:bottom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9827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66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小   学</w:t>
            </w:r>
          </w:p>
        </w:tc>
        <w:tc>
          <w:tcPr>
            <w:tcW w:w="189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9306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53321</w:t>
            </w:r>
          </w:p>
        </w:tc>
        <w:tc>
          <w:tcPr>
            <w:tcW w:w="195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8214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66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中   专</w:t>
            </w:r>
          </w:p>
        </w:tc>
        <w:tc>
          <w:tcPr>
            <w:tcW w:w="189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2811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8805</w:t>
            </w:r>
          </w:p>
        </w:tc>
        <w:tc>
          <w:tcPr>
            <w:tcW w:w="195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2666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66" w:type="dxa"/>
            <w:tcBorders>
              <w:top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幼   教</w:t>
            </w:r>
          </w:p>
        </w:tc>
        <w:tc>
          <w:tcPr>
            <w:tcW w:w="1891" w:type="dxa"/>
            <w:tcBorders>
              <w:top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4421</w:t>
            </w:r>
          </w:p>
        </w:tc>
        <w:tc>
          <w:tcPr>
            <w:tcW w:w="2182" w:type="dxa"/>
            <w:tcBorders>
              <w:top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17974</w:t>
            </w:r>
          </w:p>
        </w:tc>
        <w:tc>
          <w:tcPr>
            <w:tcW w:w="1954" w:type="dxa"/>
            <w:tcBorders>
              <w:top w:val="nil"/>
            </w:tcBorders>
            <w:vAlign w:val="center"/>
          </w:tcPr>
          <w:p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9159</w:t>
            </w:r>
          </w:p>
        </w:tc>
      </w:tr>
    </w:tbl>
    <w:p>
      <w:pPr>
        <w:widowControl/>
        <w:spacing w:beforeLines="50"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全市共有卫生机构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676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个，其中，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公立医院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3家，社会办医院10家，疾病预防控制中心1家，妇幼保健院1家，卫生健康综合执法大队1家，社区卫生服务中心5家，社区卫生服务站28家，乡镇（中心）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卫生院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，村卫生室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516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家，门诊部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5家，诊所95家，医务室3家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。卫生机构实有床位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2743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张，各类卫生技术人员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2784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人，其中执业（助理）医师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1496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人，执业医师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950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人，注册护士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人，药师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人。</w:t>
      </w:r>
    </w:p>
    <w:p>
      <w:pPr>
        <w:widowControl/>
        <w:ind w:firstLine="640" w:firstLineChars="200"/>
        <w:jc w:val="left"/>
        <w:textAlignment w:val="baseline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hAnsi="宋体" w:eastAsia="黑体" w:cs="宋体"/>
          <w:color w:val="auto"/>
          <w:kern w:val="0"/>
          <w:sz w:val="32"/>
          <w:szCs w:val="32"/>
        </w:rPr>
        <w:t>九、人口、人民生活和社会保障</w:t>
      </w:r>
    </w:p>
    <w:p>
      <w:pPr>
        <w:widowControl/>
        <w:shd w:val="clear" w:color="auto" w:fill="FFFFFF"/>
        <w:spacing w:line="360" w:lineRule="auto"/>
        <w:ind w:firstLine="480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年末全市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户籍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总户数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136386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户，人口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466503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人，其中城镇人口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219489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乡村人口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247014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户籍人口城镇化率为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47.05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%，比上年末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回落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0.08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个百分点。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全年出生人数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3173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人，出生率为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6.84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‰；死亡人数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1392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人，死亡率为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‰；自然增长人数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1781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人，自然增长率为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3.84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‰。出生人口性别比为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103.5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。户籍人口中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0-17周岁人口119686人，占总人口比重26.66%；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18至59周岁人口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264490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人，占总人口的比重为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56.69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%，比上年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降低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0.07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个百分点；60周岁及以上老年人口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82327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万人，占总人口的比重为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17.65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%，比上年上升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0.82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个百分点。</w:t>
      </w:r>
    </w:p>
    <w:p>
      <w:pPr>
        <w:widowControl/>
        <w:spacing w:line="456" w:lineRule="auto"/>
        <w:ind w:firstLine="645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城镇居民人均可支配收入达到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41660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元，比上年增长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%。农村居民人均可支配收入达到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23183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元，增长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</w:t>
      </w:r>
    </w:p>
    <w:p>
      <w:pPr>
        <w:widowControl/>
        <w:spacing w:line="456" w:lineRule="auto"/>
        <w:jc w:val="center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年城镇居民人均可支配收入及其增速</w:t>
      </w:r>
    </w:p>
    <w:p>
      <w:pPr>
        <w:widowControl/>
        <w:spacing w:line="456" w:lineRule="auto"/>
        <w:jc w:val="center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drawing>
          <wp:inline distT="0" distB="0" distL="114300" distR="114300">
            <wp:extent cx="5193665" cy="2861310"/>
            <wp:effectExtent l="0" t="0" r="0" b="0"/>
            <wp:docPr id="100363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>
      <w:pPr>
        <w:widowControl/>
        <w:spacing w:line="456" w:lineRule="auto"/>
        <w:jc w:val="center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年农村居民人均可支配收入及其增速</w:t>
      </w:r>
    </w:p>
    <w:p>
      <w:pPr>
        <w:widowControl/>
        <w:spacing w:line="456" w:lineRule="auto"/>
        <w:jc w:val="center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drawing>
          <wp:inline distT="0" distB="0" distL="114300" distR="114300">
            <wp:extent cx="5450205" cy="2990850"/>
            <wp:effectExtent l="0" t="0" r="0" b="0"/>
            <wp:docPr id="100362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widowControl/>
        <w:spacing w:line="456" w:lineRule="auto"/>
        <w:ind w:firstLine="640" w:firstLineChars="200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年末全市城镇职工（含离退休人员）参加基本养老保险人数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78067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人，城乡居民参加基本养老保险人数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226865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人，参加城镇职工基本医疗保险人数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42642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人，参加城乡居民基本医疗保险人数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342326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人，参加失业保险人数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32502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 xml:space="preserve"> </w:t>
      </w:r>
    </w:p>
    <w:p>
      <w:pPr>
        <w:widowControl/>
        <w:spacing w:line="456" w:lineRule="auto"/>
        <w:ind w:firstLine="645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全市城镇居民最低生活保障人数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777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人，农村居民最低生活保障人数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11498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人，社会救济总人数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14038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人。</w:t>
      </w:r>
    </w:p>
    <w:p>
      <w:pPr>
        <w:widowControl/>
        <w:ind w:firstLine="640" w:firstLineChars="200"/>
        <w:jc w:val="left"/>
        <w:textAlignment w:val="baseline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hAnsi="宋体" w:eastAsia="黑体" w:cs="宋体"/>
          <w:color w:val="auto"/>
          <w:kern w:val="0"/>
          <w:sz w:val="32"/>
          <w:szCs w:val="32"/>
        </w:rPr>
        <w:t>十、环境和能源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空气质量年综合指数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%；PM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浓度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微克/立方米，同比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%；PM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浓度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微克/立方米，同比下降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%；优良天数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天。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初步核算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全市单位GDP能耗降低率为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规模以上工业综合能源消费量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317.44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万吨标准煤，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%，单位工业增加值能耗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ÐÂËÎÌå"/>
          <w:color w:val="FF0000"/>
          <w:kern w:val="0"/>
          <w:sz w:val="32"/>
          <w:szCs w:val="32"/>
          <w:lang w:eastAsia="zh-CN"/>
        </w:rPr>
      </w:pPr>
    </w:p>
    <w:p>
      <w:pPr>
        <w:pStyle w:val="5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注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1、本公报202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年部分数据为快报数。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2、部分数据合计数或相对数由于单位取舍不同而产生的计算误差，均未作机械调整。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3、全市生产总值、各产业增加值绝对值按现行价格计算，增长速度按不变价格计算。 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4、公报中部分数据来源于相关部门。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bCs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5、卫生数据为快报数据。</w:t>
      </w: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ÐÂ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6508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2JhMzNlMjNhYzIxNDQ2Njk2NDRiZGZhYTA0ZTEifQ=="/>
  </w:docVars>
  <w:rsids>
    <w:rsidRoot w:val="00FC1CA3"/>
    <w:rsid w:val="00012A2D"/>
    <w:rsid w:val="000175E2"/>
    <w:rsid w:val="00032660"/>
    <w:rsid w:val="0003294B"/>
    <w:rsid w:val="0004491A"/>
    <w:rsid w:val="0007277A"/>
    <w:rsid w:val="000759C4"/>
    <w:rsid w:val="00096C0A"/>
    <w:rsid w:val="000A0F3C"/>
    <w:rsid w:val="000C702F"/>
    <w:rsid w:val="001608CD"/>
    <w:rsid w:val="0016749E"/>
    <w:rsid w:val="00180A15"/>
    <w:rsid w:val="00182FB8"/>
    <w:rsid w:val="001A7AAB"/>
    <w:rsid w:val="001B42F5"/>
    <w:rsid w:val="001C5A87"/>
    <w:rsid w:val="001E15D3"/>
    <w:rsid w:val="00202C0C"/>
    <w:rsid w:val="00215418"/>
    <w:rsid w:val="00215592"/>
    <w:rsid w:val="00260C17"/>
    <w:rsid w:val="00272288"/>
    <w:rsid w:val="002A299B"/>
    <w:rsid w:val="002C32ED"/>
    <w:rsid w:val="002E01FA"/>
    <w:rsid w:val="002F5923"/>
    <w:rsid w:val="00345BB2"/>
    <w:rsid w:val="0037127E"/>
    <w:rsid w:val="00377881"/>
    <w:rsid w:val="003A49AE"/>
    <w:rsid w:val="003A65DC"/>
    <w:rsid w:val="003B5AD3"/>
    <w:rsid w:val="003B7BA8"/>
    <w:rsid w:val="00465890"/>
    <w:rsid w:val="004B5AEB"/>
    <w:rsid w:val="004B7E3B"/>
    <w:rsid w:val="004E3FFF"/>
    <w:rsid w:val="004F068B"/>
    <w:rsid w:val="00500C68"/>
    <w:rsid w:val="005232C6"/>
    <w:rsid w:val="0054064D"/>
    <w:rsid w:val="00540BC7"/>
    <w:rsid w:val="00552890"/>
    <w:rsid w:val="00556413"/>
    <w:rsid w:val="00557BFB"/>
    <w:rsid w:val="00567B08"/>
    <w:rsid w:val="00574AB6"/>
    <w:rsid w:val="00590187"/>
    <w:rsid w:val="00597F26"/>
    <w:rsid w:val="005A051E"/>
    <w:rsid w:val="005B2BE7"/>
    <w:rsid w:val="00607200"/>
    <w:rsid w:val="006175E2"/>
    <w:rsid w:val="0062356B"/>
    <w:rsid w:val="00633AE8"/>
    <w:rsid w:val="006370C6"/>
    <w:rsid w:val="00640BAA"/>
    <w:rsid w:val="00651DDF"/>
    <w:rsid w:val="00663F54"/>
    <w:rsid w:val="00680CCC"/>
    <w:rsid w:val="006934B6"/>
    <w:rsid w:val="006B0457"/>
    <w:rsid w:val="006B5743"/>
    <w:rsid w:val="006D284D"/>
    <w:rsid w:val="006D3CA7"/>
    <w:rsid w:val="006F49DE"/>
    <w:rsid w:val="006F55AE"/>
    <w:rsid w:val="007111E8"/>
    <w:rsid w:val="00717F4E"/>
    <w:rsid w:val="007232BD"/>
    <w:rsid w:val="00732E9C"/>
    <w:rsid w:val="007350C1"/>
    <w:rsid w:val="007E3A6D"/>
    <w:rsid w:val="008052C3"/>
    <w:rsid w:val="00816446"/>
    <w:rsid w:val="00821766"/>
    <w:rsid w:val="00831829"/>
    <w:rsid w:val="0083633A"/>
    <w:rsid w:val="008C3517"/>
    <w:rsid w:val="008C55D8"/>
    <w:rsid w:val="008D2F56"/>
    <w:rsid w:val="008D50D8"/>
    <w:rsid w:val="008E4B2D"/>
    <w:rsid w:val="008F328D"/>
    <w:rsid w:val="009044FE"/>
    <w:rsid w:val="00962397"/>
    <w:rsid w:val="0096585B"/>
    <w:rsid w:val="00970D83"/>
    <w:rsid w:val="00997A6F"/>
    <w:rsid w:val="009A77F0"/>
    <w:rsid w:val="00A3089A"/>
    <w:rsid w:val="00A500FD"/>
    <w:rsid w:val="00A5077E"/>
    <w:rsid w:val="00A71946"/>
    <w:rsid w:val="00A74C26"/>
    <w:rsid w:val="00AB22D2"/>
    <w:rsid w:val="00AC3885"/>
    <w:rsid w:val="00AE0387"/>
    <w:rsid w:val="00AF255F"/>
    <w:rsid w:val="00B5554F"/>
    <w:rsid w:val="00B8295D"/>
    <w:rsid w:val="00B90D91"/>
    <w:rsid w:val="00BD1417"/>
    <w:rsid w:val="00BD70DD"/>
    <w:rsid w:val="00BF236A"/>
    <w:rsid w:val="00C10F59"/>
    <w:rsid w:val="00C21EDC"/>
    <w:rsid w:val="00C359F0"/>
    <w:rsid w:val="00C60E51"/>
    <w:rsid w:val="00C64115"/>
    <w:rsid w:val="00C76E21"/>
    <w:rsid w:val="00C76E9C"/>
    <w:rsid w:val="00C9267A"/>
    <w:rsid w:val="00C95C42"/>
    <w:rsid w:val="00CA07E0"/>
    <w:rsid w:val="00CB0551"/>
    <w:rsid w:val="00D11983"/>
    <w:rsid w:val="00D1233F"/>
    <w:rsid w:val="00D44E48"/>
    <w:rsid w:val="00D53D90"/>
    <w:rsid w:val="00D55CBE"/>
    <w:rsid w:val="00DF0AEC"/>
    <w:rsid w:val="00E17B3C"/>
    <w:rsid w:val="00E2562B"/>
    <w:rsid w:val="00E40631"/>
    <w:rsid w:val="00E41CEB"/>
    <w:rsid w:val="00F04DF1"/>
    <w:rsid w:val="00F201FA"/>
    <w:rsid w:val="00F55CD5"/>
    <w:rsid w:val="00F600D9"/>
    <w:rsid w:val="00F70D45"/>
    <w:rsid w:val="00F91996"/>
    <w:rsid w:val="00FC1CA3"/>
    <w:rsid w:val="00FD7F50"/>
    <w:rsid w:val="00FE3DB4"/>
    <w:rsid w:val="012D443D"/>
    <w:rsid w:val="01465847"/>
    <w:rsid w:val="014E1CC4"/>
    <w:rsid w:val="020E65A7"/>
    <w:rsid w:val="03443858"/>
    <w:rsid w:val="04247911"/>
    <w:rsid w:val="043657AB"/>
    <w:rsid w:val="048A230E"/>
    <w:rsid w:val="048E122E"/>
    <w:rsid w:val="04963AE6"/>
    <w:rsid w:val="068943A3"/>
    <w:rsid w:val="06C84AC8"/>
    <w:rsid w:val="06FF3831"/>
    <w:rsid w:val="075C1AB8"/>
    <w:rsid w:val="07A56FBB"/>
    <w:rsid w:val="086430CF"/>
    <w:rsid w:val="087B070C"/>
    <w:rsid w:val="08E15F63"/>
    <w:rsid w:val="09011900"/>
    <w:rsid w:val="091268D2"/>
    <w:rsid w:val="096D2A70"/>
    <w:rsid w:val="0A0E2F2B"/>
    <w:rsid w:val="0A216791"/>
    <w:rsid w:val="0A23649C"/>
    <w:rsid w:val="0A50447F"/>
    <w:rsid w:val="0A9810CB"/>
    <w:rsid w:val="0AC355D7"/>
    <w:rsid w:val="0B120B26"/>
    <w:rsid w:val="0B4918A5"/>
    <w:rsid w:val="0B8F2455"/>
    <w:rsid w:val="0C8F6346"/>
    <w:rsid w:val="0C92221D"/>
    <w:rsid w:val="0CD9380A"/>
    <w:rsid w:val="0D755D64"/>
    <w:rsid w:val="0DC05824"/>
    <w:rsid w:val="0DCE69C0"/>
    <w:rsid w:val="0DF212F2"/>
    <w:rsid w:val="0E407A3D"/>
    <w:rsid w:val="0E777DB2"/>
    <w:rsid w:val="0F4C2412"/>
    <w:rsid w:val="105700EB"/>
    <w:rsid w:val="10E92264"/>
    <w:rsid w:val="119A56B6"/>
    <w:rsid w:val="11A176BC"/>
    <w:rsid w:val="12072620"/>
    <w:rsid w:val="121010A8"/>
    <w:rsid w:val="122476A2"/>
    <w:rsid w:val="12B31DE9"/>
    <w:rsid w:val="131B18CC"/>
    <w:rsid w:val="135D1F76"/>
    <w:rsid w:val="137F44BD"/>
    <w:rsid w:val="148D505F"/>
    <w:rsid w:val="14A7001D"/>
    <w:rsid w:val="153345D8"/>
    <w:rsid w:val="15687FDC"/>
    <w:rsid w:val="158C15CC"/>
    <w:rsid w:val="15927543"/>
    <w:rsid w:val="15C37272"/>
    <w:rsid w:val="15D10468"/>
    <w:rsid w:val="15F324A9"/>
    <w:rsid w:val="17DB6468"/>
    <w:rsid w:val="180E64B6"/>
    <w:rsid w:val="18DB235E"/>
    <w:rsid w:val="18F109D3"/>
    <w:rsid w:val="1954717A"/>
    <w:rsid w:val="1A367F46"/>
    <w:rsid w:val="1A444411"/>
    <w:rsid w:val="1A885EA9"/>
    <w:rsid w:val="1B1C74AC"/>
    <w:rsid w:val="1B684130"/>
    <w:rsid w:val="1C142528"/>
    <w:rsid w:val="1C591ABC"/>
    <w:rsid w:val="1CA7100C"/>
    <w:rsid w:val="1CFB5565"/>
    <w:rsid w:val="1D0460DA"/>
    <w:rsid w:val="1D127663"/>
    <w:rsid w:val="1D9847C6"/>
    <w:rsid w:val="1DEB593D"/>
    <w:rsid w:val="1E2A6014"/>
    <w:rsid w:val="1E2B0833"/>
    <w:rsid w:val="1E766740"/>
    <w:rsid w:val="1EED3BA2"/>
    <w:rsid w:val="1F240112"/>
    <w:rsid w:val="1F6375AB"/>
    <w:rsid w:val="1F7E3996"/>
    <w:rsid w:val="1FDE2C12"/>
    <w:rsid w:val="20664EE6"/>
    <w:rsid w:val="20D83B05"/>
    <w:rsid w:val="212C7AE4"/>
    <w:rsid w:val="214F7921"/>
    <w:rsid w:val="223B259E"/>
    <w:rsid w:val="22D034D4"/>
    <w:rsid w:val="238F0271"/>
    <w:rsid w:val="23B26A91"/>
    <w:rsid w:val="24DB58BB"/>
    <w:rsid w:val="25115C77"/>
    <w:rsid w:val="25C963F5"/>
    <w:rsid w:val="25DF7BAC"/>
    <w:rsid w:val="25F0544D"/>
    <w:rsid w:val="261E66DD"/>
    <w:rsid w:val="26906C30"/>
    <w:rsid w:val="26C863CA"/>
    <w:rsid w:val="27084ACD"/>
    <w:rsid w:val="271A6913"/>
    <w:rsid w:val="273F1621"/>
    <w:rsid w:val="278E2FB5"/>
    <w:rsid w:val="279D596D"/>
    <w:rsid w:val="27A43FA6"/>
    <w:rsid w:val="283F26BC"/>
    <w:rsid w:val="2856694D"/>
    <w:rsid w:val="29BB3527"/>
    <w:rsid w:val="29BE0868"/>
    <w:rsid w:val="2A59064E"/>
    <w:rsid w:val="2A61691A"/>
    <w:rsid w:val="2AAF3B29"/>
    <w:rsid w:val="2AD510B6"/>
    <w:rsid w:val="2AF1790C"/>
    <w:rsid w:val="2B704063"/>
    <w:rsid w:val="2B9306EE"/>
    <w:rsid w:val="2BC6367B"/>
    <w:rsid w:val="2C0544E0"/>
    <w:rsid w:val="2C8A4B5A"/>
    <w:rsid w:val="2CA84BB2"/>
    <w:rsid w:val="2CE26055"/>
    <w:rsid w:val="2D086FCF"/>
    <w:rsid w:val="2DFA155F"/>
    <w:rsid w:val="2E973AF9"/>
    <w:rsid w:val="2EB7649B"/>
    <w:rsid w:val="2F1363F6"/>
    <w:rsid w:val="2F494D5F"/>
    <w:rsid w:val="2F653168"/>
    <w:rsid w:val="2FC647D1"/>
    <w:rsid w:val="2FDF3D6D"/>
    <w:rsid w:val="30204526"/>
    <w:rsid w:val="302630E3"/>
    <w:rsid w:val="306C6018"/>
    <w:rsid w:val="30BE23ED"/>
    <w:rsid w:val="30D140CD"/>
    <w:rsid w:val="326C67A3"/>
    <w:rsid w:val="32D22AAA"/>
    <w:rsid w:val="32E55A04"/>
    <w:rsid w:val="332D6510"/>
    <w:rsid w:val="341A3513"/>
    <w:rsid w:val="342033A2"/>
    <w:rsid w:val="34963664"/>
    <w:rsid w:val="34EE34A0"/>
    <w:rsid w:val="35026220"/>
    <w:rsid w:val="35055E98"/>
    <w:rsid w:val="35077748"/>
    <w:rsid w:val="3527597E"/>
    <w:rsid w:val="356D66B9"/>
    <w:rsid w:val="367E615A"/>
    <w:rsid w:val="36DF0D3C"/>
    <w:rsid w:val="372438D3"/>
    <w:rsid w:val="37373ACB"/>
    <w:rsid w:val="37875C03"/>
    <w:rsid w:val="37B33D62"/>
    <w:rsid w:val="38675A43"/>
    <w:rsid w:val="3872263A"/>
    <w:rsid w:val="388802CC"/>
    <w:rsid w:val="38A224A5"/>
    <w:rsid w:val="391C32DA"/>
    <w:rsid w:val="398E3162"/>
    <w:rsid w:val="3A1616D1"/>
    <w:rsid w:val="3A357D0F"/>
    <w:rsid w:val="3A7B66B0"/>
    <w:rsid w:val="3AB21A28"/>
    <w:rsid w:val="3AD4138A"/>
    <w:rsid w:val="3B946244"/>
    <w:rsid w:val="3BA05290"/>
    <w:rsid w:val="3C027831"/>
    <w:rsid w:val="3C5E314C"/>
    <w:rsid w:val="3CC1149A"/>
    <w:rsid w:val="3CC12563"/>
    <w:rsid w:val="3D734E8A"/>
    <w:rsid w:val="3D8E460C"/>
    <w:rsid w:val="3DD10FF4"/>
    <w:rsid w:val="3E142301"/>
    <w:rsid w:val="3E1D4DF6"/>
    <w:rsid w:val="3E6719B9"/>
    <w:rsid w:val="3F31011D"/>
    <w:rsid w:val="3FB52F12"/>
    <w:rsid w:val="40D850F7"/>
    <w:rsid w:val="411E44F9"/>
    <w:rsid w:val="41AE6491"/>
    <w:rsid w:val="41B45A71"/>
    <w:rsid w:val="41C65AF4"/>
    <w:rsid w:val="41E57F57"/>
    <w:rsid w:val="42131E1C"/>
    <w:rsid w:val="42176CFE"/>
    <w:rsid w:val="42421F6B"/>
    <w:rsid w:val="42554B5E"/>
    <w:rsid w:val="430E2532"/>
    <w:rsid w:val="433F0704"/>
    <w:rsid w:val="43A31E6D"/>
    <w:rsid w:val="445F1CC4"/>
    <w:rsid w:val="44AC1A67"/>
    <w:rsid w:val="45117FAA"/>
    <w:rsid w:val="456E3123"/>
    <w:rsid w:val="456F4189"/>
    <w:rsid w:val="45905EAD"/>
    <w:rsid w:val="45E561F9"/>
    <w:rsid w:val="46E110B6"/>
    <w:rsid w:val="481158B4"/>
    <w:rsid w:val="48CC18F2"/>
    <w:rsid w:val="48E1372A"/>
    <w:rsid w:val="48E56E5E"/>
    <w:rsid w:val="49991506"/>
    <w:rsid w:val="49A40179"/>
    <w:rsid w:val="49AE055F"/>
    <w:rsid w:val="49BC644C"/>
    <w:rsid w:val="4A1D41C4"/>
    <w:rsid w:val="4A282B58"/>
    <w:rsid w:val="4A9C3D23"/>
    <w:rsid w:val="4AF94F08"/>
    <w:rsid w:val="4B682903"/>
    <w:rsid w:val="4B8A1D1C"/>
    <w:rsid w:val="4B8E27ED"/>
    <w:rsid w:val="4BE22D68"/>
    <w:rsid w:val="4BFF76BF"/>
    <w:rsid w:val="4C110879"/>
    <w:rsid w:val="4C1635B0"/>
    <w:rsid w:val="4D227D5B"/>
    <w:rsid w:val="4D2E0486"/>
    <w:rsid w:val="4D395579"/>
    <w:rsid w:val="4E173153"/>
    <w:rsid w:val="4E431CE6"/>
    <w:rsid w:val="4E4D2513"/>
    <w:rsid w:val="4E6B62AA"/>
    <w:rsid w:val="4E913A23"/>
    <w:rsid w:val="4EAF43E1"/>
    <w:rsid w:val="4FAA21F2"/>
    <w:rsid w:val="4FDA58D9"/>
    <w:rsid w:val="50886A20"/>
    <w:rsid w:val="50EC2B32"/>
    <w:rsid w:val="50F546B3"/>
    <w:rsid w:val="5102496A"/>
    <w:rsid w:val="51890380"/>
    <w:rsid w:val="51915487"/>
    <w:rsid w:val="51BB2B9D"/>
    <w:rsid w:val="51E12E5D"/>
    <w:rsid w:val="52BF61EB"/>
    <w:rsid w:val="53352C04"/>
    <w:rsid w:val="534053B7"/>
    <w:rsid w:val="535B5D4C"/>
    <w:rsid w:val="536D1963"/>
    <w:rsid w:val="541A20CD"/>
    <w:rsid w:val="54430CDC"/>
    <w:rsid w:val="54F55D2D"/>
    <w:rsid w:val="5527238A"/>
    <w:rsid w:val="5543118E"/>
    <w:rsid w:val="554F75E9"/>
    <w:rsid w:val="555A33F1"/>
    <w:rsid w:val="55A10A98"/>
    <w:rsid w:val="55F75D63"/>
    <w:rsid w:val="55F7664B"/>
    <w:rsid w:val="56187DD2"/>
    <w:rsid w:val="56220DA3"/>
    <w:rsid w:val="562B6018"/>
    <w:rsid w:val="56552F27"/>
    <w:rsid w:val="565E6E9D"/>
    <w:rsid w:val="56A16A99"/>
    <w:rsid w:val="570701C8"/>
    <w:rsid w:val="571F149E"/>
    <w:rsid w:val="57A00008"/>
    <w:rsid w:val="57BA1013"/>
    <w:rsid w:val="57F2004A"/>
    <w:rsid w:val="58141373"/>
    <w:rsid w:val="58A85967"/>
    <w:rsid w:val="592E180D"/>
    <w:rsid w:val="596D7783"/>
    <w:rsid w:val="59914276"/>
    <w:rsid w:val="59D54D83"/>
    <w:rsid w:val="5A0507C0"/>
    <w:rsid w:val="5ABF3065"/>
    <w:rsid w:val="5ADA75E9"/>
    <w:rsid w:val="5B4600CD"/>
    <w:rsid w:val="5B6169B3"/>
    <w:rsid w:val="5D3679A8"/>
    <w:rsid w:val="5D513D24"/>
    <w:rsid w:val="5E237853"/>
    <w:rsid w:val="5E2809D1"/>
    <w:rsid w:val="5E6D26E9"/>
    <w:rsid w:val="5E926030"/>
    <w:rsid w:val="5FA63841"/>
    <w:rsid w:val="6050080E"/>
    <w:rsid w:val="60B31D61"/>
    <w:rsid w:val="60C413D5"/>
    <w:rsid w:val="60E14A9E"/>
    <w:rsid w:val="612B51BB"/>
    <w:rsid w:val="613A195F"/>
    <w:rsid w:val="618741E4"/>
    <w:rsid w:val="61B56F70"/>
    <w:rsid w:val="623F10A0"/>
    <w:rsid w:val="628B1CB9"/>
    <w:rsid w:val="62E02AB7"/>
    <w:rsid w:val="63C86A8D"/>
    <w:rsid w:val="63D336DD"/>
    <w:rsid w:val="64191A38"/>
    <w:rsid w:val="646515A5"/>
    <w:rsid w:val="6468651B"/>
    <w:rsid w:val="64BF0AC7"/>
    <w:rsid w:val="65BB1907"/>
    <w:rsid w:val="65D11F14"/>
    <w:rsid w:val="65ED3AA5"/>
    <w:rsid w:val="662155BE"/>
    <w:rsid w:val="66540B05"/>
    <w:rsid w:val="667B1B49"/>
    <w:rsid w:val="686F7E78"/>
    <w:rsid w:val="69C62FCC"/>
    <w:rsid w:val="6ACE6451"/>
    <w:rsid w:val="6B146AB5"/>
    <w:rsid w:val="6BD3071E"/>
    <w:rsid w:val="6C6232D4"/>
    <w:rsid w:val="6CA87573"/>
    <w:rsid w:val="6D162FB8"/>
    <w:rsid w:val="6D3B2830"/>
    <w:rsid w:val="6DCB6921"/>
    <w:rsid w:val="6DF77813"/>
    <w:rsid w:val="6E4C4C93"/>
    <w:rsid w:val="6E505617"/>
    <w:rsid w:val="6E6F41F9"/>
    <w:rsid w:val="6EB26D11"/>
    <w:rsid w:val="6F102E93"/>
    <w:rsid w:val="6F377216"/>
    <w:rsid w:val="7034366C"/>
    <w:rsid w:val="703706FB"/>
    <w:rsid w:val="70717EDF"/>
    <w:rsid w:val="70985573"/>
    <w:rsid w:val="70A63093"/>
    <w:rsid w:val="70EE56A9"/>
    <w:rsid w:val="711A2AAB"/>
    <w:rsid w:val="713604D3"/>
    <w:rsid w:val="714C2B6F"/>
    <w:rsid w:val="717B5ABE"/>
    <w:rsid w:val="71A936A9"/>
    <w:rsid w:val="71D40D4C"/>
    <w:rsid w:val="72480C73"/>
    <w:rsid w:val="72C343A9"/>
    <w:rsid w:val="7308456B"/>
    <w:rsid w:val="73F91FA2"/>
    <w:rsid w:val="74100036"/>
    <w:rsid w:val="74D14353"/>
    <w:rsid w:val="74D215F5"/>
    <w:rsid w:val="74D53759"/>
    <w:rsid w:val="751B1DB1"/>
    <w:rsid w:val="757F5558"/>
    <w:rsid w:val="758331B5"/>
    <w:rsid w:val="758A1CA8"/>
    <w:rsid w:val="760A11E0"/>
    <w:rsid w:val="76813303"/>
    <w:rsid w:val="76AE24B4"/>
    <w:rsid w:val="76C06F5A"/>
    <w:rsid w:val="771F7072"/>
    <w:rsid w:val="772D52A0"/>
    <w:rsid w:val="779828EB"/>
    <w:rsid w:val="77992CC4"/>
    <w:rsid w:val="786F1A26"/>
    <w:rsid w:val="78A27DF6"/>
    <w:rsid w:val="798E037A"/>
    <w:rsid w:val="79D67094"/>
    <w:rsid w:val="79DF39EF"/>
    <w:rsid w:val="7A24483B"/>
    <w:rsid w:val="7A4500B3"/>
    <w:rsid w:val="7A542C9D"/>
    <w:rsid w:val="7A990981"/>
    <w:rsid w:val="7B7909BA"/>
    <w:rsid w:val="7BB00C9D"/>
    <w:rsid w:val="7BF067AB"/>
    <w:rsid w:val="7C502F40"/>
    <w:rsid w:val="7D250AB5"/>
    <w:rsid w:val="7D80519E"/>
    <w:rsid w:val="7DAB16C5"/>
    <w:rsid w:val="7DC97BD3"/>
    <w:rsid w:val="7E075D2D"/>
    <w:rsid w:val="7E357016"/>
    <w:rsid w:val="7E6416AA"/>
    <w:rsid w:val="7F133138"/>
    <w:rsid w:val="7F2E0A10"/>
    <w:rsid w:val="7F6210B1"/>
    <w:rsid w:val="7F622AA0"/>
    <w:rsid w:val="7F78540D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337AB7"/>
      <w:u w:val="none"/>
    </w:rPr>
  </w:style>
  <w:style w:type="character" w:styleId="10">
    <w:name w:val="HTML Definition"/>
    <w:basedOn w:val="7"/>
    <w:autoRedefine/>
    <w:semiHidden/>
    <w:unhideWhenUsed/>
    <w:qFormat/>
    <w:uiPriority w:val="99"/>
    <w:rPr>
      <w:i/>
      <w:iCs/>
    </w:rPr>
  </w:style>
  <w:style w:type="character" w:styleId="11">
    <w:name w:val="HTML Typewriter"/>
    <w:basedOn w:val="7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2">
    <w:name w:val="Hyperlink"/>
    <w:basedOn w:val="7"/>
    <w:autoRedefine/>
    <w:semiHidden/>
    <w:unhideWhenUsed/>
    <w:qFormat/>
    <w:uiPriority w:val="99"/>
    <w:rPr>
      <w:b/>
      <w:bCs/>
      <w:color w:val="337AB7"/>
      <w:sz w:val="18"/>
      <w:szCs w:val="18"/>
      <w:u w:val="none"/>
      <w:shd w:val="clear" w:fill="777777"/>
    </w:rPr>
  </w:style>
  <w:style w:type="character" w:styleId="13">
    <w:name w:val="HTML Code"/>
    <w:basedOn w:val="7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7"/>
    <w:autoRedefine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autoRedefine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6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8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9">
    <w:name w:val="nth-child(2)"/>
    <w:basedOn w:val="7"/>
    <w:autoRedefine/>
    <w:qFormat/>
    <w:uiPriority w:val="0"/>
  </w:style>
  <w:style w:type="character" w:customStyle="1" w:styleId="20">
    <w:name w:val="nth-child(1)"/>
    <w:basedOn w:val="7"/>
    <w:qFormat/>
    <w:uiPriority w:val="0"/>
  </w:style>
  <w:style w:type="character" w:customStyle="1" w:styleId="21">
    <w:name w:val="nth-child(2)1"/>
    <w:basedOn w:val="7"/>
    <w:autoRedefine/>
    <w:qFormat/>
    <w:uiPriority w:val="0"/>
  </w:style>
  <w:style w:type="character" w:customStyle="1" w:styleId="22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chart" Target="charts/chart10.xml"/><Relationship Id="rId13" Type="http://schemas.openxmlformats.org/officeDocument/2006/relationships/chart" Target="charts/chart9.xml"/><Relationship Id="rId12" Type="http://schemas.openxmlformats.org/officeDocument/2006/relationships/chart" Target="charts/chart8.xml"/><Relationship Id="rId11" Type="http://schemas.openxmlformats.org/officeDocument/2006/relationships/chart" Target="charts/chart7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&#30424;&#36164;&#26009;\&#25991;&#26723;\&#32508;&#21512;\2024&#24180;\2023&#24180;&#32479;&#35745;&#20844;&#25253;\2023&#20844;&#25253;&#25968;&#25454;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&#30424;&#36164;&#26009;\&#25991;&#26723;\&#32508;&#21512;\2024&#24180;\2023&#24180;&#32479;&#35745;&#20844;&#25253;\2023&#20844;&#25253;&#25968;&#25454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&#30424;&#36164;&#26009;\&#25991;&#26723;\&#32508;&#21512;\2024&#24180;\2023&#24180;&#32479;&#35745;&#20844;&#25253;\2023&#20844;&#25253;&#25968;&#25454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&#30424;&#36164;&#26009;\&#25991;&#26723;\&#32508;&#21512;\2024&#24180;\2023&#24180;&#32479;&#35745;&#20844;&#25253;\2023&#20844;&#25253;&#25968;&#25454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&#30424;&#36164;&#26009;\&#25991;&#26723;\&#32508;&#21512;\2024&#24180;\2023&#24180;&#32479;&#35745;&#20844;&#25253;\2023&#20844;&#25253;&#25968;&#25454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&#30424;&#36164;&#26009;\&#25991;&#26723;\&#32508;&#21512;\2024&#24180;\2023&#24180;&#32479;&#35745;&#20844;&#25253;\2023&#20844;&#25253;&#25968;&#25454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&#30424;&#36164;&#26009;\&#25991;&#26723;\&#32508;&#21512;\2024&#24180;\2023&#24180;&#32479;&#35745;&#20844;&#25253;\2023&#20844;&#25253;&#25968;&#25454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&#30424;&#36164;&#26009;\&#25991;&#26723;\&#32508;&#21512;\2024&#24180;\2023&#24180;&#32479;&#35745;&#20844;&#25253;\2023&#20844;&#25253;&#25968;&#25454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&#30424;&#36164;&#26009;\&#25991;&#26723;\&#32508;&#21512;\2024&#24180;\2023&#24180;&#32479;&#35745;&#20844;&#25253;\2023&#20844;&#25253;&#25968;&#25454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&#30424;&#36164;&#26009;\&#25991;&#26723;\&#32508;&#21512;\2024&#24180;\2023&#24180;&#32479;&#35745;&#20844;&#25253;\2023&#20844;&#25253;&#25968;&#2545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4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000"/>
              <a:t>亿元</a:t>
            </a:r>
            <a:endParaRPr sz="1000" b="0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05260928586335"/>
          <c:y val="0.042439015021067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[2023公报数据.xls]Sheet1!$B$13</c:f>
              <c:strCache>
                <c:ptCount val="1"/>
                <c:pt idx="0">
                  <c:v>生产总值总量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9000000" scaled="0"/>
            </a:gradFill>
            <a:effectLst>
              <a:outerShdw blurRad="50800" dist="38100" dir="13500000" algn="br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1"/>
              <c:layout>
                <c:manualLayout>
                  <c:x val="0.00179899256416407"/>
                  <c:y val="0.074340527577937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179899256416407"/>
                  <c:y val="0.08872901678657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[2023公报数据.xls]Sheet1!$A$14:$A$18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[2023公报数据.xls]Sheet1!$B$14:$B$18</c:f>
              <c:numCache>
                <c:formatCode>General</c:formatCode>
                <c:ptCount val="5"/>
                <c:pt idx="0">
                  <c:v>188.15</c:v>
                </c:pt>
                <c:pt idx="1">
                  <c:v>190.44</c:v>
                </c:pt>
                <c:pt idx="2">
                  <c:v>210.67</c:v>
                </c:pt>
                <c:pt idx="3">
                  <c:v>217.54</c:v>
                </c:pt>
                <c:pt idx="4">
                  <c:v>219.83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511750596"/>
        <c:axId val="145166242"/>
      </c:barChart>
      <c:lineChart>
        <c:grouping val="stacked"/>
        <c:varyColors val="0"/>
        <c:ser>
          <c:idx val="1"/>
          <c:order val="1"/>
          <c:tx>
            <c:strRef>
              <c:f>[2023公报数据.xls]Sheet1!$C$13</c:f>
              <c:strCache>
                <c:ptCount val="1"/>
                <c:pt idx="0">
                  <c:v>增速</c:v>
                </c:pt>
              </c:strCache>
            </c:strRef>
          </c:tx>
          <c:marker>
            <c:symbol val="square"/>
            <c:size val="3"/>
          </c:marker>
          <c:dLbls>
            <c:dLbl>
              <c:idx val="0"/>
              <c:layout>
                <c:manualLayout>
                  <c:x val="-0.0413768289757736"/>
                  <c:y val="-0.042606516290726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13768289757736"/>
                  <c:y val="-0.073673392113376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31758215399376"/>
                  <c:y val="-0.046230684625232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602062844806908"/>
                      <c:h val="0.055635491606714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0323818661549532"/>
                  <c:y val="-0.054308432952885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23818661549532"/>
                  <c:y val="-0.052884008582607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[2023公报数据.xls]Sheet1!$A$14:$A$18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[2023公报数据.xls]Sheet1!$C$14:$C$18</c:f>
              <c:numCache>
                <c:formatCode>0.0_ </c:formatCode>
                <c:ptCount val="5"/>
                <c:pt idx="0">
                  <c:v>6</c:v>
                </c:pt>
                <c:pt idx="1" c:formatCode="General">
                  <c:v>3.1</c:v>
                </c:pt>
                <c:pt idx="2" c:formatCode="General">
                  <c:v>5.8</c:v>
                </c:pt>
                <c:pt idx="3">
                  <c:v>3.8</c:v>
                </c:pt>
                <c:pt idx="4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0999224"/>
        <c:axId val="218008039"/>
      </c:lineChart>
      <c:catAx>
        <c:axId val="511750596"/>
        <c:scaling>
          <c:orientation val="minMax"/>
        </c:scaling>
        <c:delete val="0"/>
        <c:axPos val="b"/>
        <c:numFmt formatCode="#,##0;[Red]\-#,##0" sourceLinked="0"/>
        <c:majorTickMark val="none"/>
        <c:minorTickMark val="none"/>
        <c:tickLblPos val="nextTo"/>
        <c:txPr>
          <a:bodyPr rot="-27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45166242"/>
        <c:crosses val="autoZero"/>
        <c:auto val="1"/>
        <c:lblAlgn val="ctr"/>
        <c:lblOffset val="100"/>
        <c:noMultiLvlLbl val="0"/>
      </c:catAx>
      <c:valAx>
        <c:axId val="145166242"/>
        <c:scaling>
          <c:orientation val="minMax"/>
        </c:scaling>
        <c:delete val="0"/>
        <c:axPos val="l"/>
        <c:numFmt formatCode="0.0_ " sourceLinked="0"/>
        <c:majorTickMark val="none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511750596"/>
        <c:crosses val="autoZero"/>
        <c:crossBetween val="between"/>
      </c:valAx>
      <c:catAx>
        <c:axId val="92099922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18008039"/>
        <c:crosses val="autoZero"/>
        <c:auto val="1"/>
        <c:lblAlgn val="ctr"/>
        <c:lblOffset val="100"/>
        <c:noMultiLvlLbl val="0"/>
      </c:catAx>
      <c:valAx>
        <c:axId val="218008039"/>
        <c:scaling>
          <c:orientation val="minMax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2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rPr sz="1200"/>
                  <a:t>%</a:t>
                </a:r>
                <a:endParaRPr sz="12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859381537029192"/>
              <c:y val="0.0309104609679608"/>
            </c:manualLayout>
          </c:layout>
          <c:overlay val="0"/>
        </c:title>
        <c:numFmt formatCode="0.0_ " sourceLinked="1"/>
        <c:majorTickMark val="none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20999224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200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2001857872736"/>
          <c:y val="0.0653266331658292"/>
          <c:w val="0.744101254064097"/>
          <c:h val="0.8102512562814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[2023公报数据.xls]Sheet3!$R$152</c:f>
              <c:strCache>
                <c:ptCount val="1"/>
                <c:pt idx="0">
                  <c:v>农村居民人均可支配收入</c:v>
                </c:pt>
              </c:strCache>
            </c:strRef>
          </c:tx>
          <c:spPr>
            <a:solidFill>
              <a:schemeClr val="accent6"/>
            </a:solidFill>
            <a:ln w="12700" cmpd="sng">
              <a:solidFill>
                <a:schemeClr val="accent1">
                  <a:alpha val="71000"/>
                </a:schemeClr>
              </a:solidFill>
              <a:prstDash val="solid"/>
            </a:ln>
            <a:sp3d contourW="12700"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[2023公报数据.xls]Sheet3!$Q$153:$Q$157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[2023公报数据.xls]Sheet3!$R$153:$R$157</c:f>
              <c:numCache>
                <c:formatCode>General</c:formatCode>
                <c:ptCount val="5"/>
                <c:pt idx="0">
                  <c:v>17478</c:v>
                </c:pt>
                <c:pt idx="1">
                  <c:v>18894</c:v>
                </c:pt>
                <c:pt idx="2">
                  <c:v>20594</c:v>
                </c:pt>
                <c:pt idx="3">
                  <c:v>21850</c:v>
                </c:pt>
                <c:pt idx="4">
                  <c:v>23183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8"/>
        <c:overlap val="0"/>
        <c:axId val="386793787"/>
        <c:axId val="96764275"/>
      </c:barChart>
      <c:lineChart>
        <c:grouping val="standard"/>
        <c:varyColors val="0"/>
        <c:ser>
          <c:idx val="1"/>
          <c:order val="1"/>
          <c:tx>
            <c:strRef>
              <c:f>[2023公报数据.xls]Sheet3!$S$152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0.0450606585788562"/>
                  <c:y val="-0.039823008849557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80936358199151"/>
                  <c:y val="-0.058831737364499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15944540727903"/>
                  <c:y val="-0.053097345132743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98526983830551"/>
                  <c:y val="-0.061044126745030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81282495667244"/>
                  <c:y val="-0.05530973451327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[2023公报数据.xls]Sheet3!$Q$153:$Q$157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[2023公报数据.xls]Sheet3!$S$153:$S$157</c:f>
              <c:numCache>
                <c:formatCode>General</c:formatCode>
                <c:ptCount val="5"/>
                <c:pt idx="0">
                  <c:v>11.8</c:v>
                </c:pt>
                <c:pt idx="1">
                  <c:v>8.1</c:v>
                </c:pt>
                <c:pt idx="2" c:formatCode="0.0_ ">
                  <c:v>9</c:v>
                </c:pt>
                <c:pt idx="3">
                  <c:v>6.1</c:v>
                </c:pt>
                <c:pt idx="4">
                  <c:v>6.1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4755079"/>
        <c:axId val="839459750"/>
      </c:lineChart>
      <c:catAx>
        <c:axId val="386793787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6764275"/>
        <c:crosses val="autoZero"/>
        <c:auto val="1"/>
        <c:lblAlgn val="ctr"/>
        <c:lblOffset val="100"/>
        <c:noMultiLvlLbl val="0"/>
      </c:catAx>
      <c:valAx>
        <c:axId val="96764275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2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Calibri" panose="020F0502020204030204" pitchFamily="2" charset="0"/>
                    <a:ea typeface="Calibri" panose="020F0502020204030204" pitchFamily="2" charset="0"/>
                    <a:cs typeface="Calibri" panose="020F0502020204030204" pitchFamily="2" charset="0"/>
                  </a:defRPr>
                </a:pPr>
                <a:r>
                  <a:t>元</a:t>
                </a:r>
                <a:endParaRPr sz="1200" b="1" i="0" u="none" strike="noStrike" baseline="0">
                  <a:solidFill>
                    <a:srgbClr val="000000">
                      <a:alpha val="100000"/>
                    </a:srgbClr>
                  </a:solidFill>
                  <a:latin typeface="Calibri" panose="020F0502020204030204" pitchFamily="2" charset="0"/>
                  <a:ea typeface="Calibri" panose="020F0502020204030204" pitchFamily="2" charset="0"/>
                  <a:cs typeface="Calibri" panose="020F0502020204030204" pitchFamily="2" charset="0"/>
                </a:endParaRPr>
              </a:p>
            </c:rich>
          </c:tx>
          <c:layout>
            <c:manualLayout>
              <c:xMode val="edge"/>
              <c:yMode val="edge"/>
              <c:x val="0.12656987025558"/>
              <c:y val="0.02623285853313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86793787"/>
        <c:crosses val="autoZero"/>
        <c:crossBetween val="between"/>
      </c:valAx>
      <c:catAx>
        <c:axId val="594755079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39459750"/>
        <c:crosses val="autoZero"/>
        <c:auto val="1"/>
        <c:lblAlgn val="ctr"/>
        <c:lblOffset val="100"/>
        <c:noMultiLvlLbl val="0"/>
      </c:catAx>
      <c:valAx>
        <c:axId val="839459750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594755079"/>
        <c:crosses val="max"/>
        <c:crossBetween val="between"/>
      </c:valAx>
      <c:spPr>
        <a:noFill/>
        <a:ln w="3175">
          <a:noFill/>
        </a:ln>
      </c:spPr>
    </c:plotArea>
    <c:legend>
      <c:legendPos val="r"/>
      <c:layout>
        <c:manualLayout>
          <c:xMode val="edge"/>
          <c:yMode val="edge"/>
          <c:x val="0.188427118865903"/>
          <c:y val="0.0448968363936237"/>
          <c:w val="0.32475"/>
          <c:h val="0.1037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[2023公报数据.xls]Sheet3!$B$33</c:f>
              <c:strCache>
                <c:ptCount val="1"/>
                <c:pt idx="0">
                  <c:v>第一产业</c:v>
                </c:pt>
              </c:strCache>
            </c:strRef>
          </c:tx>
          <c:spPr>
            <a:gradFill>
              <a:gsLst>
                <a:gs pos="0">
                  <a:srgbClr val="00B050">
                    <a:lumMod val="91000"/>
                  </a:srgbClr>
                </a:gs>
                <a:gs pos="100000">
                  <a:srgbClr val="52762D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[2023公报数据.xls]Sheet3!$A$34:$A$38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[2023公报数据.xls]Sheet3!$B$34:$B$38</c:f>
              <c:numCache>
                <c:formatCode>0.0_ </c:formatCode>
                <c:ptCount val="5"/>
                <c:pt idx="0">
                  <c:v>3.6</c:v>
                </c:pt>
                <c:pt idx="1" c:formatCode="General">
                  <c:v>3.9</c:v>
                </c:pt>
                <c:pt idx="2" c:formatCode="General">
                  <c:v>3.6</c:v>
                </c:pt>
                <c:pt idx="3" c:formatCode="General">
                  <c:v>3.7</c:v>
                </c:pt>
                <c:pt idx="4" c:formatCode="General">
                  <c:v>3.7</c:v>
                </c:pt>
              </c:numCache>
            </c:numRef>
          </c:val>
        </c:ser>
        <c:ser>
          <c:idx val="1"/>
          <c:order val="1"/>
          <c:tx>
            <c:strRef>
              <c:f>[2023公报数据.xls]Sheet3!$C$33</c:f>
              <c:strCache>
                <c:ptCount val="1"/>
                <c:pt idx="0">
                  <c:v>第二产业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[2023公报数据.xls]Sheet3!$A$34:$A$38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[2023公报数据.xls]Sheet3!$C$34:$C$38</c:f>
              <c:numCache>
                <c:formatCode>0.0_ </c:formatCode>
                <c:ptCount val="5"/>
                <c:pt idx="0">
                  <c:v>40.6</c:v>
                </c:pt>
                <c:pt idx="1" c:formatCode="General">
                  <c:v>40.5</c:v>
                </c:pt>
                <c:pt idx="2" c:formatCode="General">
                  <c:v>42.3</c:v>
                </c:pt>
                <c:pt idx="3">
                  <c:v>41</c:v>
                </c:pt>
                <c:pt idx="4" c:formatCode="General">
                  <c:v>38.6</c:v>
                </c:pt>
              </c:numCache>
            </c:numRef>
          </c:val>
        </c:ser>
        <c:ser>
          <c:idx val="2"/>
          <c:order val="2"/>
          <c:tx>
            <c:strRef>
              <c:f>[2023公报数据.xls]Sheet3!$D$33</c:f>
              <c:strCache>
                <c:ptCount val="1"/>
                <c:pt idx="0">
                  <c:v>第三产业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[2023公报数据.xls]Sheet3!$A$34:$A$38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[2023公报数据.xls]Sheet3!$D$34:$D$38</c:f>
              <c:numCache>
                <c:formatCode>0.0_ </c:formatCode>
                <c:ptCount val="5"/>
                <c:pt idx="0">
                  <c:v>55.8</c:v>
                </c:pt>
                <c:pt idx="1" c:formatCode="General">
                  <c:v>55.6</c:v>
                </c:pt>
                <c:pt idx="2" c:formatCode="General">
                  <c:v>54.1</c:v>
                </c:pt>
                <c:pt idx="3" c:formatCode="General">
                  <c:v>55.3</c:v>
                </c:pt>
                <c:pt idx="4" c:formatCode="General">
                  <c:v>57.7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923217439"/>
        <c:axId val="997187234"/>
      </c:barChart>
      <c:catAx>
        <c:axId val="92321743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97187234"/>
        <c:crosses val="autoZero"/>
        <c:auto val="1"/>
        <c:lblAlgn val="ctr"/>
        <c:lblOffset val="100"/>
        <c:noMultiLvlLbl val="0"/>
      </c:catAx>
      <c:valAx>
        <c:axId val="997187234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3217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9EE256"/>
                </a:gs>
                <a:gs pos="100000">
                  <a:srgbClr val="52762D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[2023公报数据.xls]Sheet3!$A$59:$A$63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[2023公报数据.xls]Sheet3!$B$59:$B$63</c:f>
              <c:numCache>
                <c:formatCode>0.00_ </c:formatCode>
                <c:ptCount val="5"/>
                <c:pt idx="0">
                  <c:v>10.4451</c:v>
                </c:pt>
                <c:pt idx="1">
                  <c:v>10.7072</c:v>
                </c:pt>
                <c:pt idx="2" c:formatCode="General">
                  <c:v>10.75</c:v>
                </c:pt>
                <c:pt idx="3">
                  <c:v>10.9996</c:v>
                </c:pt>
                <c:pt idx="4" c:formatCode="General">
                  <c:v>10.89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9802929"/>
        <c:axId val="866817348"/>
      </c:barChart>
      <c:catAx>
        <c:axId val="78980292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6817348"/>
        <c:crosses val="autoZero"/>
        <c:auto val="1"/>
        <c:lblAlgn val="ctr"/>
        <c:lblOffset val="100"/>
        <c:noMultiLvlLbl val="0"/>
      </c:catAx>
      <c:valAx>
        <c:axId val="866817348"/>
        <c:scaling>
          <c:orientation val="minMax"/>
        </c:scaling>
        <c:delete val="0"/>
        <c:axPos val="l"/>
        <c:numFmt formatCode="0.00_ 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980292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dLbls>
            <c:dLbl>
              <c:idx val="3"/>
              <c:layout>
                <c:manualLayout>
                  <c:x val="0.0224489795918367"/>
                  <c:y val="-0.01355932203389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582766439909297"/>
                  <c:y val="0.064642184557438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[2023公报数据.xls]Sheet3!$A$86:$A$90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[2023公报数据.xls]Sheet3!$B$86:$B$90</c:f>
              <c:numCache>
                <c:formatCode>0.0_ </c:formatCode>
                <c:ptCount val="5"/>
                <c:pt idx="0">
                  <c:v>3.3</c:v>
                </c:pt>
                <c:pt idx="1">
                  <c:v>4.3</c:v>
                </c:pt>
                <c:pt idx="2" c:formatCode="General">
                  <c:v>0.8</c:v>
                </c:pt>
                <c:pt idx="3" c:formatCode="General">
                  <c:v>2.6</c:v>
                </c:pt>
                <c:pt idx="4" c:formatCode="General">
                  <c:v>-0.5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1577274"/>
        <c:axId val="463746318"/>
      </c:lineChart>
      <c:catAx>
        <c:axId val="94157727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463746318"/>
        <c:crosses val="autoZero"/>
        <c:auto val="1"/>
        <c:lblAlgn val="ctr"/>
        <c:lblOffset val="100"/>
        <c:noMultiLvlLbl val="0"/>
      </c:catAx>
      <c:valAx>
        <c:axId val="463746318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2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Calibri" panose="020F0502020204030204" pitchFamily="2" charset="0"/>
                    <a:ea typeface="Calibri" panose="020F0502020204030204" pitchFamily="2" charset="0"/>
                    <a:cs typeface="Calibri" panose="020F0502020204030204" pitchFamily="2" charset="0"/>
                  </a:defRPr>
                </a:pPr>
                <a:r>
                  <a:t>%</a:t>
                </a:r>
                <a:endParaRPr sz="1200" b="1" i="0" u="none" strike="noStrike" baseline="0">
                  <a:solidFill>
                    <a:srgbClr val="000000">
                      <a:alpha val="100000"/>
                    </a:srgbClr>
                  </a:solidFill>
                  <a:latin typeface="Calibri" panose="020F0502020204030204" pitchFamily="2" charset="0"/>
                  <a:ea typeface="Calibri" panose="020F0502020204030204" pitchFamily="2" charset="0"/>
                  <a:cs typeface="Calibri" panose="020F0502020204030204" pitchFamily="2" charset="0"/>
                </a:endParaRPr>
              </a:p>
            </c:rich>
          </c:tx>
          <c:layout>
            <c:manualLayout>
              <c:xMode val="edge"/>
              <c:yMode val="edge"/>
              <c:x val="0.202267502276501"/>
              <c:y val="0.0019879887895369"/>
            </c:manualLayout>
          </c:layout>
          <c:overlay val="0"/>
        </c:title>
        <c:numFmt formatCode="0.0_ 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41577274"/>
        <c:crosses val="autoZero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dLbls>
            <c:dLbl>
              <c:idx val="1"/>
              <c:layout>
                <c:manualLayout>
                  <c:x val="0.0591836734693878"/>
                  <c:y val="0.02372881355932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306122448979592"/>
                  <c:y val="0.1355932203389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204081632653067"/>
                  <c:y val="0.010169491525423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78684807256235"/>
                  <c:y val="-0.08112052730696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[2023公报数据.xls]Sheet3!$A$106:$A$110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[2023公报数据.xls]Sheet3!$B$106:$B$110</c:f>
              <c:numCache>
                <c:formatCode>0.0_ </c:formatCode>
                <c:ptCount val="5"/>
                <c:pt idx="0">
                  <c:v>4.4</c:v>
                </c:pt>
                <c:pt idx="1" c:formatCode="General">
                  <c:v>-10.6</c:v>
                </c:pt>
                <c:pt idx="2" c:formatCode="General">
                  <c:v>-18.7</c:v>
                </c:pt>
                <c:pt idx="3" c:formatCode="General">
                  <c:v>8.2</c:v>
                </c:pt>
                <c:pt idx="4" c:formatCode="General">
                  <c:v>6.3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3842433"/>
        <c:axId val="469331382"/>
      </c:lineChart>
      <c:catAx>
        <c:axId val="373842433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469331382"/>
        <c:crosses val="autoZero"/>
        <c:auto val="1"/>
        <c:lblAlgn val="ctr"/>
        <c:lblOffset val="100"/>
        <c:noMultiLvlLbl val="0"/>
      </c:catAx>
      <c:valAx>
        <c:axId val="469331382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2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Calibri" panose="020F0502020204030204" pitchFamily="2" charset="0"/>
                    <a:ea typeface="Calibri" panose="020F0502020204030204" pitchFamily="2" charset="0"/>
                    <a:cs typeface="Calibri" panose="020F0502020204030204" pitchFamily="2" charset="0"/>
                  </a:defRPr>
                </a:pPr>
                <a:r>
                  <a:t>%</a:t>
                </a:r>
                <a:endParaRPr sz="1200" b="1" i="0" u="none" strike="noStrike" baseline="0">
                  <a:solidFill>
                    <a:srgbClr val="000000">
                      <a:alpha val="100000"/>
                    </a:srgbClr>
                  </a:solidFill>
                  <a:latin typeface="Calibri" panose="020F0502020204030204" pitchFamily="2" charset="0"/>
                  <a:ea typeface="Calibri" panose="020F0502020204030204" pitchFamily="2" charset="0"/>
                  <a:cs typeface="Calibri" panose="020F0502020204030204" pitchFamily="2" charset="0"/>
                </a:endParaRPr>
              </a:p>
            </c:rich>
          </c:tx>
          <c:layout>
            <c:manualLayout>
              <c:xMode val="edge"/>
              <c:yMode val="edge"/>
              <c:x val="0.202267502276501"/>
              <c:y val="0.0019879887895369"/>
            </c:manualLayout>
          </c:layout>
          <c:overlay val="0"/>
        </c:title>
        <c:numFmt formatCode="0.0_ 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73842433"/>
        <c:crosses val="autoZero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dLbls>
            <c:dLbl>
              <c:idx val="1"/>
              <c:layout>
                <c:manualLayout>
                  <c:x val="0.00816326530612251"/>
                  <c:y val="0.12680225988700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142857142857143"/>
                  <c:y val="0.00677966101694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816326530612251"/>
                  <c:y val="-0.040677966101694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78684807256235"/>
                  <c:y val="-0.08112052730696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[2023公报数据.xls]Sheet3!$A$204:$A$208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[2023公报数据.xls]Sheet3!$B$204:$B$208</c:f>
              <c:numCache>
                <c:formatCode>0.0_ </c:formatCode>
                <c:ptCount val="5"/>
                <c:pt idx="0">
                  <c:v>8</c:v>
                </c:pt>
                <c:pt idx="1" c:formatCode="General">
                  <c:v>-1.4</c:v>
                </c:pt>
                <c:pt idx="2" c:formatCode="General">
                  <c:v>5.1</c:v>
                </c:pt>
                <c:pt idx="3" c:formatCode="General">
                  <c:v>1.6</c:v>
                </c:pt>
                <c:pt idx="4" c:formatCode="General">
                  <c:v>8.1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3842433"/>
        <c:axId val="469331382"/>
      </c:lineChart>
      <c:catAx>
        <c:axId val="373842433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469331382"/>
        <c:crosses val="autoZero"/>
        <c:auto val="1"/>
        <c:lblAlgn val="ctr"/>
        <c:lblOffset val="100"/>
        <c:noMultiLvlLbl val="0"/>
      </c:catAx>
      <c:valAx>
        <c:axId val="469331382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2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Calibri" panose="020F0502020204030204" pitchFamily="2" charset="0"/>
                    <a:ea typeface="Calibri" panose="020F0502020204030204" pitchFamily="2" charset="0"/>
                    <a:cs typeface="Calibri" panose="020F0502020204030204" pitchFamily="2" charset="0"/>
                  </a:defRPr>
                </a:pPr>
                <a:r>
                  <a:t>%</a:t>
                </a:r>
                <a:endParaRPr sz="1200" b="1" i="0" u="none" strike="noStrike" baseline="0">
                  <a:solidFill>
                    <a:srgbClr val="000000">
                      <a:alpha val="100000"/>
                    </a:srgbClr>
                  </a:solidFill>
                  <a:latin typeface="Calibri" panose="020F0502020204030204" pitchFamily="2" charset="0"/>
                  <a:ea typeface="Calibri" panose="020F0502020204030204" pitchFamily="2" charset="0"/>
                  <a:cs typeface="Calibri" panose="020F0502020204030204" pitchFamily="2" charset="0"/>
                </a:endParaRPr>
              </a:p>
            </c:rich>
          </c:tx>
          <c:layout>
            <c:manualLayout>
              <c:xMode val="edge"/>
              <c:yMode val="edge"/>
              <c:x val="0.202267502276501"/>
              <c:y val="0.0019879887895369"/>
            </c:manualLayout>
          </c:layout>
          <c:overlay val="0"/>
        </c:title>
        <c:numFmt formatCode="0.0_ 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73842433"/>
        <c:crosses val="autoZero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888888888889"/>
          <c:y val="0.027681660899654"/>
          <c:w val="0.841555555555556"/>
          <c:h val="0.6602998846597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[2023公报数据.xls]Sheet2!$R$9</c:f>
              <c:strCache>
                <c:ptCount val="1"/>
                <c:pt idx="0">
                  <c:v>财政收入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glow rad="63500">
                <a:schemeClr val="accent5">
                  <a:lumMod val="40000"/>
                  <a:lumOff val="60000"/>
                  <a:alpha val="40000"/>
                </a:schemeClr>
              </a:glow>
              <a:innerShdw blurRad="63500" dist="50800" dir="13500000">
                <a:schemeClr val="accent5">
                  <a:lumMod val="60000"/>
                  <a:lumOff val="40000"/>
                  <a:alpha val="50000"/>
                </a:schemeClr>
              </a:innerShdw>
            </a:effectLst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[2023公报数据.xls]Sheet2!$Q$10:$Q$14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[2023公报数据.xls]Sheet2!$R$10:$R$14</c:f>
              <c:numCache>
                <c:formatCode>0.00_ </c:formatCode>
                <c:ptCount val="5"/>
                <c:pt idx="0">
                  <c:v>22.495</c:v>
                </c:pt>
                <c:pt idx="1">
                  <c:v>21.2828</c:v>
                </c:pt>
                <c:pt idx="2" c:formatCode="General">
                  <c:v>26.95</c:v>
                </c:pt>
                <c:pt idx="3" c:formatCode="General">
                  <c:v>19.35</c:v>
                </c:pt>
                <c:pt idx="4" c:formatCode="General">
                  <c:v>24.63</c:v>
                </c:pt>
              </c:numCache>
            </c:numRef>
          </c:val>
        </c:ser>
        <c:ser>
          <c:idx val="1"/>
          <c:order val="1"/>
          <c:tx>
            <c:strRef>
              <c:f>[2023公报数据.xls]Sheet2!$S$9</c:f>
              <c:strCache>
                <c:ptCount val="1"/>
                <c:pt idx="0">
                  <c:v>公共财政预算收入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innerShdw blurRad="63500" dist="50800" dir="13500000">
                <a:schemeClr val="accent6">
                  <a:lumMod val="40000"/>
                  <a:lumOff val="60000"/>
                  <a:alpha val="50000"/>
                </a:schemeClr>
              </a:innerShdw>
            </a:effectLst>
          </c:spPr>
          <c:invertIfNegative val="0"/>
          <c:dLbls>
            <c:dLbl>
              <c:idx val="2"/>
              <c:layout>
                <c:manualLayout>
                  <c:x val="0.00625"/>
                  <c:y val="0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25"/>
                  <c:y val="0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833333333333333"/>
                  <c:y val="0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[2023公报数据.xls]Sheet2!$Q$10:$Q$14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[2023公报数据.xls]Sheet2!$S$10:$S$14</c:f>
              <c:numCache>
                <c:formatCode>0.00_ </c:formatCode>
                <c:ptCount val="5"/>
                <c:pt idx="0">
                  <c:v>12.7081</c:v>
                </c:pt>
                <c:pt idx="1">
                  <c:v>13.6962</c:v>
                </c:pt>
                <c:pt idx="2" c:formatCode="General">
                  <c:v>15.07</c:v>
                </c:pt>
                <c:pt idx="3" c:formatCode="General">
                  <c:v>13.44</c:v>
                </c:pt>
                <c:pt idx="4" c:formatCode="General">
                  <c:v>14.5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04922086"/>
        <c:axId val="421935923"/>
      </c:barChart>
      <c:catAx>
        <c:axId val="10492208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t>亿元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117277777777778"/>
              <c:y val="0.00944904177875044"/>
            </c:manualLayout>
          </c:layout>
          <c:overlay val="0"/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333333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421935923"/>
        <c:crosses val="autoZero"/>
        <c:auto val="1"/>
        <c:lblAlgn val="ctr"/>
        <c:lblOffset val="100"/>
        <c:noMultiLvlLbl val="0"/>
      </c:catAx>
      <c:valAx>
        <c:axId val="421935923"/>
        <c:scaling>
          <c:orientation val="minMax"/>
        </c:scaling>
        <c:delete val="0"/>
        <c:axPos val="l"/>
        <c:numFmt formatCode="0.00_ " sourceLinked="1"/>
        <c:majorTickMark val="none"/>
        <c:minorTickMark val="none"/>
        <c:tickLblPos val="nextTo"/>
        <c:spPr>
          <a:ln w="3175" cap="flat" cmpd="sng" algn="ctr">
            <a:noFill/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333333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04922086"/>
        <c:crosses val="autoZero"/>
        <c:crossBetween val="between"/>
      </c:valAx>
      <c:spPr>
        <a:noFill/>
        <a:ln w="3175">
          <a:noFill/>
        </a:ln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20" b="0" i="0" u="none" strike="noStrike" kern="1200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20" b="0" i="0" u="none" strike="noStrike" kern="1200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/>
      <c:overlay val="0"/>
      <c:spPr>
        <a:noFill/>
        <a:ln w="3175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333333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6741996233522"/>
          <c:y val="0.0488505747126437"/>
          <c:w val="0.821117388575016"/>
          <c:h val="0.7983141762452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[2023公报数据.xls]Sheet3!$R$123</c:f>
              <c:strCache>
                <c:ptCount val="1"/>
                <c:pt idx="0">
                  <c:v>存款余额</c:v>
                </c:pt>
              </c:strCache>
            </c:strRef>
          </c:tx>
          <c:spPr>
            <a:gradFill flip="none" rotWithShape="1"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18900000" scaled="0"/>
            </a:gradFill>
            <a:effectLst>
              <a:outerShdw blurRad="50800" dist="38100" dir="16200000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prst="angle"/>
              <a:bevelB prst="relaxedInset"/>
            </a:sp3d>
          </c:spPr>
          <c:invertIfNegative val="0"/>
          <c:dLbls>
            <c:dLbl>
              <c:idx val="0"/>
              <c:layout>
                <c:manualLayout>
                  <c:x val="0"/>
                  <c:y val="0.01377296587926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833333333333333"/>
                  <c:y val="-0.018850976961213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0071522309711286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0.01090405365995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0.003963254593175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[2023公报数据.xls]Sheet3!$Q$124:$Q$128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[2023公报数据.xls]Sheet3!$R$124:$R$128</c:f>
              <c:numCache>
                <c:formatCode>0.0_ </c:formatCode>
                <c:ptCount val="5"/>
                <c:pt idx="0">
                  <c:v>335.4336</c:v>
                </c:pt>
                <c:pt idx="1">
                  <c:v>359.2517</c:v>
                </c:pt>
                <c:pt idx="2" c:formatCode="General">
                  <c:v>396.57</c:v>
                </c:pt>
                <c:pt idx="3" c:formatCode="General">
                  <c:v>441.54</c:v>
                </c:pt>
                <c:pt idx="4" c:formatCode="General">
                  <c:v>519.7</c:v>
                </c:pt>
              </c:numCache>
            </c:numRef>
          </c:val>
        </c:ser>
        <c:ser>
          <c:idx val="1"/>
          <c:order val="1"/>
          <c:tx>
            <c:strRef>
              <c:f>[2023公报数据.xls]Sheet3!$S$123</c:f>
              <c:strCache>
                <c:ptCount val="1"/>
                <c:pt idx="0">
                  <c:v>贷款余额</c:v>
                </c:pt>
              </c:strCache>
            </c:strRef>
          </c:tx>
          <c:spPr>
            <a:gradFill flip="none" rotWithShape="1">
              <a:gsLst>
                <a:gs pos="0">
                  <a:srgbClr val="FE4444"/>
                </a:gs>
                <a:gs pos="100000">
                  <a:srgbClr val="832B2B"/>
                </a:gs>
              </a:gsLst>
              <a:lin ang="13920000" scaled="0"/>
            </a:gradFill>
            <a:effectLst>
              <a:glow rad="63500">
                <a:schemeClr val="accent1">
                  <a:satMod val="175000"/>
                  <a:alpha val="40000"/>
                </a:schemeClr>
              </a:glow>
              <a:outerShdw blurRad="50800" dist="50800" dir="5400000" algn="ctr" rotWithShape="0">
                <a:schemeClr val="accent2">
                  <a:alpha val="10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 prst="angle"/>
              <a:bevelB prst="angle"/>
            </a:sp3d>
          </c:spPr>
          <c:invertIfNegative val="0"/>
          <c:dPt>
            <c:idx val="4"/>
            <c:invertIfNegative val="0"/>
            <c:bubble3D val="0"/>
            <c:explosion val="0"/>
            <c:spPr>
              <a:gradFill flip="none" rotWithShape="1">
                <a:gsLst>
                  <a:gs pos="0">
                    <a:srgbClr val="FE4444"/>
                  </a:gs>
                  <a:gs pos="100000">
                    <a:srgbClr val="832B2B"/>
                  </a:gs>
                </a:gsLst>
                <a:lin ang="13920000" scaled="0"/>
              </a:gradFill>
              <a:effectLst>
                <a:glow rad="63500">
                  <a:schemeClr val="accent1">
                    <a:satMod val="175000"/>
                    <a:alpha val="40000"/>
                  </a:schemeClr>
                </a:glow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prst="angle"/>
                <a:bevelB prst="angle"/>
              </a:sp3d>
            </c:spPr>
          </c:dPt>
          <c:dLbls>
            <c:dLbl>
              <c:idx val="0"/>
              <c:layout>
                <c:manualLayout>
                  <c:x val="0.0194444444444444"/>
                  <c:y val="0.0085115923009623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5"/>
                  <c:y val="0.01042067658209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77777777777778"/>
                  <c:y val="0.0039329979585884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22222222222222"/>
                  <c:y val="0.039489282589676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222222222222222"/>
                  <c:y val="0.00836140274132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[2023公报数据.xls]Sheet3!$Q$124:$Q$128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[2023公报数据.xls]Sheet3!$S$124:$S$128</c:f>
              <c:numCache>
                <c:formatCode>0.0_ </c:formatCode>
                <c:ptCount val="5"/>
                <c:pt idx="0">
                  <c:v>239.5837</c:v>
                </c:pt>
                <c:pt idx="1">
                  <c:v>254.6712</c:v>
                </c:pt>
                <c:pt idx="2" c:formatCode="General">
                  <c:v>262.52</c:v>
                </c:pt>
                <c:pt idx="3" c:formatCode="General">
                  <c:v>306.01</c:v>
                </c:pt>
                <c:pt idx="4" c:formatCode="General">
                  <c:v>351.7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590904516"/>
        <c:axId val="305530402"/>
      </c:barChart>
      <c:catAx>
        <c:axId val="5909045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05530402"/>
        <c:crosses val="autoZero"/>
        <c:auto val="1"/>
        <c:lblAlgn val="ctr"/>
        <c:lblOffset val="100"/>
        <c:noMultiLvlLbl val="0"/>
      </c:catAx>
      <c:valAx>
        <c:axId val="305530402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2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Calibri" panose="020F0502020204030204" pitchFamily="2" charset="0"/>
                    <a:ea typeface="Calibri" panose="020F0502020204030204" pitchFamily="2" charset="0"/>
                    <a:cs typeface="Calibri" panose="020F0502020204030204" pitchFamily="2" charset="0"/>
                  </a:defRPr>
                </a:pPr>
                <a:r>
                  <a:t>亿元</a:t>
                </a:r>
                <a:endParaRPr sz="1200" b="1" i="0" u="none" strike="noStrike" baseline="0">
                  <a:solidFill>
                    <a:srgbClr val="000000">
                      <a:alpha val="100000"/>
                    </a:srgbClr>
                  </a:solidFill>
                  <a:latin typeface="Calibri" panose="020F0502020204030204" pitchFamily="2" charset="0"/>
                  <a:ea typeface="Calibri" panose="020F0502020204030204" pitchFamily="2" charset="0"/>
                  <a:cs typeface="Calibri" panose="020F0502020204030204" pitchFamily="2" charset="0"/>
                </a:endParaRPr>
              </a:p>
            </c:rich>
          </c:tx>
          <c:layout>
            <c:manualLayout>
              <c:xMode val="edge"/>
              <c:yMode val="edge"/>
              <c:x val="0.131749632990791"/>
              <c:y val="0.0148508160617854"/>
            </c:manualLayout>
          </c:layout>
          <c:overlay val="0"/>
        </c:title>
        <c:numFmt formatCode="0.0_ 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590904516"/>
        <c:crosses val="autoZero"/>
        <c:crossBetween val="between"/>
      </c:valAx>
      <c:spPr>
        <a:noFill/>
        <a:ln w="3175">
          <a:noFill/>
        </a:ln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185297487531573"/>
          <c:y val="0.058770929495882"/>
          <c:w val="0.228"/>
          <c:h val="0.121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92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2032953719409"/>
          <c:y val="0.0802530144297292"/>
          <c:w val="0.744148291737339"/>
          <c:h val="0.7954536469658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[2023公报数据.xls]Sheet3!$R$182</c:f>
              <c:strCache>
                <c:ptCount val="1"/>
                <c:pt idx="0">
                  <c:v>城镇居民人均可支配收入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5400000" scaled="0"/>
            </a:gradFill>
            <a:ln w="12700" cmpd="sng">
              <a:solidFill>
                <a:schemeClr val="accent1">
                  <a:alpha val="71000"/>
                </a:schemeClr>
              </a:solidFill>
              <a:prstDash val="solid"/>
            </a:ln>
            <a:sp3d contourW="12700"/>
          </c:spPr>
          <c:invertIfNegative val="0"/>
          <c:dLbls>
            <c:dLbl>
              <c:idx val="0"/>
              <c:layout>
                <c:manualLayout>
                  <c:x val="0"/>
                  <c:y val="0.013118768584922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348391592149576"/>
                  <c:y val="0.080632775303332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[2023公报数据.xls]Sheet3!$Q$183:$Q$187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[2023公报数据.xls]Sheet3!$R$183:$R$187</c:f>
              <c:numCache>
                <c:formatCode>General</c:formatCode>
                <c:ptCount val="5"/>
                <c:pt idx="0">
                  <c:v>34508</c:v>
                </c:pt>
                <c:pt idx="1">
                  <c:v>36095</c:v>
                </c:pt>
                <c:pt idx="2">
                  <c:v>38261</c:v>
                </c:pt>
                <c:pt idx="3">
                  <c:v>39638</c:v>
                </c:pt>
                <c:pt idx="4">
                  <c:v>41660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8"/>
        <c:overlap val="0"/>
        <c:axId val="231918707"/>
        <c:axId val="843025853"/>
      </c:barChart>
      <c:lineChart>
        <c:grouping val="standard"/>
        <c:varyColors val="0"/>
        <c:ser>
          <c:idx val="1"/>
          <c:order val="1"/>
          <c:tx>
            <c:strRef>
              <c:f>[2023公报数据.xls]Sheet3!$S$182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0.0450606585788562"/>
                  <c:y val="-0.039823008849557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1426057173477"/>
                  <c:y val="-0.068765994888632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15944540727903"/>
                  <c:y val="-0.053097345132743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15944540727903"/>
                  <c:y val="-0.035398230088495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81282495667244"/>
                  <c:y val="-0.05530973451327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[2023公报数据.xls]Sheet3!$Q$183:$Q$187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[2023公报数据.xls]Sheet3!$S$183:$S$187</c:f>
              <c:numCache>
                <c:formatCode>General</c:formatCode>
                <c:ptCount val="5"/>
                <c:pt idx="0">
                  <c:v>9.7</c:v>
                </c:pt>
                <c:pt idx="1">
                  <c:v>4.6</c:v>
                </c:pt>
                <c:pt idx="2" c:formatCode="0.0_ ">
                  <c:v>6</c:v>
                </c:pt>
                <c:pt idx="3">
                  <c:v>3.6</c:v>
                </c:pt>
                <c:pt idx="4">
                  <c:v>5.1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52321147"/>
        <c:axId val="945865846"/>
      </c:lineChart>
      <c:catAx>
        <c:axId val="231918707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43025853"/>
        <c:crosses val="autoZero"/>
        <c:auto val="1"/>
        <c:lblAlgn val="ctr"/>
        <c:lblOffset val="100"/>
        <c:noMultiLvlLbl val="0"/>
      </c:catAx>
      <c:valAx>
        <c:axId val="843025853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Calibri" panose="020F0502020204030204" pitchFamily="2" charset="0"/>
                    <a:ea typeface="Calibri" panose="020F0502020204030204" pitchFamily="2" charset="0"/>
                    <a:cs typeface="Calibri" panose="020F0502020204030204" pitchFamily="2" charset="0"/>
                  </a:defRPr>
                </a:pPr>
                <a:r>
                  <a:rPr sz="1100"/>
                  <a:t>元</a:t>
                </a:r>
                <a:endParaRPr sz="1100" b="1" i="0" u="none" strike="noStrike" baseline="0">
                  <a:solidFill>
                    <a:srgbClr val="000000">
                      <a:alpha val="100000"/>
                    </a:srgbClr>
                  </a:solidFill>
                  <a:latin typeface="Calibri" panose="020F0502020204030204" pitchFamily="2" charset="0"/>
                  <a:ea typeface="Calibri" panose="020F0502020204030204" pitchFamily="2" charset="0"/>
                  <a:cs typeface="Calibri" panose="020F0502020204030204" pitchFamily="2" charset="0"/>
                </a:endParaRPr>
              </a:p>
            </c:rich>
          </c:tx>
          <c:layout>
            <c:manualLayout>
              <c:xMode val="edge"/>
              <c:yMode val="edge"/>
              <c:x val="0.141108275877097"/>
              <c:y val="0.065589164287899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31918707"/>
        <c:crosses val="autoZero"/>
        <c:crossBetween val="between"/>
      </c:valAx>
      <c:catAx>
        <c:axId val="652321147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45865846"/>
        <c:crosses val="autoZero"/>
        <c:auto val="1"/>
        <c:lblAlgn val="ctr"/>
        <c:lblOffset val="100"/>
        <c:noMultiLvlLbl val="0"/>
      </c:catAx>
      <c:valAx>
        <c:axId val="945865846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652321147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BD58C-323E-4A59-A69F-19C3422500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3702</Words>
  <Characters>5135</Characters>
  <Lines>36</Lines>
  <Paragraphs>10</Paragraphs>
  <TotalTime>166</TotalTime>
  <ScaleCrop>false</ScaleCrop>
  <LinksUpToDate>false</LinksUpToDate>
  <CharactersWithSpaces>5319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2020-03-31T02:35:00Z</dcterms:created>
  <dc:creator>微软用户</dc:creator>
  <cp:lastModifiedBy>可可</cp:lastModifiedBy>
  <cp:lastPrinted>2022-04-14T01:45:00Z</cp:lastPrinted>
  <dcterms:modified xsi:type="dcterms:W3CDTF">2024-06-12T03:10:12Z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4183EA16A44C49EB986B691F74F558DE</vt:lpwstr>
  </property>
</Properties>
</file>