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中共沙河市委统战部</w:t>
      </w:r>
    </w:p>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eastAsia" w:eastAsia="方正小标宋_GBK"/>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r>
        <w:rPr>
          <w:rFonts w:hint="eastAsia" w:ascii="方正小标宋_GBK" w:hAnsi="方正小标宋_GBK" w:eastAsia="方正小标宋_GBK" w:cs="方正小标宋_GBK"/>
          <w:color w:val="000000"/>
          <w:sz w:val="72"/>
          <w:lang w:eastAsia="zh-CN"/>
        </w:rPr>
        <w:t>公开表</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202中共沙河市委统战部</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319.98</w:t>
            </w:r>
          </w:p>
        </w:tc>
        <w:tc>
          <w:tcPr>
            <w:tcW w:w="1971" w:type="dxa"/>
            <w:vAlign w:val="center"/>
          </w:tcPr>
          <w:p>
            <w:pPr>
              <w:pStyle w:val="14"/>
            </w:pPr>
            <w:r>
              <w:t>一、一般公共服务支出</w:t>
            </w:r>
          </w:p>
        </w:tc>
        <w:tc>
          <w:tcPr>
            <w:tcW w:w="1971" w:type="dxa"/>
            <w:vAlign w:val="center"/>
          </w:tcPr>
          <w:p>
            <w:pPr>
              <w:pStyle w:val="13"/>
            </w:pPr>
            <w:r>
              <w:t>279.05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22.97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319.98</w:t>
            </w:r>
          </w:p>
        </w:tc>
        <w:tc>
          <w:tcPr>
            <w:tcW w:w="1971" w:type="dxa"/>
            <w:vAlign w:val="center"/>
          </w:tcPr>
          <w:p>
            <w:pPr>
              <w:pStyle w:val="16"/>
            </w:pPr>
            <w:r>
              <w:t>本年支出合计</w:t>
            </w:r>
          </w:p>
        </w:tc>
        <w:tc>
          <w:tcPr>
            <w:tcW w:w="1971" w:type="dxa"/>
            <w:vAlign w:val="center"/>
          </w:tcPr>
          <w:p>
            <w:pPr>
              <w:pStyle w:val="17"/>
            </w:pPr>
            <w:r>
              <w:t>319.98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319.98</w:t>
            </w:r>
          </w:p>
        </w:tc>
        <w:tc>
          <w:tcPr>
            <w:tcW w:w="1971" w:type="dxa"/>
            <w:vAlign w:val="center"/>
          </w:tcPr>
          <w:p>
            <w:pPr>
              <w:pStyle w:val="16"/>
            </w:pPr>
            <w:r>
              <w:t>支出总计</w:t>
            </w:r>
          </w:p>
        </w:tc>
        <w:tc>
          <w:tcPr>
            <w:tcW w:w="1971" w:type="dxa"/>
            <w:vAlign w:val="center"/>
          </w:tcPr>
          <w:p>
            <w:pPr>
              <w:pStyle w:val="17"/>
            </w:pPr>
            <w:r>
              <w:t>319.98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202中共沙河市委统战部</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319.98</w:t>
            </w:r>
          </w:p>
        </w:tc>
        <w:tc>
          <w:tcPr>
            <w:tcW w:w="758" w:type="dxa"/>
            <w:vAlign w:val="center"/>
          </w:tcPr>
          <w:p>
            <w:pPr>
              <w:pStyle w:val="17"/>
            </w:pPr>
            <w:r>
              <w:t>319.98</w:t>
            </w:r>
          </w:p>
        </w:tc>
        <w:tc>
          <w:tcPr>
            <w:tcW w:w="758" w:type="dxa"/>
            <w:vAlign w:val="center"/>
          </w:tcPr>
          <w:p>
            <w:pPr>
              <w:pStyle w:val="17"/>
            </w:pPr>
            <w:r>
              <w:t>319.98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279.05</w:t>
            </w:r>
          </w:p>
        </w:tc>
        <w:tc>
          <w:tcPr>
            <w:tcW w:w="758" w:type="dxa"/>
            <w:vAlign w:val="center"/>
          </w:tcPr>
          <w:p>
            <w:pPr>
              <w:pStyle w:val="13"/>
            </w:pPr>
            <w:r>
              <w:t>279.05</w:t>
            </w:r>
          </w:p>
        </w:tc>
        <w:tc>
          <w:tcPr>
            <w:tcW w:w="758" w:type="dxa"/>
            <w:vAlign w:val="center"/>
          </w:tcPr>
          <w:p>
            <w:pPr>
              <w:pStyle w:val="13"/>
            </w:pPr>
            <w:r>
              <w:t>279.05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20128</w:t>
            </w:r>
          </w:p>
        </w:tc>
        <w:tc>
          <w:tcPr>
            <w:tcW w:w="758" w:type="dxa"/>
            <w:vAlign w:val="center"/>
          </w:tcPr>
          <w:p>
            <w:pPr>
              <w:pStyle w:val="14"/>
            </w:pPr>
            <w:r>
              <w:t>民主党派及工商联事务</w:t>
            </w:r>
          </w:p>
        </w:tc>
        <w:tc>
          <w:tcPr>
            <w:tcW w:w="758" w:type="dxa"/>
            <w:vAlign w:val="center"/>
          </w:tcPr>
          <w:p>
            <w:pPr>
              <w:pStyle w:val="13"/>
            </w:pPr>
            <w:r>
              <w:t>2.70</w:t>
            </w:r>
          </w:p>
        </w:tc>
        <w:tc>
          <w:tcPr>
            <w:tcW w:w="758" w:type="dxa"/>
            <w:vAlign w:val="center"/>
          </w:tcPr>
          <w:p>
            <w:pPr>
              <w:pStyle w:val="13"/>
            </w:pPr>
            <w:r>
              <w:t>2.70</w:t>
            </w:r>
          </w:p>
        </w:tc>
        <w:tc>
          <w:tcPr>
            <w:tcW w:w="758" w:type="dxa"/>
            <w:vAlign w:val="center"/>
          </w:tcPr>
          <w:p>
            <w:pPr>
              <w:pStyle w:val="13"/>
            </w:pPr>
            <w:r>
              <w:t>2.70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2012899</w:t>
            </w:r>
          </w:p>
        </w:tc>
        <w:tc>
          <w:tcPr>
            <w:tcW w:w="758" w:type="dxa"/>
            <w:vAlign w:val="center"/>
          </w:tcPr>
          <w:p>
            <w:pPr>
              <w:pStyle w:val="14"/>
            </w:pPr>
            <w:r>
              <w:t>其他民主党派及工商联事务支出</w:t>
            </w:r>
          </w:p>
        </w:tc>
        <w:tc>
          <w:tcPr>
            <w:tcW w:w="758" w:type="dxa"/>
            <w:vAlign w:val="center"/>
          </w:tcPr>
          <w:p>
            <w:pPr>
              <w:pStyle w:val="13"/>
            </w:pPr>
            <w:r>
              <w:t>2.70</w:t>
            </w:r>
          </w:p>
        </w:tc>
        <w:tc>
          <w:tcPr>
            <w:tcW w:w="758" w:type="dxa"/>
            <w:vAlign w:val="center"/>
          </w:tcPr>
          <w:p>
            <w:pPr>
              <w:pStyle w:val="13"/>
            </w:pPr>
            <w:r>
              <w:t>2.70</w:t>
            </w:r>
          </w:p>
        </w:tc>
        <w:tc>
          <w:tcPr>
            <w:tcW w:w="758" w:type="dxa"/>
            <w:vAlign w:val="center"/>
          </w:tcPr>
          <w:p>
            <w:pPr>
              <w:pStyle w:val="13"/>
            </w:pPr>
            <w:r>
              <w:t>2.70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20134</w:t>
            </w:r>
          </w:p>
        </w:tc>
        <w:tc>
          <w:tcPr>
            <w:tcW w:w="758" w:type="dxa"/>
            <w:vAlign w:val="center"/>
          </w:tcPr>
          <w:p>
            <w:pPr>
              <w:pStyle w:val="14"/>
            </w:pPr>
            <w:r>
              <w:t>统战事务</w:t>
            </w:r>
          </w:p>
        </w:tc>
        <w:tc>
          <w:tcPr>
            <w:tcW w:w="758" w:type="dxa"/>
            <w:vAlign w:val="center"/>
          </w:tcPr>
          <w:p>
            <w:pPr>
              <w:pStyle w:val="13"/>
            </w:pPr>
            <w:r>
              <w:t>276.35</w:t>
            </w:r>
          </w:p>
        </w:tc>
        <w:tc>
          <w:tcPr>
            <w:tcW w:w="758" w:type="dxa"/>
            <w:vAlign w:val="center"/>
          </w:tcPr>
          <w:p>
            <w:pPr>
              <w:pStyle w:val="13"/>
            </w:pPr>
            <w:r>
              <w:t>276.35</w:t>
            </w:r>
          </w:p>
        </w:tc>
        <w:tc>
          <w:tcPr>
            <w:tcW w:w="758" w:type="dxa"/>
            <w:vAlign w:val="center"/>
          </w:tcPr>
          <w:p>
            <w:pPr>
              <w:pStyle w:val="13"/>
            </w:pPr>
            <w:r>
              <w:t>276.35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2013401</w:t>
            </w:r>
          </w:p>
        </w:tc>
        <w:tc>
          <w:tcPr>
            <w:tcW w:w="758" w:type="dxa"/>
            <w:vAlign w:val="center"/>
          </w:tcPr>
          <w:p>
            <w:pPr>
              <w:pStyle w:val="14"/>
            </w:pPr>
            <w:r>
              <w:t>行政运行</w:t>
            </w:r>
          </w:p>
        </w:tc>
        <w:tc>
          <w:tcPr>
            <w:tcW w:w="758" w:type="dxa"/>
            <w:vAlign w:val="center"/>
          </w:tcPr>
          <w:p>
            <w:pPr>
              <w:pStyle w:val="13"/>
            </w:pPr>
            <w:r>
              <w:t>152.69</w:t>
            </w:r>
          </w:p>
        </w:tc>
        <w:tc>
          <w:tcPr>
            <w:tcW w:w="758" w:type="dxa"/>
            <w:vAlign w:val="center"/>
          </w:tcPr>
          <w:p>
            <w:pPr>
              <w:pStyle w:val="13"/>
            </w:pPr>
            <w:r>
              <w:t>152.69</w:t>
            </w:r>
          </w:p>
        </w:tc>
        <w:tc>
          <w:tcPr>
            <w:tcW w:w="758" w:type="dxa"/>
            <w:vAlign w:val="center"/>
          </w:tcPr>
          <w:p>
            <w:pPr>
              <w:pStyle w:val="13"/>
            </w:pPr>
            <w:r>
              <w:t>152.69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2013404</w:t>
            </w:r>
          </w:p>
        </w:tc>
        <w:tc>
          <w:tcPr>
            <w:tcW w:w="758" w:type="dxa"/>
            <w:vAlign w:val="center"/>
          </w:tcPr>
          <w:p>
            <w:pPr>
              <w:pStyle w:val="14"/>
            </w:pPr>
            <w:r>
              <w:t>宗教事务</w:t>
            </w:r>
          </w:p>
        </w:tc>
        <w:tc>
          <w:tcPr>
            <w:tcW w:w="758" w:type="dxa"/>
            <w:vAlign w:val="center"/>
          </w:tcPr>
          <w:p>
            <w:pPr>
              <w:pStyle w:val="13"/>
            </w:pPr>
            <w:r>
              <w:t>106.16</w:t>
            </w:r>
          </w:p>
        </w:tc>
        <w:tc>
          <w:tcPr>
            <w:tcW w:w="758" w:type="dxa"/>
            <w:vAlign w:val="center"/>
          </w:tcPr>
          <w:p>
            <w:pPr>
              <w:pStyle w:val="13"/>
            </w:pPr>
            <w:r>
              <w:t>106.16</w:t>
            </w:r>
          </w:p>
        </w:tc>
        <w:tc>
          <w:tcPr>
            <w:tcW w:w="758" w:type="dxa"/>
            <w:vAlign w:val="center"/>
          </w:tcPr>
          <w:p>
            <w:pPr>
              <w:pStyle w:val="13"/>
            </w:pPr>
            <w:r>
              <w:t>106.16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2013499</w:t>
            </w:r>
          </w:p>
        </w:tc>
        <w:tc>
          <w:tcPr>
            <w:tcW w:w="758" w:type="dxa"/>
            <w:vAlign w:val="center"/>
          </w:tcPr>
          <w:p>
            <w:pPr>
              <w:pStyle w:val="14"/>
            </w:pPr>
            <w:r>
              <w:t>其他统战事务支出</w:t>
            </w:r>
          </w:p>
        </w:tc>
        <w:tc>
          <w:tcPr>
            <w:tcW w:w="758" w:type="dxa"/>
            <w:vAlign w:val="center"/>
          </w:tcPr>
          <w:p>
            <w:pPr>
              <w:pStyle w:val="13"/>
            </w:pPr>
            <w:r>
              <w:t>17.50</w:t>
            </w:r>
          </w:p>
        </w:tc>
        <w:tc>
          <w:tcPr>
            <w:tcW w:w="758" w:type="dxa"/>
            <w:vAlign w:val="center"/>
          </w:tcPr>
          <w:p>
            <w:pPr>
              <w:pStyle w:val="13"/>
            </w:pPr>
            <w:r>
              <w:t>17.50</w:t>
            </w:r>
          </w:p>
        </w:tc>
        <w:tc>
          <w:tcPr>
            <w:tcW w:w="758" w:type="dxa"/>
            <w:vAlign w:val="center"/>
          </w:tcPr>
          <w:p>
            <w:pPr>
              <w:pStyle w:val="13"/>
            </w:pPr>
            <w:r>
              <w:t>17.50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22.97</w:t>
            </w:r>
          </w:p>
        </w:tc>
        <w:tc>
          <w:tcPr>
            <w:tcW w:w="758" w:type="dxa"/>
            <w:vAlign w:val="center"/>
          </w:tcPr>
          <w:p>
            <w:pPr>
              <w:pStyle w:val="13"/>
            </w:pPr>
            <w:r>
              <w:t>22.97</w:t>
            </w:r>
          </w:p>
        </w:tc>
        <w:tc>
          <w:tcPr>
            <w:tcW w:w="758" w:type="dxa"/>
            <w:vAlign w:val="center"/>
          </w:tcPr>
          <w:p>
            <w:pPr>
              <w:pStyle w:val="13"/>
            </w:pPr>
            <w:r>
              <w:t>22.97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22.97</w:t>
            </w:r>
          </w:p>
        </w:tc>
        <w:tc>
          <w:tcPr>
            <w:tcW w:w="758" w:type="dxa"/>
            <w:vAlign w:val="center"/>
          </w:tcPr>
          <w:p>
            <w:pPr>
              <w:pStyle w:val="13"/>
            </w:pPr>
            <w:r>
              <w:t>22.97</w:t>
            </w:r>
          </w:p>
        </w:tc>
        <w:tc>
          <w:tcPr>
            <w:tcW w:w="758" w:type="dxa"/>
            <w:vAlign w:val="center"/>
          </w:tcPr>
          <w:p>
            <w:pPr>
              <w:pStyle w:val="13"/>
            </w:pPr>
            <w:r>
              <w:t>22.97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22.97</w:t>
            </w:r>
          </w:p>
        </w:tc>
        <w:tc>
          <w:tcPr>
            <w:tcW w:w="758" w:type="dxa"/>
            <w:vAlign w:val="center"/>
          </w:tcPr>
          <w:p>
            <w:pPr>
              <w:pStyle w:val="13"/>
            </w:pPr>
            <w:r>
              <w:t>22.97</w:t>
            </w:r>
          </w:p>
        </w:tc>
        <w:tc>
          <w:tcPr>
            <w:tcW w:w="758" w:type="dxa"/>
            <w:vAlign w:val="center"/>
          </w:tcPr>
          <w:p>
            <w:pPr>
              <w:pStyle w:val="13"/>
            </w:pPr>
            <w:r>
              <w:t>22.97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17.96</w:t>
            </w:r>
          </w:p>
        </w:tc>
        <w:tc>
          <w:tcPr>
            <w:tcW w:w="758" w:type="dxa"/>
            <w:vAlign w:val="center"/>
          </w:tcPr>
          <w:p>
            <w:pPr>
              <w:pStyle w:val="13"/>
            </w:pPr>
            <w:r>
              <w:t>17.96</w:t>
            </w:r>
          </w:p>
        </w:tc>
        <w:tc>
          <w:tcPr>
            <w:tcW w:w="758" w:type="dxa"/>
            <w:vAlign w:val="center"/>
          </w:tcPr>
          <w:p>
            <w:pPr>
              <w:pStyle w:val="13"/>
            </w:pPr>
            <w:r>
              <w:t>17.96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17.96</w:t>
            </w:r>
          </w:p>
        </w:tc>
        <w:tc>
          <w:tcPr>
            <w:tcW w:w="758" w:type="dxa"/>
            <w:vAlign w:val="center"/>
          </w:tcPr>
          <w:p>
            <w:pPr>
              <w:pStyle w:val="13"/>
            </w:pPr>
            <w:r>
              <w:t>17.96</w:t>
            </w:r>
          </w:p>
        </w:tc>
        <w:tc>
          <w:tcPr>
            <w:tcW w:w="758" w:type="dxa"/>
            <w:vAlign w:val="center"/>
          </w:tcPr>
          <w:p>
            <w:pPr>
              <w:pStyle w:val="13"/>
            </w:pPr>
            <w:r>
              <w:t>17.96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17.96</w:t>
            </w:r>
          </w:p>
        </w:tc>
        <w:tc>
          <w:tcPr>
            <w:tcW w:w="758" w:type="dxa"/>
            <w:vAlign w:val="center"/>
          </w:tcPr>
          <w:p>
            <w:pPr>
              <w:pStyle w:val="13"/>
            </w:pPr>
            <w:r>
              <w:t>17.96</w:t>
            </w:r>
          </w:p>
        </w:tc>
        <w:tc>
          <w:tcPr>
            <w:tcW w:w="758" w:type="dxa"/>
            <w:vAlign w:val="center"/>
          </w:tcPr>
          <w:p>
            <w:pPr>
              <w:pStyle w:val="13"/>
            </w:pPr>
            <w:r>
              <w:t>17.96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319.98</w:t>
            </w:r>
          </w:p>
        </w:tc>
        <w:tc>
          <w:tcPr>
            <w:tcW w:w="1095" w:type="dxa"/>
            <w:vAlign w:val="center"/>
          </w:tcPr>
          <w:p>
            <w:pPr>
              <w:pStyle w:val="17"/>
            </w:pPr>
            <w:r>
              <w:t>186.36</w:t>
            </w:r>
          </w:p>
        </w:tc>
        <w:tc>
          <w:tcPr>
            <w:tcW w:w="1095" w:type="dxa"/>
            <w:vAlign w:val="center"/>
          </w:tcPr>
          <w:p>
            <w:pPr>
              <w:pStyle w:val="17"/>
            </w:pPr>
            <w:r>
              <w:t>133.62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279.05</w:t>
            </w:r>
          </w:p>
        </w:tc>
        <w:tc>
          <w:tcPr>
            <w:tcW w:w="1095" w:type="dxa"/>
            <w:vAlign w:val="center"/>
          </w:tcPr>
          <w:p>
            <w:pPr>
              <w:pStyle w:val="13"/>
            </w:pPr>
            <w:r>
              <w:t>145.43</w:t>
            </w:r>
          </w:p>
        </w:tc>
        <w:tc>
          <w:tcPr>
            <w:tcW w:w="1095" w:type="dxa"/>
            <w:vAlign w:val="center"/>
          </w:tcPr>
          <w:p>
            <w:pPr>
              <w:pStyle w:val="13"/>
            </w:pPr>
            <w:r>
              <w:t>133.62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20128</w:t>
            </w:r>
          </w:p>
        </w:tc>
        <w:tc>
          <w:tcPr>
            <w:tcW w:w="1095" w:type="dxa"/>
            <w:vAlign w:val="center"/>
          </w:tcPr>
          <w:p>
            <w:pPr>
              <w:pStyle w:val="14"/>
            </w:pPr>
            <w:r>
              <w:t>民主党派及工商联事务</w:t>
            </w:r>
          </w:p>
        </w:tc>
        <w:tc>
          <w:tcPr>
            <w:tcW w:w="1095" w:type="dxa"/>
            <w:vAlign w:val="center"/>
          </w:tcPr>
          <w:p>
            <w:pPr>
              <w:pStyle w:val="13"/>
            </w:pPr>
            <w:r>
              <w:t>2.70</w:t>
            </w:r>
          </w:p>
        </w:tc>
        <w:tc>
          <w:tcPr>
            <w:tcW w:w="1095" w:type="dxa"/>
            <w:vAlign w:val="center"/>
          </w:tcPr>
          <w:p>
            <w:pPr>
              <w:pStyle w:val="13"/>
            </w:pPr>
          </w:p>
        </w:tc>
        <w:tc>
          <w:tcPr>
            <w:tcW w:w="1095" w:type="dxa"/>
            <w:vAlign w:val="center"/>
          </w:tcPr>
          <w:p>
            <w:pPr>
              <w:pStyle w:val="13"/>
            </w:pPr>
            <w:r>
              <w:t>2.70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2012899</w:t>
            </w:r>
          </w:p>
        </w:tc>
        <w:tc>
          <w:tcPr>
            <w:tcW w:w="1095" w:type="dxa"/>
            <w:vAlign w:val="center"/>
          </w:tcPr>
          <w:p>
            <w:pPr>
              <w:pStyle w:val="14"/>
            </w:pPr>
            <w:r>
              <w:t>其他民主党派及工商联事务支出</w:t>
            </w:r>
          </w:p>
        </w:tc>
        <w:tc>
          <w:tcPr>
            <w:tcW w:w="1095" w:type="dxa"/>
            <w:vAlign w:val="center"/>
          </w:tcPr>
          <w:p>
            <w:pPr>
              <w:pStyle w:val="13"/>
            </w:pPr>
            <w:r>
              <w:t>2.70</w:t>
            </w:r>
          </w:p>
        </w:tc>
        <w:tc>
          <w:tcPr>
            <w:tcW w:w="1095" w:type="dxa"/>
            <w:vAlign w:val="center"/>
          </w:tcPr>
          <w:p>
            <w:pPr>
              <w:pStyle w:val="13"/>
            </w:pPr>
          </w:p>
        </w:tc>
        <w:tc>
          <w:tcPr>
            <w:tcW w:w="1095" w:type="dxa"/>
            <w:vAlign w:val="center"/>
          </w:tcPr>
          <w:p>
            <w:pPr>
              <w:pStyle w:val="13"/>
            </w:pPr>
            <w:r>
              <w:t>2.70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20134</w:t>
            </w:r>
          </w:p>
        </w:tc>
        <w:tc>
          <w:tcPr>
            <w:tcW w:w="1095" w:type="dxa"/>
            <w:vAlign w:val="center"/>
          </w:tcPr>
          <w:p>
            <w:pPr>
              <w:pStyle w:val="14"/>
            </w:pPr>
            <w:r>
              <w:t>统战事务</w:t>
            </w:r>
          </w:p>
        </w:tc>
        <w:tc>
          <w:tcPr>
            <w:tcW w:w="1095" w:type="dxa"/>
            <w:vAlign w:val="center"/>
          </w:tcPr>
          <w:p>
            <w:pPr>
              <w:pStyle w:val="13"/>
            </w:pPr>
            <w:r>
              <w:t>276.35</w:t>
            </w:r>
          </w:p>
        </w:tc>
        <w:tc>
          <w:tcPr>
            <w:tcW w:w="1095" w:type="dxa"/>
            <w:vAlign w:val="center"/>
          </w:tcPr>
          <w:p>
            <w:pPr>
              <w:pStyle w:val="13"/>
            </w:pPr>
            <w:r>
              <w:t>145.43</w:t>
            </w:r>
          </w:p>
        </w:tc>
        <w:tc>
          <w:tcPr>
            <w:tcW w:w="1095" w:type="dxa"/>
            <w:vAlign w:val="center"/>
          </w:tcPr>
          <w:p>
            <w:pPr>
              <w:pStyle w:val="13"/>
            </w:pPr>
            <w:r>
              <w:t>130.92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2013401</w:t>
            </w:r>
          </w:p>
        </w:tc>
        <w:tc>
          <w:tcPr>
            <w:tcW w:w="1095" w:type="dxa"/>
            <w:vAlign w:val="center"/>
          </w:tcPr>
          <w:p>
            <w:pPr>
              <w:pStyle w:val="14"/>
            </w:pPr>
            <w:r>
              <w:t>行政运行</w:t>
            </w:r>
          </w:p>
        </w:tc>
        <w:tc>
          <w:tcPr>
            <w:tcW w:w="1095" w:type="dxa"/>
            <w:vAlign w:val="center"/>
          </w:tcPr>
          <w:p>
            <w:pPr>
              <w:pStyle w:val="13"/>
            </w:pPr>
            <w:r>
              <w:t>152.69</w:t>
            </w:r>
          </w:p>
        </w:tc>
        <w:tc>
          <w:tcPr>
            <w:tcW w:w="1095" w:type="dxa"/>
            <w:vAlign w:val="center"/>
          </w:tcPr>
          <w:p>
            <w:pPr>
              <w:pStyle w:val="13"/>
            </w:pPr>
            <w:r>
              <w:t>145.43</w:t>
            </w:r>
          </w:p>
        </w:tc>
        <w:tc>
          <w:tcPr>
            <w:tcW w:w="1095" w:type="dxa"/>
            <w:vAlign w:val="center"/>
          </w:tcPr>
          <w:p>
            <w:pPr>
              <w:pStyle w:val="13"/>
            </w:pPr>
            <w:r>
              <w:t>7.26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2013404</w:t>
            </w:r>
          </w:p>
        </w:tc>
        <w:tc>
          <w:tcPr>
            <w:tcW w:w="1095" w:type="dxa"/>
            <w:vAlign w:val="center"/>
          </w:tcPr>
          <w:p>
            <w:pPr>
              <w:pStyle w:val="14"/>
            </w:pPr>
            <w:r>
              <w:t>宗教事务</w:t>
            </w:r>
          </w:p>
        </w:tc>
        <w:tc>
          <w:tcPr>
            <w:tcW w:w="1095" w:type="dxa"/>
            <w:vAlign w:val="center"/>
          </w:tcPr>
          <w:p>
            <w:pPr>
              <w:pStyle w:val="13"/>
            </w:pPr>
            <w:r>
              <w:t>106.16</w:t>
            </w:r>
          </w:p>
        </w:tc>
        <w:tc>
          <w:tcPr>
            <w:tcW w:w="1095" w:type="dxa"/>
            <w:vAlign w:val="center"/>
          </w:tcPr>
          <w:p>
            <w:pPr>
              <w:pStyle w:val="13"/>
            </w:pPr>
          </w:p>
        </w:tc>
        <w:tc>
          <w:tcPr>
            <w:tcW w:w="1095" w:type="dxa"/>
            <w:vAlign w:val="center"/>
          </w:tcPr>
          <w:p>
            <w:pPr>
              <w:pStyle w:val="13"/>
            </w:pPr>
            <w:r>
              <w:t>106.16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2013499</w:t>
            </w:r>
          </w:p>
        </w:tc>
        <w:tc>
          <w:tcPr>
            <w:tcW w:w="1095" w:type="dxa"/>
            <w:vAlign w:val="center"/>
          </w:tcPr>
          <w:p>
            <w:pPr>
              <w:pStyle w:val="14"/>
            </w:pPr>
            <w:r>
              <w:t>其他统战事务支出</w:t>
            </w:r>
          </w:p>
        </w:tc>
        <w:tc>
          <w:tcPr>
            <w:tcW w:w="1095" w:type="dxa"/>
            <w:vAlign w:val="center"/>
          </w:tcPr>
          <w:p>
            <w:pPr>
              <w:pStyle w:val="13"/>
            </w:pPr>
            <w:r>
              <w:t>17.50</w:t>
            </w:r>
          </w:p>
        </w:tc>
        <w:tc>
          <w:tcPr>
            <w:tcW w:w="1095" w:type="dxa"/>
            <w:vAlign w:val="center"/>
          </w:tcPr>
          <w:p>
            <w:pPr>
              <w:pStyle w:val="13"/>
            </w:pPr>
          </w:p>
        </w:tc>
        <w:tc>
          <w:tcPr>
            <w:tcW w:w="1095" w:type="dxa"/>
            <w:vAlign w:val="center"/>
          </w:tcPr>
          <w:p>
            <w:pPr>
              <w:pStyle w:val="13"/>
            </w:pPr>
            <w:r>
              <w:t>17.50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22.97</w:t>
            </w:r>
          </w:p>
        </w:tc>
        <w:tc>
          <w:tcPr>
            <w:tcW w:w="1095" w:type="dxa"/>
            <w:vAlign w:val="center"/>
          </w:tcPr>
          <w:p>
            <w:pPr>
              <w:pStyle w:val="13"/>
            </w:pPr>
            <w:r>
              <w:t>22.97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22.97</w:t>
            </w:r>
          </w:p>
        </w:tc>
        <w:tc>
          <w:tcPr>
            <w:tcW w:w="1095" w:type="dxa"/>
            <w:vAlign w:val="center"/>
          </w:tcPr>
          <w:p>
            <w:pPr>
              <w:pStyle w:val="13"/>
            </w:pPr>
            <w:r>
              <w:t>22.97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22.97</w:t>
            </w:r>
          </w:p>
        </w:tc>
        <w:tc>
          <w:tcPr>
            <w:tcW w:w="1095" w:type="dxa"/>
            <w:vAlign w:val="center"/>
          </w:tcPr>
          <w:p>
            <w:pPr>
              <w:pStyle w:val="13"/>
            </w:pPr>
            <w:r>
              <w:t>22.97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17.96</w:t>
            </w:r>
          </w:p>
        </w:tc>
        <w:tc>
          <w:tcPr>
            <w:tcW w:w="1095" w:type="dxa"/>
            <w:vAlign w:val="center"/>
          </w:tcPr>
          <w:p>
            <w:pPr>
              <w:pStyle w:val="13"/>
            </w:pPr>
            <w:r>
              <w:t>17.96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17.96</w:t>
            </w:r>
          </w:p>
        </w:tc>
        <w:tc>
          <w:tcPr>
            <w:tcW w:w="1095" w:type="dxa"/>
            <w:vAlign w:val="center"/>
          </w:tcPr>
          <w:p>
            <w:pPr>
              <w:pStyle w:val="13"/>
            </w:pPr>
            <w:r>
              <w:t>17.96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17.96</w:t>
            </w:r>
          </w:p>
        </w:tc>
        <w:tc>
          <w:tcPr>
            <w:tcW w:w="1095" w:type="dxa"/>
            <w:vAlign w:val="center"/>
          </w:tcPr>
          <w:p>
            <w:pPr>
              <w:pStyle w:val="13"/>
            </w:pPr>
            <w:r>
              <w:t>17.96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319.98</w:t>
            </w:r>
          </w:p>
        </w:tc>
        <w:tc>
          <w:tcPr>
            <w:tcW w:w="1232" w:type="dxa"/>
            <w:vAlign w:val="center"/>
          </w:tcPr>
          <w:p>
            <w:pPr>
              <w:pStyle w:val="14"/>
            </w:pPr>
            <w:r>
              <w:t>一、一般公共服务支出</w:t>
            </w:r>
          </w:p>
        </w:tc>
        <w:tc>
          <w:tcPr>
            <w:tcW w:w="1232" w:type="dxa"/>
            <w:vAlign w:val="center"/>
          </w:tcPr>
          <w:p>
            <w:pPr>
              <w:pStyle w:val="13"/>
            </w:pPr>
            <w:r>
              <w:t>279.05</w:t>
            </w:r>
          </w:p>
        </w:tc>
        <w:tc>
          <w:tcPr>
            <w:tcW w:w="1232" w:type="dxa"/>
            <w:vAlign w:val="center"/>
          </w:tcPr>
          <w:p>
            <w:pPr>
              <w:pStyle w:val="13"/>
            </w:pPr>
            <w:r>
              <w:t>279.05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22.97</w:t>
            </w:r>
          </w:p>
        </w:tc>
        <w:tc>
          <w:tcPr>
            <w:tcW w:w="1232" w:type="dxa"/>
            <w:vAlign w:val="center"/>
          </w:tcPr>
          <w:p>
            <w:pPr>
              <w:pStyle w:val="13"/>
            </w:pPr>
            <w:r>
              <w:t>22.97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17.96</w:t>
            </w:r>
          </w:p>
        </w:tc>
        <w:tc>
          <w:tcPr>
            <w:tcW w:w="1232" w:type="dxa"/>
            <w:vAlign w:val="center"/>
          </w:tcPr>
          <w:p>
            <w:pPr>
              <w:pStyle w:val="13"/>
            </w:pPr>
            <w:r>
              <w:t>17.96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319.98</w:t>
            </w:r>
          </w:p>
        </w:tc>
        <w:tc>
          <w:tcPr>
            <w:tcW w:w="1232" w:type="dxa"/>
            <w:vAlign w:val="center"/>
          </w:tcPr>
          <w:p>
            <w:pPr>
              <w:pStyle w:val="16"/>
            </w:pPr>
            <w:r>
              <w:t>本年支出合计</w:t>
            </w:r>
          </w:p>
        </w:tc>
        <w:tc>
          <w:tcPr>
            <w:tcW w:w="1232" w:type="dxa"/>
            <w:vAlign w:val="center"/>
          </w:tcPr>
          <w:p>
            <w:pPr>
              <w:pStyle w:val="17"/>
            </w:pPr>
            <w:r>
              <w:t>319.98</w:t>
            </w:r>
          </w:p>
        </w:tc>
        <w:tc>
          <w:tcPr>
            <w:tcW w:w="1232" w:type="dxa"/>
            <w:vAlign w:val="center"/>
          </w:tcPr>
          <w:p>
            <w:pPr>
              <w:pStyle w:val="17"/>
            </w:pPr>
            <w:r>
              <w:t>319.98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319.98</w:t>
            </w:r>
          </w:p>
        </w:tc>
        <w:tc>
          <w:tcPr>
            <w:tcW w:w="1232" w:type="dxa"/>
            <w:vAlign w:val="center"/>
          </w:tcPr>
          <w:p>
            <w:pPr>
              <w:pStyle w:val="16"/>
            </w:pPr>
            <w:r>
              <w:t>支出总计</w:t>
            </w:r>
          </w:p>
        </w:tc>
        <w:tc>
          <w:tcPr>
            <w:tcW w:w="1232" w:type="dxa"/>
            <w:vAlign w:val="center"/>
          </w:tcPr>
          <w:p>
            <w:pPr>
              <w:pStyle w:val="17"/>
            </w:pPr>
            <w:r>
              <w:t>319.98</w:t>
            </w:r>
          </w:p>
        </w:tc>
        <w:tc>
          <w:tcPr>
            <w:tcW w:w="1232" w:type="dxa"/>
            <w:vAlign w:val="center"/>
          </w:tcPr>
          <w:p>
            <w:pPr>
              <w:pStyle w:val="17"/>
            </w:pPr>
            <w:r>
              <w:t>319.98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319.98</w:t>
            </w:r>
          </w:p>
        </w:tc>
        <w:tc>
          <w:tcPr>
            <w:tcW w:w="1643" w:type="dxa"/>
            <w:vAlign w:val="center"/>
          </w:tcPr>
          <w:p>
            <w:pPr>
              <w:pStyle w:val="17"/>
            </w:pPr>
            <w:r>
              <w:t>186.36</w:t>
            </w:r>
          </w:p>
        </w:tc>
        <w:tc>
          <w:tcPr>
            <w:tcW w:w="1643" w:type="dxa"/>
            <w:vAlign w:val="center"/>
          </w:tcPr>
          <w:p>
            <w:pPr>
              <w:pStyle w:val="17"/>
            </w:pPr>
            <w:r>
              <w:t>133.62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279.05</w:t>
            </w:r>
          </w:p>
        </w:tc>
        <w:tc>
          <w:tcPr>
            <w:tcW w:w="1643" w:type="dxa"/>
            <w:vAlign w:val="center"/>
          </w:tcPr>
          <w:p>
            <w:pPr>
              <w:pStyle w:val="13"/>
            </w:pPr>
            <w:r>
              <w:t>145.43</w:t>
            </w:r>
          </w:p>
        </w:tc>
        <w:tc>
          <w:tcPr>
            <w:tcW w:w="1643" w:type="dxa"/>
            <w:vAlign w:val="center"/>
          </w:tcPr>
          <w:p>
            <w:pPr>
              <w:pStyle w:val="13"/>
            </w:pPr>
            <w:r>
              <w:t>133.62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20128</w:t>
            </w:r>
          </w:p>
        </w:tc>
        <w:tc>
          <w:tcPr>
            <w:tcW w:w="1643" w:type="dxa"/>
            <w:vAlign w:val="center"/>
          </w:tcPr>
          <w:p>
            <w:pPr>
              <w:pStyle w:val="14"/>
            </w:pPr>
            <w:r>
              <w:t>民主党派及工商联事务</w:t>
            </w:r>
          </w:p>
        </w:tc>
        <w:tc>
          <w:tcPr>
            <w:tcW w:w="1643" w:type="dxa"/>
            <w:vAlign w:val="center"/>
          </w:tcPr>
          <w:p>
            <w:pPr>
              <w:pStyle w:val="13"/>
            </w:pPr>
            <w:r>
              <w:t>2.70</w:t>
            </w:r>
          </w:p>
        </w:tc>
        <w:tc>
          <w:tcPr>
            <w:tcW w:w="1643" w:type="dxa"/>
            <w:vAlign w:val="center"/>
          </w:tcPr>
          <w:p>
            <w:pPr>
              <w:pStyle w:val="13"/>
            </w:pPr>
          </w:p>
        </w:tc>
        <w:tc>
          <w:tcPr>
            <w:tcW w:w="1643"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2012899</w:t>
            </w:r>
          </w:p>
        </w:tc>
        <w:tc>
          <w:tcPr>
            <w:tcW w:w="1643" w:type="dxa"/>
            <w:vAlign w:val="center"/>
          </w:tcPr>
          <w:p>
            <w:pPr>
              <w:pStyle w:val="14"/>
            </w:pPr>
            <w:r>
              <w:t>其他民主党派及工商联事务支出</w:t>
            </w:r>
          </w:p>
        </w:tc>
        <w:tc>
          <w:tcPr>
            <w:tcW w:w="1643" w:type="dxa"/>
            <w:vAlign w:val="center"/>
          </w:tcPr>
          <w:p>
            <w:pPr>
              <w:pStyle w:val="13"/>
            </w:pPr>
            <w:r>
              <w:t>2.70</w:t>
            </w:r>
          </w:p>
        </w:tc>
        <w:tc>
          <w:tcPr>
            <w:tcW w:w="1643" w:type="dxa"/>
            <w:vAlign w:val="center"/>
          </w:tcPr>
          <w:p>
            <w:pPr>
              <w:pStyle w:val="13"/>
            </w:pPr>
          </w:p>
        </w:tc>
        <w:tc>
          <w:tcPr>
            <w:tcW w:w="1643"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20134</w:t>
            </w:r>
          </w:p>
        </w:tc>
        <w:tc>
          <w:tcPr>
            <w:tcW w:w="1643" w:type="dxa"/>
            <w:vAlign w:val="center"/>
          </w:tcPr>
          <w:p>
            <w:pPr>
              <w:pStyle w:val="14"/>
            </w:pPr>
            <w:r>
              <w:t>统战事务</w:t>
            </w:r>
          </w:p>
        </w:tc>
        <w:tc>
          <w:tcPr>
            <w:tcW w:w="1643" w:type="dxa"/>
            <w:vAlign w:val="center"/>
          </w:tcPr>
          <w:p>
            <w:pPr>
              <w:pStyle w:val="13"/>
            </w:pPr>
            <w:r>
              <w:t>276.35</w:t>
            </w:r>
          </w:p>
        </w:tc>
        <w:tc>
          <w:tcPr>
            <w:tcW w:w="1643" w:type="dxa"/>
            <w:vAlign w:val="center"/>
          </w:tcPr>
          <w:p>
            <w:pPr>
              <w:pStyle w:val="13"/>
            </w:pPr>
            <w:r>
              <w:t>145.43</w:t>
            </w:r>
          </w:p>
        </w:tc>
        <w:tc>
          <w:tcPr>
            <w:tcW w:w="1643" w:type="dxa"/>
            <w:vAlign w:val="center"/>
          </w:tcPr>
          <w:p>
            <w:pPr>
              <w:pStyle w:val="13"/>
            </w:pPr>
            <w:r>
              <w:t>130.92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2013401</w:t>
            </w:r>
          </w:p>
        </w:tc>
        <w:tc>
          <w:tcPr>
            <w:tcW w:w="1643" w:type="dxa"/>
            <w:vAlign w:val="center"/>
          </w:tcPr>
          <w:p>
            <w:pPr>
              <w:pStyle w:val="14"/>
            </w:pPr>
            <w:r>
              <w:t>行政运行</w:t>
            </w:r>
          </w:p>
        </w:tc>
        <w:tc>
          <w:tcPr>
            <w:tcW w:w="1643" w:type="dxa"/>
            <w:vAlign w:val="center"/>
          </w:tcPr>
          <w:p>
            <w:pPr>
              <w:pStyle w:val="13"/>
            </w:pPr>
            <w:r>
              <w:t>152.69</w:t>
            </w:r>
          </w:p>
        </w:tc>
        <w:tc>
          <w:tcPr>
            <w:tcW w:w="1643" w:type="dxa"/>
            <w:vAlign w:val="center"/>
          </w:tcPr>
          <w:p>
            <w:pPr>
              <w:pStyle w:val="13"/>
            </w:pPr>
            <w:r>
              <w:t>145.43</w:t>
            </w:r>
          </w:p>
        </w:tc>
        <w:tc>
          <w:tcPr>
            <w:tcW w:w="1643" w:type="dxa"/>
            <w:vAlign w:val="center"/>
          </w:tcPr>
          <w:p>
            <w:pPr>
              <w:pStyle w:val="13"/>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2013404</w:t>
            </w:r>
          </w:p>
        </w:tc>
        <w:tc>
          <w:tcPr>
            <w:tcW w:w="1643" w:type="dxa"/>
            <w:vAlign w:val="center"/>
          </w:tcPr>
          <w:p>
            <w:pPr>
              <w:pStyle w:val="14"/>
            </w:pPr>
            <w:r>
              <w:t>宗教事务</w:t>
            </w:r>
          </w:p>
        </w:tc>
        <w:tc>
          <w:tcPr>
            <w:tcW w:w="1643" w:type="dxa"/>
            <w:vAlign w:val="center"/>
          </w:tcPr>
          <w:p>
            <w:pPr>
              <w:pStyle w:val="13"/>
            </w:pPr>
            <w:r>
              <w:t>106.16</w:t>
            </w:r>
          </w:p>
        </w:tc>
        <w:tc>
          <w:tcPr>
            <w:tcW w:w="1643" w:type="dxa"/>
            <w:vAlign w:val="center"/>
          </w:tcPr>
          <w:p>
            <w:pPr>
              <w:pStyle w:val="13"/>
            </w:pPr>
          </w:p>
        </w:tc>
        <w:tc>
          <w:tcPr>
            <w:tcW w:w="1643" w:type="dxa"/>
            <w:vAlign w:val="center"/>
          </w:tcPr>
          <w:p>
            <w:pPr>
              <w:pStyle w:val="13"/>
            </w:pPr>
            <w:r>
              <w:t>106.16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2013499</w:t>
            </w:r>
          </w:p>
        </w:tc>
        <w:tc>
          <w:tcPr>
            <w:tcW w:w="1643" w:type="dxa"/>
            <w:vAlign w:val="center"/>
          </w:tcPr>
          <w:p>
            <w:pPr>
              <w:pStyle w:val="14"/>
            </w:pPr>
            <w:r>
              <w:t>其他统战事务支出</w:t>
            </w:r>
          </w:p>
        </w:tc>
        <w:tc>
          <w:tcPr>
            <w:tcW w:w="1643" w:type="dxa"/>
            <w:vAlign w:val="center"/>
          </w:tcPr>
          <w:p>
            <w:pPr>
              <w:pStyle w:val="13"/>
            </w:pPr>
            <w:r>
              <w:t>17.50</w:t>
            </w:r>
          </w:p>
        </w:tc>
        <w:tc>
          <w:tcPr>
            <w:tcW w:w="1643" w:type="dxa"/>
            <w:vAlign w:val="center"/>
          </w:tcPr>
          <w:p>
            <w:pPr>
              <w:pStyle w:val="13"/>
            </w:pPr>
          </w:p>
        </w:tc>
        <w:tc>
          <w:tcPr>
            <w:tcW w:w="1643" w:type="dxa"/>
            <w:vAlign w:val="center"/>
          </w:tcPr>
          <w:p>
            <w:pPr>
              <w:pStyle w:val="13"/>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22.97</w:t>
            </w:r>
          </w:p>
        </w:tc>
        <w:tc>
          <w:tcPr>
            <w:tcW w:w="1643" w:type="dxa"/>
            <w:vAlign w:val="center"/>
          </w:tcPr>
          <w:p>
            <w:pPr>
              <w:pStyle w:val="13"/>
            </w:pPr>
            <w:r>
              <w:t>22.97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22.97</w:t>
            </w:r>
          </w:p>
        </w:tc>
        <w:tc>
          <w:tcPr>
            <w:tcW w:w="1643" w:type="dxa"/>
            <w:vAlign w:val="center"/>
          </w:tcPr>
          <w:p>
            <w:pPr>
              <w:pStyle w:val="13"/>
            </w:pPr>
            <w:r>
              <w:t>22.97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22.97</w:t>
            </w:r>
          </w:p>
        </w:tc>
        <w:tc>
          <w:tcPr>
            <w:tcW w:w="1643" w:type="dxa"/>
            <w:vAlign w:val="center"/>
          </w:tcPr>
          <w:p>
            <w:pPr>
              <w:pStyle w:val="13"/>
            </w:pPr>
            <w:r>
              <w:t>22.97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17.96</w:t>
            </w:r>
          </w:p>
        </w:tc>
        <w:tc>
          <w:tcPr>
            <w:tcW w:w="1643" w:type="dxa"/>
            <w:vAlign w:val="center"/>
          </w:tcPr>
          <w:p>
            <w:pPr>
              <w:pStyle w:val="13"/>
            </w:pPr>
            <w:r>
              <w:t>17.96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17.96</w:t>
            </w:r>
          </w:p>
        </w:tc>
        <w:tc>
          <w:tcPr>
            <w:tcW w:w="1643" w:type="dxa"/>
            <w:vAlign w:val="center"/>
          </w:tcPr>
          <w:p>
            <w:pPr>
              <w:pStyle w:val="13"/>
            </w:pPr>
            <w:r>
              <w:t>17.96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17.96</w:t>
            </w:r>
          </w:p>
        </w:tc>
        <w:tc>
          <w:tcPr>
            <w:tcW w:w="1643" w:type="dxa"/>
            <w:vAlign w:val="center"/>
          </w:tcPr>
          <w:p>
            <w:pPr>
              <w:pStyle w:val="13"/>
            </w:pPr>
            <w:r>
              <w:t>17.96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186.36</w:t>
            </w:r>
          </w:p>
        </w:tc>
        <w:tc>
          <w:tcPr>
            <w:tcW w:w="1643" w:type="dxa"/>
            <w:vAlign w:val="center"/>
          </w:tcPr>
          <w:p>
            <w:pPr>
              <w:pStyle w:val="17"/>
            </w:pPr>
            <w:r>
              <w:t>173.57</w:t>
            </w:r>
          </w:p>
        </w:tc>
        <w:tc>
          <w:tcPr>
            <w:tcW w:w="1643" w:type="dxa"/>
            <w:vAlign w:val="center"/>
          </w:tcPr>
          <w:p>
            <w:pPr>
              <w:pStyle w:val="17"/>
            </w:pPr>
            <w:r>
              <w:t>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163.30</w:t>
            </w:r>
          </w:p>
        </w:tc>
        <w:tc>
          <w:tcPr>
            <w:tcW w:w="1643" w:type="dxa"/>
            <w:vAlign w:val="center"/>
          </w:tcPr>
          <w:p>
            <w:pPr>
              <w:pStyle w:val="13"/>
            </w:pPr>
            <w:r>
              <w:t>163.30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58.35</w:t>
            </w:r>
          </w:p>
        </w:tc>
        <w:tc>
          <w:tcPr>
            <w:tcW w:w="1643" w:type="dxa"/>
            <w:vAlign w:val="center"/>
          </w:tcPr>
          <w:p>
            <w:pPr>
              <w:pStyle w:val="13"/>
            </w:pPr>
            <w:r>
              <w:t>58.35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23.51</w:t>
            </w:r>
          </w:p>
        </w:tc>
        <w:tc>
          <w:tcPr>
            <w:tcW w:w="1643" w:type="dxa"/>
            <w:vAlign w:val="center"/>
          </w:tcPr>
          <w:p>
            <w:pPr>
              <w:pStyle w:val="13"/>
            </w:pPr>
            <w:r>
              <w:t>23.51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25.52</w:t>
            </w:r>
          </w:p>
        </w:tc>
        <w:tc>
          <w:tcPr>
            <w:tcW w:w="1643" w:type="dxa"/>
            <w:vAlign w:val="center"/>
          </w:tcPr>
          <w:p>
            <w:pPr>
              <w:pStyle w:val="13"/>
            </w:pPr>
            <w:r>
              <w:t>25.52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14.77</w:t>
            </w:r>
          </w:p>
        </w:tc>
        <w:tc>
          <w:tcPr>
            <w:tcW w:w="1643" w:type="dxa"/>
            <w:vAlign w:val="center"/>
          </w:tcPr>
          <w:p>
            <w:pPr>
              <w:pStyle w:val="13"/>
            </w:pPr>
            <w:r>
              <w:t>14.77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22.97</w:t>
            </w:r>
          </w:p>
        </w:tc>
        <w:tc>
          <w:tcPr>
            <w:tcW w:w="1643" w:type="dxa"/>
            <w:vAlign w:val="center"/>
          </w:tcPr>
          <w:p>
            <w:pPr>
              <w:pStyle w:val="13"/>
            </w:pPr>
            <w:r>
              <w:t>22.97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17.96</w:t>
            </w:r>
          </w:p>
        </w:tc>
        <w:tc>
          <w:tcPr>
            <w:tcW w:w="1643" w:type="dxa"/>
            <w:vAlign w:val="center"/>
          </w:tcPr>
          <w:p>
            <w:pPr>
              <w:pStyle w:val="13"/>
            </w:pPr>
            <w:r>
              <w:t>17.96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0.22</w:t>
            </w:r>
          </w:p>
        </w:tc>
        <w:tc>
          <w:tcPr>
            <w:tcW w:w="1643" w:type="dxa"/>
            <w:vAlign w:val="center"/>
          </w:tcPr>
          <w:p>
            <w:pPr>
              <w:pStyle w:val="13"/>
            </w:pPr>
            <w:r>
              <w:t>0.22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12.79</w:t>
            </w:r>
          </w:p>
        </w:tc>
        <w:tc>
          <w:tcPr>
            <w:tcW w:w="1643" w:type="dxa"/>
            <w:vAlign w:val="center"/>
          </w:tcPr>
          <w:p>
            <w:pPr>
              <w:pStyle w:val="13"/>
            </w:pPr>
          </w:p>
        </w:tc>
        <w:tc>
          <w:tcPr>
            <w:tcW w:w="1643" w:type="dxa"/>
            <w:vAlign w:val="center"/>
          </w:tcPr>
          <w:p>
            <w:pPr>
              <w:pStyle w:val="13"/>
            </w:pPr>
            <w:r>
              <w:t>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1.28</w:t>
            </w:r>
          </w:p>
        </w:tc>
        <w:tc>
          <w:tcPr>
            <w:tcW w:w="1643" w:type="dxa"/>
            <w:vAlign w:val="center"/>
          </w:tcPr>
          <w:p>
            <w:pPr>
              <w:pStyle w:val="13"/>
            </w:pPr>
          </w:p>
        </w:tc>
        <w:tc>
          <w:tcPr>
            <w:tcW w:w="1643" w:type="dxa"/>
            <w:vAlign w:val="center"/>
          </w:tcPr>
          <w:p>
            <w:pPr>
              <w:pStyle w:val="13"/>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2.64</w:t>
            </w:r>
          </w:p>
        </w:tc>
        <w:tc>
          <w:tcPr>
            <w:tcW w:w="1643" w:type="dxa"/>
            <w:vAlign w:val="center"/>
          </w:tcPr>
          <w:p>
            <w:pPr>
              <w:pStyle w:val="13"/>
            </w:pPr>
          </w:p>
        </w:tc>
        <w:tc>
          <w:tcPr>
            <w:tcW w:w="1643" w:type="dxa"/>
            <w:vAlign w:val="center"/>
          </w:tcPr>
          <w:p>
            <w:pPr>
              <w:pStyle w:val="13"/>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1.17</w:t>
            </w:r>
          </w:p>
        </w:tc>
        <w:tc>
          <w:tcPr>
            <w:tcW w:w="1643" w:type="dxa"/>
            <w:vAlign w:val="center"/>
          </w:tcPr>
          <w:p>
            <w:pPr>
              <w:pStyle w:val="13"/>
            </w:pPr>
          </w:p>
        </w:tc>
        <w:tc>
          <w:tcPr>
            <w:tcW w:w="1643" w:type="dxa"/>
            <w:vAlign w:val="center"/>
          </w:tcPr>
          <w:p>
            <w:pPr>
              <w:pStyle w:val="13"/>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1.70</w:t>
            </w:r>
          </w:p>
        </w:tc>
        <w:tc>
          <w:tcPr>
            <w:tcW w:w="1643" w:type="dxa"/>
            <w:vAlign w:val="center"/>
          </w:tcPr>
          <w:p>
            <w:pPr>
              <w:pStyle w:val="13"/>
            </w:pPr>
          </w:p>
        </w:tc>
        <w:tc>
          <w:tcPr>
            <w:tcW w:w="1643"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10.27</w:t>
            </w:r>
          </w:p>
        </w:tc>
        <w:tc>
          <w:tcPr>
            <w:tcW w:w="1643" w:type="dxa"/>
            <w:vAlign w:val="center"/>
          </w:tcPr>
          <w:p>
            <w:pPr>
              <w:pStyle w:val="13"/>
            </w:pPr>
            <w:r>
              <w:t>10.27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30301</w:t>
            </w:r>
          </w:p>
        </w:tc>
        <w:tc>
          <w:tcPr>
            <w:tcW w:w="1643" w:type="dxa"/>
            <w:vAlign w:val="center"/>
          </w:tcPr>
          <w:p>
            <w:pPr>
              <w:pStyle w:val="14"/>
            </w:pPr>
            <w:r>
              <w:t>离休费</w:t>
            </w:r>
          </w:p>
        </w:tc>
        <w:tc>
          <w:tcPr>
            <w:tcW w:w="1643" w:type="dxa"/>
            <w:vAlign w:val="center"/>
          </w:tcPr>
          <w:p>
            <w:pPr>
              <w:pStyle w:val="13"/>
            </w:pPr>
            <w:r>
              <w:t>9.49</w:t>
            </w:r>
          </w:p>
        </w:tc>
        <w:tc>
          <w:tcPr>
            <w:tcW w:w="1643" w:type="dxa"/>
            <w:vAlign w:val="center"/>
          </w:tcPr>
          <w:p>
            <w:pPr>
              <w:pStyle w:val="13"/>
            </w:pPr>
            <w:r>
              <w:t>9.49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0.16</w:t>
            </w:r>
          </w:p>
        </w:tc>
        <w:tc>
          <w:tcPr>
            <w:tcW w:w="1643" w:type="dxa"/>
            <w:vAlign w:val="center"/>
          </w:tcPr>
          <w:p>
            <w:pPr>
              <w:pStyle w:val="13"/>
            </w:pPr>
            <w:r>
              <w:t>0.16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0.62</w:t>
            </w:r>
          </w:p>
        </w:tc>
        <w:tc>
          <w:tcPr>
            <w:tcW w:w="1643" w:type="dxa"/>
            <w:vAlign w:val="center"/>
          </w:tcPr>
          <w:p>
            <w:pPr>
              <w:pStyle w:val="13"/>
            </w:pPr>
            <w:r>
              <w:t>0.62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中共沙河市委统战部2022年部门预算信息公开情况说明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中共沙河市委统战部2022年部门预算信息公开情况说明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按照《预算法》、《地方预决算公开操作规程》和《关于进一步推进预算公开工作的实施意见》规定，现将中共沙河市委统战部2022年部门预算公开如下：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一）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落实中央和省、邢台市委、沙河市委关于统一战线工作重大决策部署，巩固壮大最广泛的统一战线。</w:t>
      </w:r>
    </w:p>
    <w:p>
      <w:pPr>
        <w:pStyle w:val="19"/>
      </w:pPr>
      <w:r>
        <w:t>（二）开展统一战线理论研究，推动统一战线工作的政策措施落实，深入调查研究，及时向市委报告统一战线工作情况并提出建议，统筹协调和指导各乡镇办各部门统一战线工作。</w:t>
      </w:r>
    </w:p>
    <w:p>
      <w:pPr>
        <w:pStyle w:val="19"/>
      </w:pPr>
      <w:r>
        <w:t>（三）负责发现、培养党外代表人士，负责党外人士的政治安排，负责党外代表人士在人大、政协安排的有关工作，会同有关部门做好安排党外人士担任政府和司法机关等领导职务的工作，做好党外代表人士和后备干部队伍建设工作，协助市工商联做好干部管理工作，反映和协调解决党外代表人士工作生活中的实际困难。</w:t>
      </w:r>
    </w:p>
    <w:p>
      <w:pPr>
        <w:pStyle w:val="19"/>
      </w:pPr>
      <w:r>
        <w:t>（四）贯彻落实党的宣传工作方针，统筹推进全市统一战线宣传工作，拟订全市统一战线宣传工作规划并组织实施，研判涉及统一战线的舆情并协调有关部门应对处置。</w:t>
      </w:r>
    </w:p>
    <w:p>
      <w:pPr>
        <w:pStyle w:val="19"/>
      </w:pPr>
      <w:r>
        <w:t>（五）负责联系各民主党派成员，通报情况、反映意见。贯彻落实中国共产党领导的多党合作和政治协商制度以及对民主党派的方针政策，支持、帮助民主党派成员加强自身建设、履行职责、发挥积极作用。</w:t>
      </w:r>
    </w:p>
    <w:p>
      <w:pPr>
        <w:pStyle w:val="19"/>
      </w:pPr>
      <w:r>
        <w:t>（六）贯彻落实党的民族工作方针，协调落实民族工作政策和重大措施，协调处理民族工作中的重大问题，根据分工做好少数民族干部工作，依法管理民族事务，全面促进民族事业发展。组织开展民族团结宣传教育、民族团结进步创建活动，提出少数民族文化、教育、科技、卫生、体育、艺术、语言文字、新闻出版等社会事业发展有关政策建议。参与拟订少数民族人才队伍建设规划；协助有关部门做好少数民族干部培养、教育和使用工作。</w:t>
      </w:r>
    </w:p>
    <w:p>
      <w:pPr>
        <w:pStyle w:val="19"/>
      </w:pPr>
      <w:r>
        <w:t>（七）贯彻落实党中央治疆、治藏工作方略，研究分析全市涉疆涉藏服务管理工作形势并提出政策建议，协调有关部门和各乡镇办做好在沙新疆、西藏籍少数民族群众的服务管理工作，协助有关部门做好重点人员稳控、预防处置暴力恐怖活动等工作，推动党中央和省、邢台市委、沙河市委涉疆涉藏有关决策部署贯彻落实。</w:t>
      </w:r>
    </w:p>
    <w:p>
      <w:pPr>
        <w:pStyle w:val="19"/>
      </w:pPr>
      <w:r>
        <w:t>（八）统一管理宗教工作。贯彻落实党的宗教工作基本方针和政策，研究拟订宗教工作的政策措施并督促落实，引导各宗教坚持中国化方向，巩固和发展同宗教界的爱国统一战线。依法对宗教事务进行管理，承担相关行政审批事项和行政处罚事项，依法保护公民宗教信仰自由和正常的宗教活动，维护宗教界的合法权益，促进宗教关系和谐。负责综合性宗教事务及专项工作。组织协调网络宗教事务管理，规范网络宗教信息服务。指导宗教团体加强自身建设，依法依章开展活动，帮助宗教团体培养宗教教职人员，推动宗教团体在宗教界开展爱国主义、社会主义、拥护祖国统一和民族团结的自我教育。办理宗教团体需由政府解决或协调的有关事宜。负责引导、促进宗教团体、宗教场所（增）在法律、法规和政策范围内的活动，防范利用宗教进行非法、违法活动，抵御境外利用宗教进行的渗透活动、教育转化宗教地下势力。负责指导、协调、监督管理宗教界依法开展公益、慈善事业。加强对宗教事务的管理，做好宗教活动场所筹备设立、管理和宗教教职人员的备案、管理工作。</w:t>
      </w:r>
    </w:p>
    <w:p>
      <w:pPr>
        <w:pStyle w:val="19"/>
      </w:pPr>
      <w:r>
        <w:t>（九）负责联系、培养无党派代表人士，支持、帮助无党派人士加强自身建设、发挥作用。调查研究党外知识分子和新的社会阶层人士情况并提出政策建议，联系、培养党外知识分子、新的社会阶层代表人士和出国、归国留学人员代表人士，开展思想政治工作，指导有关单位和社会组织开展党外知识分子和新的社会阶层人士统战工作。</w:t>
      </w:r>
    </w:p>
    <w:p>
      <w:pPr>
        <w:pStyle w:val="19"/>
      </w:pPr>
      <w:r>
        <w:t>（十）参与制定、推动落实鼓励支持引导非公有制经济发展的政策措施，调查研究非公有制经济人士情况并提出政策建议，了解和反映非公有制经济人士的意见，团结、服务、引导、教育非公有制经济人士，组织非公经济人士开展学习、培训、交流、考察等活动，促进非公有制经济健康发展和非公有制经济人士健康成长。</w:t>
      </w:r>
    </w:p>
    <w:p>
      <w:pPr>
        <w:pStyle w:val="19"/>
      </w:pPr>
      <w:r>
        <w:t>（十一）统一领导全市海外统战工作，牵头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p>
    <w:p>
      <w:pPr>
        <w:pStyle w:val="19"/>
      </w:pPr>
      <w:r>
        <w:t>（十二）统一管理全市对台工作。贯彻执行党中央、国务院和省委、省政府及邢台市委、市政府对台工作的方针政策。在市委、市政府的统一领导下，开展对台工作调查研究并结合我市实际提出对策和建议。对全市涉台工作实施统一归口管理，组织、指导、管理、协调市委、市政府各部门和各乡镇办的对台工作，做好台胞、台属有关工作（增）。检查了解各乡镇办各部门对党中央、国务院和省委、省政府及邢台市委、市政府对台方针政策，以及市委、市政府有关对台工作指示贯彻落实情况。调查研究台湾形势和沙河与台湾经贸之间交流往来动向，提出对策建议。会同有关部门统筹协调和指导涉台法律事务、对台经贸工作。组织重要台商的投资活动，参与市政府对台大型招商活动。协调、指导全市涉台金融、文化、学术、教育、科技、体育、卫生等领域的交流与合作及我市与台湾人员往来工作。配合邢台市做好我市赴台交流事项的报批、审批和赴台交流人员的行前指导及归后总结工作；负责对台湾上层重点人士的联络和来沙台胞的接待服务工作。负责全市对台宣传和涉台教育工作。指导全市宣传媒体涉台新闻报道工作；负责全市有关涉台事务的新闻发布；协调、处理市内涉台重大事件。负责对全市对台工作干部的培训工作。指导市工商联和其他群众团体有关重点人士、重大活动方面的涉台工作，指导和协调沙河市各种涉台经济、文化交流工作。按照中央及省、市有关规定，负责全市对台接触的组织实施。负责市委对台工作领导小组的日常工作。</w:t>
      </w:r>
    </w:p>
    <w:p>
      <w:pPr>
        <w:pStyle w:val="19"/>
      </w:pPr>
      <w:r>
        <w:t>（十三）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工作等，保护华侨和归侨侨眷在市内的合法权利和利益。</w:t>
      </w:r>
    </w:p>
    <w:p>
      <w:pPr>
        <w:pStyle w:val="19"/>
      </w:pPr>
      <w:r>
        <w:t>（十四）协助管理各乡镇办主管统战工作副职。受市委委托，领导市工商联党组，指导工商联工作。代管沙河欧美同学会·沙河留学人员联谊会、市党外知识分子联谊会、市新的社会阶层人士联谊会。做好统一战线有关单位和团体的管理工作。</w:t>
      </w:r>
    </w:p>
    <w:p>
      <w:pPr>
        <w:pStyle w:val="19"/>
      </w:pPr>
      <w:r>
        <w:t>（十五）统一管理民族宗教工作。贯彻执行党中央、国务院和省委、省政府民族宗教工作方针、政策及市委、市政府决策部署。组织开展民族宗教理论、政策及重大问题的调查研究，提出有关民族宗教工作的政策建议。负责协调指导有关部门、有关领域落实民族宗教政策，促进民族宗教工作开展。督促检查民族宗教工作的政策措施落实情况，保障少数民族和信教群众的合法权益。研究提出协调民族宗教关系工作建议，协调处理民族宗教关系中的重大事项，参与协调指导涉及民族宗教事务突发事件处置和民族地方社会稳定工作。负责组织指导民族宗教政策、民族宗教法律法规和民族宗教基本知识的宣传教育。负责组织协调民族宗教领域对外和对港澳台交流与合作有关工作，参与涉及民族宗教事务对外宣传工作。指导协助乡镇办及时处理民族宗教方面的突发事件和影响社会稳定的问题。</w:t>
      </w:r>
    </w:p>
    <w:p>
      <w:pPr>
        <w:pStyle w:val="19"/>
      </w:pPr>
      <w:r>
        <w:t>（十六）完成市委、市政府交办的其他任务。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中共沙河市委统战部</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按照预算管理有关规定，目前我省部门预算的编制实行综合预算管理，即全部收入和支出都反映在预算中。中共沙河市委统战部机关及所属事业单位的收支包含在部门预算中。</w:t>
      </w:r>
    </w:p>
    <w:p>
      <w:pPr>
        <w:pStyle w:val="20"/>
      </w:pPr>
      <w:r>
        <w:t>按照预算管理有关规定，目前我部门预算的编制实行综合预算制度，即全部收入和支出都反映在预算中。</w:t>
      </w:r>
    </w:p>
    <w:p>
      <w:pPr>
        <w:pStyle w:val="20"/>
      </w:pPr>
      <w:r>
        <w:t>（一）收入说明</w:t>
      </w:r>
    </w:p>
    <w:p>
      <w:pPr>
        <w:pStyle w:val="20"/>
      </w:pPr>
      <w:r>
        <w:t>反映本部门当年全部收入。2022年预算安排319.99万元，其中：一般公共预算收入319.99万元，基金预算拨款0元。</w:t>
      </w:r>
    </w:p>
    <w:p>
      <w:pPr>
        <w:pStyle w:val="20"/>
      </w:pPr>
      <w:r>
        <w:t>（二）支出说明</w:t>
      </w:r>
    </w:p>
    <w:p>
      <w:pPr>
        <w:pStyle w:val="20"/>
      </w:pPr>
      <w:r>
        <w:t>收支预算总表支出栏、基本支出表、项目支出表按经济分类和支出功能分类科目编制，反映中共沙河市委统战部2021年度部门预算中支出预算的总体情况。2022年支出预算319.99万元，其中基本支出193.63万元，包括人员经费和日常公用经费；项目支出126.36万元，主要为统战事务、一般行政管理事务、其他统战事务支出等；其他支出0万元。</w:t>
      </w:r>
    </w:p>
    <w:p>
      <w:pPr>
        <w:pStyle w:val="20"/>
      </w:pPr>
      <w:r>
        <w:t>（三）比上年增减情况</w:t>
      </w:r>
    </w:p>
    <w:p>
      <w:pPr>
        <w:pStyle w:val="20"/>
      </w:pPr>
      <w:r>
        <w:t>2022年预算安排319.99万元，较2021年预算增加22.53万元，主要为新调入人员经费。</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2022年，我部机关运行经费共计安排12.8万元，主要用于包括办公费、邮电费、工会费、福利费以及交通补贴费用等日常运行支出。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2022年，我部门无“三公”经费预算安排</w:t>
      </w:r>
      <w:r>
        <w:rPr>
          <w:rFonts w:hint="eastAsia"/>
          <w:lang w:val="en-US" w:eastAsia="zh-CN"/>
        </w:rPr>
        <w:t>,与去年持平</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2022年，市委统战部将按照“保五争三拼第一”的要求，大力发扬“雷厉风行、砥砺奋进，担当实干、事争一流”的新时代沙河精神，力争我市统战工作持续位列邢台市第一和全省市县“统一战线和宗教工作”绩效考核第一梯队。</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val="en-US" w:eastAsia="zh-CN"/>
        </w:rPr>
        <w:t>1.</w:t>
      </w:r>
      <w:r>
        <w:t>维护宗教领域和谐稳定。一是加强驻村工作队及统战委员、宗教专干培训。二是继续排查治理基督教私设聚会点。三是进一步巩固和拓展宗教工作督查整改成果，确保“六个”不发生。四是每月开展宗教政策法规宣传活动。</w:t>
      </w:r>
    </w:p>
    <w:p>
      <w:pPr>
        <w:pStyle w:val="24"/>
      </w:pPr>
      <w:r>
        <w:rPr>
          <w:rFonts w:hint="eastAsia"/>
          <w:lang w:val="en-US" w:eastAsia="zh-CN"/>
        </w:rPr>
        <w:t>2.</w:t>
      </w:r>
      <w:r>
        <w:t>打造促进非公经济“两个健康”发展平台。一是每月召开2次党政主要领导主持的企业家圆桌会议。二是引导与民营企业相关的职能部门按照相关机制和制度，每月开展培训、座谈等活动。三是开展“万企兴万村”行动，助力乡村振兴。四是加强对外联络，利用商协会或搭建各类招商选资平台进行招商选资对接。</w:t>
      </w:r>
    </w:p>
    <w:p>
      <w:pPr>
        <w:pStyle w:val="24"/>
      </w:pPr>
      <w:r>
        <w:rPr>
          <w:rFonts w:hint="eastAsia"/>
          <w:lang w:val="en-US" w:eastAsia="zh-CN"/>
        </w:rPr>
        <w:t>3.</w:t>
      </w:r>
      <w:r>
        <w:t>打造党外代表人士和新的社会阶层人士助力发展平台。一是通过开展专题培训、参观革命圣地等不同形式活动，激发党外代表人士和新的社会阶层人士的社会责任感和使命感。二是充分利用新联会和知联会两个平台，开展“金秋助学”、“三下乡”、“爱心午餐”等系列公益活动。三是积极拓宽建言献策平台和载体，做好省、市、县“两会”提案议案撰写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rPr>
          <w:rFonts w:hint="eastAsia"/>
          <w:lang w:val="en-US" w:eastAsia="zh-CN"/>
        </w:rPr>
        <w:t>1.</w:t>
      </w:r>
      <w:r>
        <w:t>着力维护宗教领域和谐稳定。一是抓实基层治理工作队，严守驻村工作纪律，健全宗教基础信息台账，规范工作日志记录规范、建立年度、季度、月工作计划。二是继续排查治理基督教私设聚会点，坚决防范反弹和排查不彻底现象，严防出现负面舆情。三是进一步巩固和拓展宗教工作督查整改成果，确保“六个”不发生。四是每个月面向全部或部分宗教教职人员、信教群众，开展一次宗教政策法规宣传活动。五是进一步在宗教场所外打造文化墙，进行中华优秀传统文化阵地建设。六是加强培训，举办驻村工作队及统战委员、宗教专干培训班，助力宗教活动场所规范化管理。七是建立“双创四进”标准清单，进一步明确“双创四进”工作标准，促进宗教在中国化方向走深走实。开展先进宗教团体、和谐寺观教堂评选工作，培树先进典型。实施旁听制度，统战、宗教部门干部和乡镇统战委员、宗教专干不定期要到场所旁听讲经解经，基层治理工作队要落实旁听制度，所在村宗教场所开展集体活动时，工作队员必须全程旁听。</w:t>
      </w:r>
    </w:p>
    <w:p>
      <w:pPr>
        <w:pStyle w:val="25"/>
      </w:pPr>
      <w:r>
        <w:rPr>
          <w:rFonts w:hint="eastAsia"/>
          <w:lang w:val="en-US" w:eastAsia="zh-CN"/>
        </w:rPr>
        <w:t>2.</w:t>
      </w:r>
      <w:r>
        <w:t>打造促进非公经济“两个健康”发展平台。一是发挥政企沟通协商机制作用，每月召开2次党政主要领导主持的企业家圆桌会议。二是发挥民营经济人士思想政治引领、素质提升机制和政策解读制度作用。引导与民营企业相关的职能部门按照相关机制和制度，每月上报开展培训、座谈等各种活动的工作情况；每月上报统战部通过搭建银企对接、法律维权等活动。三是开展“万企兴万村”行动，助力乡村振兴。引导民营企业结合自身优势，通过资金、技术、管理投入等，不断壮大村集体经济，推动乡村融合发展。四是切实加强招商选资工作力度。进一步加强对外联络，利用商协会或搭建各类招商选资平台进行招商选资对接，每月上报统战系统招商选资和签约项目入库情况。</w:t>
      </w:r>
    </w:p>
    <w:p>
      <w:pPr>
        <w:pStyle w:val="25"/>
      </w:pPr>
      <w:r>
        <w:rPr>
          <w:rFonts w:hint="eastAsia"/>
          <w:lang w:val="en-US" w:eastAsia="zh-CN"/>
        </w:rPr>
        <w:t>3.</w:t>
      </w:r>
      <w:r>
        <w:t>打造党外代表人士和新的社会阶层人士助力发展平台。一是强化教育引导。把学习贯彻十九届六中全会精神作为当前和今后一个时期的重要政治任务通过开展专题培训、举办讲座、参观革命圣地等不同形式活动，激发他们的社会责任感和使命感。二是强化阵地建设。充分利用新联会和知联会两个平台，通过开展“金秋助学”、“三下乡”、“爱心午餐”等系列公益活动，把新联会和知联会打造成为一张社会名片。</w:t>
      </w:r>
    </w:p>
    <w:p>
      <w:pPr>
        <w:pStyle w:val="25"/>
      </w:pPr>
      <w:r>
        <w:rPr>
          <w:rFonts w:hint="eastAsia"/>
          <w:lang w:val="en-US" w:eastAsia="zh-CN"/>
        </w:rPr>
        <w:t>4.</w:t>
      </w:r>
      <w:r>
        <w:t>发挥对台侨联优势，广泛团结各方面力量。一是开展走访调研活动，加强沟通联络，在严防境外疫情输入的同时，利用侨联优势，在讲好中国故事方面发挥积极作用。二是动态调整底数，进一步摸清我市海外统战力量，全面掌握侨情、留学生底数，优化统战组织结构，切实做好新形势下海外统战工作，充分发挥海外统战工作在推进我市经济社会发展中的积极作用。</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1.保障拨付人员工作条件,提高工作效率,确保各项工作正常运转，促进各项工作更快更好发展。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发放工资人数</w:t>
            </w:r>
          </w:p>
        </w:tc>
        <w:tc>
          <w:tcPr>
            <w:tcW w:w="2466" w:type="dxa"/>
            <w:vAlign w:val="center"/>
          </w:tcPr>
          <w:p>
            <w:pPr>
              <w:pStyle w:val="14"/>
            </w:pPr>
            <w:r>
              <w:t>财政供养人员人数</w:t>
            </w:r>
          </w:p>
        </w:tc>
        <w:tc>
          <w:tcPr>
            <w:tcW w:w="2466" w:type="dxa"/>
            <w:vAlign w:val="center"/>
          </w:tcPr>
          <w:p>
            <w:pPr>
              <w:pStyle w:val="14"/>
            </w:pPr>
            <w:r>
              <w:t>≥1人</w:t>
            </w:r>
          </w:p>
        </w:tc>
        <w:tc>
          <w:tcPr>
            <w:tcW w:w="2466" w:type="dxa"/>
            <w:vAlign w:val="center"/>
          </w:tcPr>
          <w:p>
            <w:pPr>
              <w:pStyle w:val="14"/>
            </w:pPr>
            <w:r>
              <w:t>编办文件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在职人员控制率</w:t>
            </w:r>
          </w:p>
        </w:tc>
        <w:tc>
          <w:tcPr>
            <w:tcW w:w="2466" w:type="dxa"/>
            <w:vAlign w:val="center"/>
          </w:tcPr>
          <w:p>
            <w:pPr>
              <w:pStyle w:val="14"/>
            </w:pPr>
            <w:r>
              <w:t>本年度实际在职人员数与编制数的比率</w:t>
            </w:r>
          </w:p>
        </w:tc>
        <w:tc>
          <w:tcPr>
            <w:tcW w:w="2466" w:type="dxa"/>
            <w:vAlign w:val="center"/>
          </w:tcPr>
          <w:p>
            <w:pPr>
              <w:pStyle w:val="14"/>
            </w:pPr>
            <w:r>
              <w:t>≤100%</w:t>
            </w:r>
          </w:p>
        </w:tc>
        <w:tc>
          <w:tcPr>
            <w:tcW w:w="2466" w:type="dxa"/>
            <w:vAlign w:val="center"/>
          </w:tcPr>
          <w:p>
            <w:pPr>
              <w:pStyle w:val="14"/>
            </w:pPr>
            <w:r>
              <w:t>编办文件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工资成本</w:t>
            </w:r>
          </w:p>
        </w:tc>
        <w:tc>
          <w:tcPr>
            <w:tcW w:w="2466" w:type="dxa"/>
            <w:vAlign w:val="center"/>
          </w:tcPr>
          <w:p>
            <w:pPr>
              <w:pStyle w:val="14"/>
            </w:pPr>
            <w:r>
              <w:t>财政供养人员全年工资总数</w:t>
            </w:r>
          </w:p>
        </w:tc>
        <w:tc>
          <w:tcPr>
            <w:tcW w:w="2466" w:type="dxa"/>
            <w:vAlign w:val="center"/>
          </w:tcPr>
          <w:p>
            <w:pPr>
              <w:pStyle w:val="14"/>
            </w:pPr>
            <w:r>
              <w:t>≤7.26万元</w:t>
            </w:r>
          </w:p>
        </w:tc>
        <w:tc>
          <w:tcPr>
            <w:tcW w:w="2466" w:type="dxa"/>
            <w:vAlign w:val="center"/>
          </w:tcPr>
          <w:p>
            <w:pPr>
              <w:pStyle w:val="14"/>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奖金、津贴发放及时率</w:t>
            </w:r>
          </w:p>
        </w:tc>
        <w:tc>
          <w:tcPr>
            <w:tcW w:w="2466" w:type="dxa"/>
            <w:vAlign w:val="center"/>
          </w:tcPr>
          <w:p>
            <w:pPr>
              <w:pStyle w:val="14"/>
            </w:pPr>
            <w:r>
              <w:t>奖金、津贴发放及时率</w:t>
            </w:r>
          </w:p>
        </w:tc>
        <w:tc>
          <w:tcPr>
            <w:tcW w:w="2466" w:type="dxa"/>
            <w:vAlign w:val="center"/>
          </w:tcPr>
          <w:p>
            <w:pPr>
              <w:pStyle w:val="14"/>
            </w:pPr>
            <w:r>
              <w:t>及时发放</w:t>
            </w:r>
          </w:p>
        </w:tc>
        <w:tc>
          <w:tcPr>
            <w:tcW w:w="2466" w:type="dxa"/>
            <w:vAlign w:val="center"/>
          </w:tcPr>
          <w:p>
            <w:pPr>
              <w:pStyle w:val="14"/>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实际重点工作完成情况占全年重点工作需完成情况的比率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满意人数占全部人数的比率</w:t>
            </w:r>
          </w:p>
        </w:tc>
        <w:tc>
          <w:tcPr>
            <w:tcW w:w="2466" w:type="dxa"/>
            <w:vAlign w:val="center"/>
          </w:tcPr>
          <w:p>
            <w:pPr>
              <w:pStyle w:val="14"/>
            </w:pPr>
            <w:r>
              <w:t>≥90%</w:t>
            </w:r>
          </w:p>
        </w:tc>
        <w:tc>
          <w:tcPr>
            <w:tcW w:w="246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2、工商联工作经费绩效目标表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非公经济人士“守法诚信、坚定信心”理想信念教育活动，不断用十九大精神、党的先进理论、思想武装头脑，提高思想政治觉悟。引导非公有制经济人士特别是年轻一代“爱国、敬业、创新、守法、诚信、贡献”，促进非公经济和非公经济人士“两个健康”发展。积极开展培训、法律、维权服务，组织全市年轻一代民营企业家参加各类培训班，不断使非公经济人士增长新知识、掌握新理念、拓宽新思路，助力我市民营企业转型升级、做优做强，提升企业核心竞争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培训人员人次</w:t>
            </w:r>
          </w:p>
        </w:tc>
        <w:tc>
          <w:tcPr>
            <w:tcW w:w="2466" w:type="dxa"/>
            <w:vAlign w:val="center"/>
          </w:tcPr>
          <w:p>
            <w:pPr>
              <w:pStyle w:val="14"/>
            </w:pPr>
            <w:r>
              <w:t>企业家培训人次</w:t>
            </w:r>
          </w:p>
        </w:tc>
        <w:tc>
          <w:tcPr>
            <w:tcW w:w="2466" w:type="dxa"/>
            <w:vAlign w:val="center"/>
          </w:tcPr>
          <w:p>
            <w:pPr>
              <w:pStyle w:val="14"/>
            </w:pPr>
            <w:r>
              <w:t>≥100人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培训合格率</w:t>
            </w:r>
          </w:p>
        </w:tc>
        <w:tc>
          <w:tcPr>
            <w:tcW w:w="2466" w:type="dxa"/>
            <w:vAlign w:val="center"/>
          </w:tcPr>
          <w:p>
            <w:pPr>
              <w:pStyle w:val="14"/>
            </w:pPr>
            <w:r>
              <w:t>企业家培训合格情况</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培训任务完成率</w:t>
            </w:r>
          </w:p>
        </w:tc>
        <w:tc>
          <w:tcPr>
            <w:tcW w:w="2466" w:type="dxa"/>
            <w:vAlign w:val="center"/>
          </w:tcPr>
          <w:p>
            <w:pPr>
              <w:pStyle w:val="14"/>
            </w:pPr>
            <w:r>
              <w:t>培训任务完成情况</w:t>
            </w:r>
          </w:p>
        </w:tc>
        <w:tc>
          <w:tcPr>
            <w:tcW w:w="2466" w:type="dxa"/>
            <w:vAlign w:val="center"/>
          </w:tcPr>
          <w:p>
            <w:pPr>
              <w:pStyle w:val="14"/>
            </w:pPr>
            <w:r>
              <w:t>≥60%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人均培训成本</w:t>
            </w:r>
          </w:p>
        </w:tc>
        <w:tc>
          <w:tcPr>
            <w:tcW w:w="2466" w:type="dxa"/>
            <w:vAlign w:val="center"/>
          </w:tcPr>
          <w:p>
            <w:pPr>
              <w:pStyle w:val="14"/>
            </w:pPr>
            <w:r>
              <w:t>培训费</w:t>
            </w:r>
          </w:p>
        </w:tc>
        <w:tc>
          <w:tcPr>
            <w:tcW w:w="2466" w:type="dxa"/>
            <w:vAlign w:val="center"/>
          </w:tcPr>
          <w:p>
            <w:pPr>
              <w:pStyle w:val="14"/>
            </w:pPr>
            <w:r>
              <w:t>≤330元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参训学员能力</w:t>
            </w:r>
          </w:p>
        </w:tc>
        <w:tc>
          <w:tcPr>
            <w:tcW w:w="2466" w:type="dxa"/>
            <w:vAlign w:val="center"/>
          </w:tcPr>
          <w:p>
            <w:pPr>
              <w:pStyle w:val="14"/>
            </w:pPr>
            <w:r>
              <w:t>能力提高程度</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社会氛围</w:t>
            </w:r>
          </w:p>
        </w:tc>
        <w:tc>
          <w:tcPr>
            <w:tcW w:w="2466" w:type="dxa"/>
            <w:vAlign w:val="center"/>
          </w:tcPr>
          <w:p>
            <w:pPr>
              <w:pStyle w:val="14"/>
            </w:pPr>
            <w:r>
              <w:t>社会氛围</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参训学员满意度</w:t>
            </w:r>
          </w:p>
        </w:tc>
        <w:tc>
          <w:tcPr>
            <w:tcW w:w="2466" w:type="dxa"/>
            <w:vAlign w:val="center"/>
          </w:tcPr>
          <w:p>
            <w:pPr>
              <w:pStyle w:val="14"/>
            </w:pPr>
            <w:r>
              <w:t>参训学员满意度</w:t>
            </w:r>
          </w:p>
        </w:tc>
        <w:tc>
          <w:tcPr>
            <w:tcW w:w="2466" w:type="dxa"/>
            <w:vAlign w:val="center"/>
          </w:tcPr>
          <w:p>
            <w:pPr>
              <w:pStyle w:val="14"/>
            </w:pPr>
            <w:r>
              <w:t>≥90%</w:t>
            </w:r>
          </w:p>
        </w:tc>
        <w:tc>
          <w:tcPr>
            <w:tcW w:w="246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3、民营经济发展绩效目标表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1.召开圆桌会议，开展“万企兴万村”行动。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培训班次数</w:t>
            </w:r>
          </w:p>
        </w:tc>
        <w:tc>
          <w:tcPr>
            <w:tcW w:w="2466" w:type="dxa"/>
            <w:vAlign w:val="center"/>
          </w:tcPr>
          <w:p>
            <w:pPr>
              <w:pStyle w:val="14"/>
            </w:pPr>
            <w:r>
              <w:t>培训班次数</w:t>
            </w:r>
          </w:p>
        </w:tc>
        <w:tc>
          <w:tcPr>
            <w:tcW w:w="2466" w:type="dxa"/>
            <w:vAlign w:val="center"/>
          </w:tcPr>
          <w:p>
            <w:pPr>
              <w:pStyle w:val="14"/>
            </w:pPr>
            <w:r>
              <w:t>≥2次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培训人员到位率</w:t>
            </w:r>
          </w:p>
        </w:tc>
        <w:tc>
          <w:tcPr>
            <w:tcW w:w="2466" w:type="dxa"/>
            <w:vAlign w:val="center"/>
          </w:tcPr>
          <w:p>
            <w:pPr>
              <w:pStyle w:val="14"/>
            </w:pPr>
            <w:r>
              <w:t>培训人员到位率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商会发挥作用</w:t>
            </w:r>
          </w:p>
        </w:tc>
        <w:tc>
          <w:tcPr>
            <w:tcW w:w="2466" w:type="dxa"/>
            <w:vAlign w:val="center"/>
          </w:tcPr>
          <w:p>
            <w:pPr>
              <w:pStyle w:val="14"/>
            </w:pPr>
            <w:r>
              <w:t>商会发挥作用</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培训费</w:t>
            </w:r>
          </w:p>
        </w:tc>
        <w:tc>
          <w:tcPr>
            <w:tcW w:w="2466" w:type="dxa"/>
            <w:vAlign w:val="center"/>
          </w:tcPr>
          <w:p>
            <w:pPr>
              <w:pStyle w:val="14"/>
            </w:pPr>
            <w:r>
              <w:t>培训成本</w:t>
            </w:r>
          </w:p>
        </w:tc>
        <w:tc>
          <w:tcPr>
            <w:tcW w:w="2466" w:type="dxa"/>
            <w:vAlign w:val="center"/>
          </w:tcPr>
          <w:p>
            <w:pPr>
              <w:pStyle w:val="14"/>
            </w:pPr>
            <w:r>
              <w:t>≤330元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社会影响力</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4、统战工作经费绩效目标表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严格落实中央、省、市决策部署，切实加强统一战线领域意识形态工作，紧紧围绕市委、市政府中心工作，通过理论中心组学习、主题党日等形式，坚持勤学善思，在服务大局中塑造统战形象，展现统战作为。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培训人员人次</w:t>
            </w:r>
          </w:p>
        </w:tc>
        <w:tc>
          <w:tcPr>
            <w:tcW w:w="2466" w:type="dxa"/>
            <w:vAlign w:val="center"/>
          </w:tcPr>
          <w:p>
            <w:pPr>
              <w:pStyle w:val="14"/>
            </w:pPr>
            <w:r>
              <w:t>培训人员人次</w:t>
            </w:r>
          </w:p>
        </w:tc>
        <w:tc>
          <w:tcPr>
            <w:tcW w:w="2466" w:type="dxa"/>
            <w:vAlign w:val="center"/>
          </w:tcPr>
          <w:p>
            <w:pPr>
              <w:pStyle w:val="14"/>
            </w:pPr>
            <w:r>
              <w:t>≥100人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保障工作正常开展</w:t>
            </w:r>
          </w:p>
        </w:tc>
        <w:tc>
          <w:tcPr>
            <w:tcW w:w="2466" w:type="dxa"/>
            <w:vAlign w:val="center"/>
          </w:tcPr>
          <w:p>
            <w:pPr>
              <w:pStyle w:val="14"/>
            </w:pPr>
            <w:r>
              <w:t>保障工作正常开展</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按期完成率</w:t>
            </w:r>
          </w:p>
        </w:tc>
        <w:tc>
          <w:tcPr>
            <w:tcW w:w="2466" w:type="dxa"/>
            <w:vAlign w:val="center"/>
          </w:tcPr>
          <w:p>
            <w:pPr>
              <w:pStyle w:val="14"/>
            </w:pPr>
            <w:r>
              <w:t>培训人员到位率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完成经费支出情况</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参训人数</w:t>
            </w:r>
          </w:p>
        </w:tc>
        <w:tc>
          <w:tcPr>
            <w:tcW w:w="2466" w:type="dxa"/>
            <w:vAlign w:val="center"/>
          </w:tcPr>
          <w:p>
            <w:pPr>
              <w:pStyle w:val="14"/>
            </w:pPr>
            <w:r>
              <w:t>参训人数</w:t>
            </w:r>
          </w:p>
        </w:tc>
        <w:tc>
          <w:tcPr>
            <w:tcW w:w="2466" w:type="dxa"/>
            <w:vAlign w:val="center"/>
          </w:tcPr>
          <w:p>
            <w:pPr>
              <w:pStyle w:val="14"/>
            </w:pPr>
            <w:r>
              <w:t>≥100人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5、宗教事务绩效目标表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1.完成宗教局各项日常工作。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双创四进</w:t>
            </w:r>
          </w:p>
        </w:tc>
        <w:tc>
          <w:tcPr>
            <w:tcW w:w="2466" w:type="dxa"/>
            <w:vAlign w:val="center"/>
          </w:tcPr>
          <w:p>
            <w:pPr>
              <w:pStyle w:val="14"/>
            </w:pPr>
            <w:r>
              <w:t>场所数</w:t>
            </w:r>
          </w:p>
        </w:tc>
        <w:tc>
          <w:tcPr>
            <w:tcW w:w="2466" w:type="dxa"/>
            <w:vAlign w:val="center"/>
          </w:tcPr>
          <w:p>
            <w:pPr>
              <w:pStyle w:val="14"/>
            </w:pPr>
            <w:r>
              <w:t>50个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宗教团体建设</w:t>
            </w:r>
          </w:p>
        </w:tc>
        <w:tc>
          <w:tcPr>
            <w:tcW w:w="2466" w:type="dxa"/>
            <w:vAlign w:val="center"/>
          </w:tcPr>
          <w:p>
            <w:pPr>
              <w:pStyle w:val="14"/>
            </w:pPr>
            <w:r>
              <w:t>素质提升程度</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双创四进覆盖率</w:t>
            </w:r>
          </w:p>
        </w:tc>
        <w:tc>
          <w:tcPr>
            <w:tcW w:w="2466" w:type="dxa"/>
            <w:vAlign w:val="center"/>
          </w:tcPr>
          <w:p>
            <w:pPr>
              <w:pStyle w:val="14"/>
            </w:pPr>
            <w:r>
              <w:t>场所覆盖率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双创四进耗材</w:t>
            </w:r>
          </w:p>
        </w:tc>
        <w:tc>
          <w:tcPr>
            <w:tcW w:w="2466" w:type="dxa"/>
            <w:vAlign w:val="center"/>
          </w:tcPr>
          <w:p>
            <w:pPr>
              <w:pStyle w:val="14"/>
            </w:pPr>
            <w:r>
              <w:t>条幅展板等消耗率</w:t>
            </w:r>
          </w:p>
        </w:tc>
        <w:tc>
          <w:tcPr>
            <w:tcW w:w="2466" w:type="dxa"/>
            <w:vAlign w:val="center"/>
          </w:tcPr>
          <w:p>
            <w:pPr>
              <w:pStyle w:val="14"/>
            </w:pPr>
            <w:r>
              <w:t>≤40%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宗教界人士爱国爱教</w:t>
            </w:r>
          </w:p>
        </w:tc>
        <w:tc>
          <w:tcPr>
            <w:tcW w:w="2466" w:type="dxa"/>
            <w:vAlign w:val="center"/>
          </w:tcPr>
          <w:p>
            <w:pPr>
              <w:pStyle w:val="14"/>
            </w:pPr>
            <w:r>
              <w:t>爱国爱教</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宗教界人士满意度</w:t>
            </w:r>
          </w:p>
        </w:tc>
        <w:tc>
          <w:tcPr>
            <w:tcW w:w="2466" w:type="dxa"/>
            <w:vAlign w:val="center"/>
          </w:tcPr>
          <w:p>
            <w:pPr>
              <w:pStyle w:val="14"/>
            </w:pPr>
            <w:r>
              <w:t>满意度</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6、宗教事务管理经费绩效目标表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1.加大对宗教工作三支队伍培训力度。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进场所活动点检查</w:t>
            </w:r>
          </w:p>
        </w:tc>
        <w:tc>
          <w:tcPr>
            <w:tcW w:w="2466" w:type="dxa"/>
            <w:vAlign w:val="center"/>
          </w:tcPr>
          <w:p>
            <w:pPr>
              <w:pStyle w:val="14"/>
            </w:pPr>
            <w:r>
              <w:t>检查次数</w:t>
            </w:r>
          </w:p>
        </w:tc>
        <w:tc>
          <w:tcPr>
            <w:tcW w:w="2466" w:type="dxa"/>
            <w:vAlign w:val="center"/>
          </w:tcPr>
          <w:p>
            <w:pPr>
              <w:pStyle w:val="14"/>
            </w:pPr>
            <w:r>
              <w:t>≥100次</w:t>
            </w:r>
          </w:p>
        </w:tc>
        <w:tc>
          <w:tcPr>
            <w:tcW w:w="2466" w:type="dxa"/>
            <w:vAlign w:val="center"/>
          </w:tcPr>
          <w:p>
            <w:pPr>
              <w:pStyle w:val="14"/>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三支队伍培训班</w:t>
            </w:r>
          </w:p>
        </w:tc>
        <w:tc>
          <w:tcPr>
            <w:tcW w:w="2466" w:type="dxa"/>
            <w:vAlign w:val="center"/>
          </w:tcPr>
          <w:p>
            <w:pPr>
              <w:pStyle w:val="14"/>
            </w:pPr>
            <w:r>
              <w:t>人员数量</w:t>
            </w:r>
          </w:p>
        </w:tc>
        <w:tc>
          <w:tcPr>
            <w:tcW w:w="2466" w:type="dxa"/>
            <w:vAlign w:val="center"/>
          </w:tcPr>
          <w:p>
            <w:pPr>
              <w:pStyle w:val="14"/>
            </w:pPr>
            <w:r>
              <w:t>≥100人</w:t>
            </w:r>
          </w:p>
        </w:tc>
        <w:tc>
          <w:tcPr>
            <w:tcW w:w="2466" w:type="dxa"/>
            <w:vAlign w:val="center"/>
          </w:tcPr>
          <w:p>
            <w:pPr>
              <w:pStyle w:val="14"/>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宗教稳定</w:t>
            </w:r>
          </w:p>
        </w:tc>
        <w:tc>
          <w:tcPr>
            <w:tcW w:w="2466" w:type="dxa"/>
            <w:vAlign w:val="center"/>
          </w:tcPr>
          <w:p>
            <w:pPr>
              <w:pStyle w:val="14"/>
            </w:pPr>
            <w:r>
              <w:t>纠纷率</w:t>
            </w:r>
          </w:p>
        </w:tc>
        <w:tc>
          <w:tcPr>
            <w:tcW w:w="2466" w:type="dxa"/>
            <w:vAlign w:val="center"/>
          </w:tcPr>
          <w:p>
            <w:pPr>
              <w:pStyle w:val="14"/>
            </w:pPr>
            <w:r>
              <w:t>≤50%</w:t>
            </w:r>
          </w:p>
        </w:tc>
        <w:tc>
          <w:tcPr>
            <w:tcW w:w="2466" w:type="dxa"/>
            <w:vAlign w:val="center"/>
          </w:tcPr>
          <w:p>
            <w:pPr>
              <w:pStyle w:val="14"/>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培训费</w:t>
            </w:r>
          </w:p>
        </w:tc>
        <w:tc>
          <w:tcPr>
            <w:tcW w:w="2466" w:type="dxa"/>
            <w:vAlign w:val="center"/>
          </w:tcPr>
          <w:p>
            <w:pPr>
              <w:pStyle w:val="14"/>
            </w:pPr>
            <w:r>
              <w:t>培训标准</w:t>
            </w:r>
          </w:p>
        </w:tc>
        <w:tc>
          <w:tcPr>
            <w:tcW w:w="2466" w:type="dxa"/>
            <w:vAlign w:val="center"/>
          </w:tcPr>
          <w:p>
            <w:pPr>
              <w:pStyle w:val="14"/>
            </w:pPr>
            <w:r>
              <w:t>330元</w:t>
            </w:r>
          </w:p>
        </w:tc>
        <w:tc>
          <w:tcPr>
            <w:tcW w:w="2466" w:type="dxa"/>
            <w:vAlign w:val="center"/>
          </w:tcPr>
          <w:p>
            <w:pPr>
              <w:pStyle w:val="14"/>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重点工作完成率</w:t>
            </w:r>
          </w:p>
        </w:tc>
        <w:tc>
          <w:tcPr>
            <w:tcW w:w="2466" w:type="dxa"/>
            <w:vAlign w:val="center"/>
          </w:tcPr>
          <w:p>
            <w:pPr>
              <w:pStyle w:val="14"/>
            </w:pPr>
            <w:r>
              <w:t>≥90%</w:t>
            </w:r>
          </w:p>
        </w:tc>
        <w:tc>
          <w:tcPr>
            <w:tcW w:w="2466" w:type="dxa"/>
            <w:vAlign w:val="center"/>
          </w:tcPr>
          <w:p>
            <w:pPr>
              <w:pStyle w:val="14"/>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年度支出计划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7、宗教业务经费绩效目标表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1.用于天主教、基督教重点村（社区）基层治理工作队的工作开支。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检查次数</w:t>
            </w:r>
          </w:p>
        </w:tc>
        <w:tc>
          <w:tcPr>
            <w:tcW w:w="2466" w:type="dxa"/>
            <w:vAlign w:val="center"/>
          </w:tcPr>
          <w:p>
            <w:pPr>
              <w:pStyle w:val="14"/>
            </w:pPr>
            <w:r>
              <w:t>场所检查</w:t>
            </w:r>
          </w:p>
        </w:tc>
        <w:tc>
          <w:tcPr>
            <w:tcW w:w="2466" w:type="dxa"/>
            <w:vAlign w:val="center"/>
          </w:tcPr>
          <w:p>
            <w:pPr>
              <w:pStyle w:val="14"/>
            </w:pPr>
            <w:r>
              <w:t>≥100次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矛盾纠纷调处率</w:t>
            </w:r>
          </w:p>
        </w:tc>
        <w:tc>
          <w:tcPr>
            <w:tcW w:w="2466" w:type="dxa"/>
            <w:vAlign w:val="center"/>
          </w:tcPr>
          <w:p>
            <w:pPr>
              <w:pStyle w:val="14"/>
            </w:pPr>
            <w:r>
              <w:t>矛盾纠纷调处率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突发事件响应及时率</w:t>
            </w:r>
          </w:p>
        </w:tc>
        <w:tc>
          <w:tcPr>
            <w:tcW w:w="2466" w:type="dxa"/>
            <w:vAlign w:val="center"/>
          </w:tcPr>
          <w:p>
            <w:pPr>
              <w:pStyle w:val="14"/>
            </w:pPr>
            <w:r>
              <w:t>突发事件响应及时率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差旅费</w:t>
            </w:r>
          </w:p>
        </w:tc>
        <w:tc>
          <w:tcPr>
            <w:tcW w:w="2466" w:type="dxa"/>
            <w:vAlign w:val="center"/>
          </w:tcPr>
          <w:p>
            <w:pPr>
              <w:pStyle w:val="14"/>
            </w:pPr>
            <w:r>
              <w:t>差旅费</w:t>
            </w:r>
          </w:p>
        </w:tc>
        <w:tc>
          <w:tcPr>
            <w:tcW w:w="2466" w:type="dxa"/>
            <w:vAlign w:val="center"/>
          </w:tcPr>
          <w:p>
            <w:pPr>
              <w:pStyle w:val="14"/>
            </w:pPr>
            <w:r>
              <w:t>50元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重点工作完成率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服务对象满意程度</w:t>
            </w:r>
          </w:p>
        </w:tc>
        <w:tc>
          <w:tcPr>
            <w:tcW w:w="2466" w:type="dxa"/>
            <w:vAlign w:val="center"/>
          </w:tcPr>
          <w:p>
            <w:pPr>
              <w:pStyle w:val="14"/>
            </w:pPr>
            <w:r>
              <w:t>服务对象对部门满意程度</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2022年，中共沙河市委统战部安排政府采购预算0.00万元。具体内容见下表。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202中共沙河市委统战部</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color w:val="0000FF"/>
        </w:rPr>
      </w:pPr>
      <w:r>
        <w:rPr>
          <w:rFonts w:ascii="Times New Roman" w:hAnsi="Times New Roman" w:eastAsia="方正仿宋_GBK" w:cs="Times New Roman"/>
          <w:b w:val="0"/>
          <w:color w:val="000000"/>
          <w:sz w:val="28"/>
        </w:rPr>
        <w:t>中共沙河市委统战部（含所属单位）上年末固定资产金额为</w:t>
      </w:r>
      <w:r>
        <w:rPr>
          <w:rFonts w:hint="eastAsia" w:eastAsia="方正仿宋_GBK" w:cs="Times New Roman"/>
          <w:b w:val="0"/>
          <w:color w:val="000000"/>
          <w:sz w:val="28"/>
          <w:lang w:val="en-US" w:eastAsia="zh-CN"/>
        </w:rPr>
        <w:t>14.83</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202中共沙河市委统战部</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rPr>
                <w:rFonts w:hint="eastAsia" w:eastAsia="方正仿宋_GBK" w:cs="Times New Roman"/>
                <w:b w:val="0"/>
                <w:color w:val="000000"/>
                <w:sz w:val="28"/>
                <w:lang w:val="en-US" w:eastAsia="zh-CN"/>
              </w:rPr>
              <w:t>14.83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E4NDIzOThhMjFlNTA3MzFhYmNjMmIyNGY5ZWUxZDQifQ=="/>
  </w:docVars>
  <w:rsids>
    <w:rsidRoot w:val="00000000"/>
    <w:rsid w:val="05C30198"/>
    <w:rsid w:val="07693761"/>
    <w:rsid w:val="0F38546A"/>
    <w:rsid w:val="0F75724A"/>
    <w:rsid w:val="10916F6F"/>
    <w:rsid w:val="26B87187"/>
    <w:rsid w:val="26F824B8"/>
    <w:rsid w:val="55766BB7"/>
    <w:rsid w:val="58281611"/>
    <w:rsid w:val="654164C5"/>
    <w:rsid w:val="7193173A"/>
    <w:rsid w:val="7DC21E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2022-07-27T10:35:06Z</dcterms:created>
  <dcterms:modified xsi:type="dcterms:W3CDTF">2022-07-27T02:35:06Z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2022-07-27T10:35:10Z</dcterms:created>
  <dcterms:modified xsi:type="dcterms:W3CDTF">2022-07-27T02:35:10Z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2022-07-27T10:35:10Z</dcterms:created>
  <dcterms:modified xsi:type="dcterms:W3CDTF">2022-07-27T02:35:10Z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2022-07-27T10:35:10Z</dcterms:created>
  <dcterms:modified xsi:type="dcterms:W3CDTF">2022-07-27T02:35:10Z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2022-07-27T10:35:06Z</dcterms:created>
  <dcterms:modified xsi:type="dcterms:W3CDTF">2022-07-27T02:35:06Z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2022-07-27T10:35:10Z</dcterms:created>
  <dcterms:modified xsi:type="dcterms:W3CDTF">2022-07-27T02:35:10Z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2022-07-27T10:35:07Z</dcterms:created>
  <dcterms:modified xsi:type="dcterms:W3CDTF">2022-07-27T02:35:07Z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2022-07-27T10:35:10Z</dcterms:created>
  <dcterms:modified xsi:type="dcterms:W3CDTF">2022-07-27T02:35:10Z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2022-07-27T10:35:10Z</dcterms:created>
  <dcterms:modified xsi:type="dcterms:W3CDTF">2022-07-27T02:35:10Z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2022-07-27T10:35:09Z</dcterms:created>
  <dcterms:modified xsi:type="dcterms:W3CDTF">2022-07-27T02:35:09Z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2022-07-27T10:35:09Z</dcterms:created>
  <dcterms:modified xsi:type="dcterms:W3CDTF">2022-07-27T02:35:09Z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2022-07-27T10:35:07Z</dcterms:created>
  <dcterms:modified xsi:type="dcterms:W3CDTF">2022-07-27T02:35:07Z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2022-07-27T10:35:07Z</dcterms:created>
  <dcterms:modified xsi:type="dcterms:W3CDTF">2022-07-27T02:35:07Z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2022-07-27T10:35:07Z</dcterms:created>
  <dcterms:modified xsi:type="dcterms:W3CDTF">2022-07-27T02:35:07Z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2022-07-27T10:35:07Z</dcterms:created>
  <dcterms:modified xsi:type="dcterms:W3CDTF">2022-07-27T02:35:07Z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2022-07-27T10:35:07Z</dcterms:created>
  <dcterms:modified xsi:type="dcterms:W3CDTF">2022-07-27T02:35:07Z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2022-07-27T10:35:07Z</dcterms:created>
  <dcterms:modified xsi:type="dcterms:W3CDTF">2022-07-27T02:35:07Z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2022-07-27T10:35:06Z</dcterms:created>
  <dcterms:modified xsi:type="dcterms:W3CDTF">2022-07-27T02:35:06Z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2022-07-27T10:35:10Z</dcterms:created>
  <dcterms:modified xsi:type="dcterms:W3CDTF">2022-07-27T02:35:10Z</dcterms:modified>
</cp:coreProperties>
</file>

<file path=customXml/itemProps1.xml><?xml version="1.0" encoding="utf-8"?>
<ds:datastoreItem xmlns:ds="http://schemas.openxmlformats.org/officeDocument/2006/customXml" ds:itemID="{73eec218-4fbc-4530-b0ac-b27827be9e79}">
  <ds:schemaRefs/>
</ds:datastoreItem>
</file>

<file path=customXml/itemProps10.xml><?xml version="1.0" encoding="utf-8"?>
<ds:datastoreItem xmlns:ds="http://schemas.openxmlformats.org/officeDocument/2006/customXml" ds:itemID="{b3c309c4-a1a1-45a1-91e0-53b543212bba}">
  <ds:schemaRefs/>
</ds:datastoreItem>
</file>

<file path=customXml/itemProps11.xml><?xml version="1.0" encoding="utf-8"?>
<ds:datastoreItem xmlns:ds="http://schemas.openxmlformats.org/officeDocument/2006/customXml" ds:itemID="{169d657e-a838-4e48-9b9f-27a4fab3301d}">
  <ds:schemaRefs/>
</ds:datastoreItem>
</file>

<file path=customXml/itemProps12.xml><?xml version="1.0" encoding="utf-8"?>
<ds:datastoreItem xmlns:ds="http://schemas.openxmlformats.org/officeDocument/2006/customXml" ds:itemID="{5d2381b8-ea07-471e-96df-2439d41fb3a7}">
  <ds:schemaRefs/>
</ds:datastoreItem>
</file>

<file path=customXml/itemProps13.xml><?xml version="1.0" encoding="utf-8"?>
<ds:datastoreItem xmlns:ds="http://schemas.openxmlformats.org/officeDocument/2006/customXml" ds:itemID="{f52f6fbf-6e70-4e74-b8cf-c8c975b64b6d}">
  <ds:schemaRefs/>
</ds:datastoreItem>
</file>

<file path=customXml/itemProps14.xml><?xml version="1.0" encoding="utf-8"?>
<ds:datastoreItem xmlns:ds="http://schemas.openxmlformats.org/officeDocument/2006/customXml" ds:itemID="{4afb3375-d88d-4910-a334-9261b44471a1}">
  <ds:schemaRefs/>
</ds:datastoreItem>
</file>

<file path=customXml/itemProps15.xml><?xml version="1.0" encoding="utf-8"?>
<ds:datastoreItem xmlns:ds="http://schemas.openxmlformats.org/officeDocument/2006/customXml" ds:itemID="{c68110dc-4bd1-460a-8622-0d338ca821bd}">
  <ds:schemaRefs/>
</ds:datastoreItem>
</file>

<file path=customXml/itemProps16.xml><?xml version="1.0" encoding="utf-8"?>
<ds:datastoreItem xmlns:ds="http://schemas.openxmlformats.org/officeDocument/2006/customXml" ds:itemID="{164dd9ad-f99b-4823-ab77-7d7ee85812d6}">
  <ds:schemaRefs/>
</ds:datastoreItem>
</file>

<file path=customXml/itemProps17.xml><?xml version="1.0" encoding="utf-8"?>
<ds:datastoreItem xmlns:ds="http://schemas.openxmlformats.org/officeDocument/2006/customXml" ds:itemID="{f0546917-c8da-474c-a709-b80ef4a64ce4}">
  <ds:schemaRefs/>
</ds:datastoreItem>
</file>

<file path=customXml/itemProps18.xml><?xml version="1.0" encoding="utf-8"?>
<ds:datastoreItem xmlns:ds="http://schemas.openxmlformats.org/officeDocument/2006/customXml" ds:itemID="{ada20708-d78f-4805-972e-c55cdc2b6566}">
  <ds:schemaRefs/>
</ds:datastoreItem>
</file>

<file path=customXml/itemProps19.xml><?xml version="1.0" encoding="utf-8"?>
<ds:datastoreItem xmlns:ds="http://schemas.openxmlformats.org/officeDocument/2006/customXml" ds:itemID="{1962a55d-d774-4712-a30f-b8ecfb919b1a}">
  <ds:schemaRefs/>
</ds:datastoreItem>
</file>

<file path=customXml/itemProps2.xml><?xml version="1.0" encoding="utf-8"?>
<ds:datastoreItem xmlns:ds="http://schemas.openxmlformats.org/officeDocument/2006/customXml" ds:itemID="{4efa2fc5-e105-4907-b245-c69b4e0e03bc}">
  <ds:schemaRefs/>
</ds:datastoreItem>
</file>

<file path=customXml/itemProps20.xml><?xml version="1.0" encoding="utf-8"?>
<ds:datastoreItem xmlns:ds="http://schemas.openxmlformats.org/officeDocument/2006/customXml" ds:itemID="{a520b9cf-f402-42a2-9526-d0bac096e409}">
  <ds:schemaRefs/>
</ds:datastoreItem>
</file>

<file path=customXml/itemProps21.xml><?xml version="1.0" encoding="utf-8"?>
<ds:datastoreItem xmlns:ds="http://schemas.openxmlformats.org/officeDocument/2006/customXml" ds:itemID="{5eab89c2-d4a0-4500-b80b-76346140f2e7}">
  <ds:schemaRefs/>
</ds:datastoreItem>
</file>

<file path=customXml/itemProps22.xml><?xml version="1.0" encoding="utf-8"?>
<ds:datastoreItem xmlns:ds="http://schemas.openxmlformats.org/officeDocument/2006/customXml" ds:itemID="{d400a7aa-e4f0-4b4f-a06a-39df31c87ff6}">
  <ds:schemaRefs/>
</ds:datastoreItem>
</file>

<file path=customXml/itemProps23.xml><?xml version="1.0" encoding="utf-8"?>
<ds:datastoreItem xmlns:ds="http://schemas.openxmlformats.org/officeDocument/2006/customXml" ds:itemID="{cd16ed90-e5f6-4deb-8780-8a9e796d1602}">
  <ds:schemaRefs/>
</ds:datastoreItem>
</file>

<file path=customXml/itemProps24.xml><?xml version="1.0" encoding="utf-8"?>
<ds:datastoreItem xmlns:ds="http://schemas.openxmlformats.org/officeDocument/2006/customXml" ds:itemID="{f5b857be-5d0c-4791-8784-a2acfb3b407d}">
  <ds:schemaRefs/>
</ds:datastoreItem>
</file>

<file path=customXml/itemProps25.xml><?xml version="1.0" encoding="utf-8"?>
<ds:datastoreItem xmlns:ds="http://schemas.openxmlformats.org/officeDocument/2006/customXml" ds:itemID="{b61b1edd-0640-405b-a503-f214d8449c9e}">
  <ds:schemaRefs/>
</ds:datastoreItem>
</file>

<file path=customXml/itemProps26.xml><?xml version="1.0" encoding="utf-8"?>
<ds:datastoreItem xmlns:ds="http://schemas.openxmlformats.org/officeDocument/2006/customXml" ds:itemID="{e817fd7c-d74e-492e-822d-7fcba15230c9}">
  <ds:schemaRefs/>
</ds:datastoreItem>
</file>

<file path=customXml/itemProps27.xml><?xml version="1.0" encoding="utf-8"?>
<ds:datastoreItem xmlns:ds="http://schemas.openxmlformats.org/officeDocument/2006/customXml" ds:itemID="{ed03cfe1-a26c-4358-944e-beec7c9238ff}">
  <ds:schemaRefs/>
</ds:datastoreItem>
</file>

<file path=customXml/itemProps28.xml><?xml version="1.0" encoding="utf-8"?>
<ds:datastoreItem xmlns:ds="http://schemas.openxmlformats.org/officeDocument/2006/customXml" ds:itemID="{11441617-3027-43cd-a841-ac4d9e583dcd}">
  <ds:schemaRefs/>
</ds:datastoreItem>
</file>

<file path=customXml/itemProps29.xml><?xml version="1.0" encoding="utf-8"?>
<ds:datastoreItem xmlns:ds="http://schemas.openxmlformats.org/officeDocument/2006/customXml" ds:itemID="{643bd37e-ac66-40cf-82b8-1af9296a9b4c}">
  <ds:schemaRefs/>
</ds:datastoreItem>
</file>

<file path=customXml/itemProps3.xml><?xml version="1.0" encoding="utf-8"?>
<ds:datastoreItem xmlns:ds="http://schemas.openxmlformats.org/officeDocument/2006/customXml" ds:itemID="{5f3eb366-b5c8-4426-a410-56bc45db3961}">
  <ds:schemaRefs/>
</ds:datastoreItem>
</file>

<file path=customXml/itemProps30.xml><?xml version="1.0" encoding="utf-8"?>
<ds:datastoreItem xmlns:ds="http://schemas.openxmlformats.org/officeDocument/2006/customXml" ds:itemID="{bd753a2b-071d-48c2-8434-2a70d7fb4685}">
  <ds:schemaRefs/>
</ds:datastoreItem>
</file>

<file path=customXml/itemProps31.xml><?xml version="1.0" encoding="utf-8"?>
<ds:datastoreItem xmlns:ds="http://schemas.openxmlformats.org/officeDocument/2006/customXml" ds:itemID="{460a98c5-f58d-48e4-916e-aa0e7ab6e5a5}">
  <ds:schemaRefs/>
</ds:datastoreItem>
</file>

<file path=customXml/itemProps32.xml><?xml version="1.0" encoding="utf-8"?>
<ds:datastoreItem xmlns:ds="http://schemas.openxmlformats.org/officeDocument/2006/customXml" ds:itemID="{5e5111f8-5268-4eef-9326-ff44d3138562}">
  <ds:schemaRefs/>
</ds:datastoreItem>
</file>

<file path=customXml/itemProps33.xml><?xml version="1.0" encoding="utf-8"?>
<ds:datastoreItem xmlns:ds="http://schemas.openxmlformats.org/officeDocument/2006/customXml" ds:itemID="{7671fc36-c036-4199-a016-0bf525d54898}">
  <ds:schemaRefs/>
</ds:datastoreItem>
</file>

<file path=customXml/itemProps34.xml><?xml version="1.0" encoding="utf-8"?>
<ds:datastoreItem xmlns:ds="http://schemas.openxmlformats.org/officeDocument/2006/customXml" ds:itemID="{f0124996-75f1-45c9-a9b1-a3cd198367b7}">
  <ds:schemaRefs/>
</ds:datastoreItem>
</file>

<file path=customXml/itemProps35.xml><?xml version="1.0" encoding="utf-8"?>
<ds:datastoreItem xmlns:ds="http://schemas.openxmlformats.org/officeDocument/2006/customXml" ds:itemID="{e46c6d5e-db8d-466f-952c-1fa73b02246a}">
  <ds:schemaRefs/>
</ds:datastoreItem>
</file>

<file path=customXml/itemProps36.xml><?xml version="1.0" encoding="utf-8"?>
<ds:datastoreItem xmlns:ds="http://schemas.openxmlformats.org/officeDocument/2006/customXml" ds:itemID="{8c42ee9b-0222-4014-aebe-49ac8cb4f2d9}">
  <ds:schemaRefs/>
</ds:datastoreItem>
</file>

<file path=customXml/itemProps37.xml><?xml version="1.0" encoding="utf-8"?>
<ds:datastoreItem xmlns:ds="http://schemas.openxmlformats.org/officeDocument/2006/customXml" ds:itemID="{d1a3afaf-2759-4146-84f5-1ad62ca57e4d}">
  <ds:schemaRefs/>
</ds:datastoreItem>
</file>

<file path=customXml/itemProps38.xml><?xml version="1.0" encoding="utf-8"?>
<ds:datastoreItem xmlns:ds="http://schemas.openxmlformats.org/officeDocument/2006/customXml" ds:itemID="{b70483dc-59d3-4354-9c1f-1bb8cbe1b5bf}">
  <ds:schemaRefs/>
</ds:datastoreItem>
</file>

<file path=customXml/itemProps4.xml><?xml version="1.0" encoding="utf-8"?>
<ds:datastoreItem xmlns:ds="http://schemas.openxmlformats.org/officeDocument/2006/customXml" ds:itemID="{ef09689c-2d17-4473-b868-8fdf7597ad10}">
  <ds:schemaRefs/>
</ds:datastoreItem>
</file>

<file path=customXml/itemProps5.xml><?xml version="1.0" encoding="utf-8"?>
<ds:datastoreItem xmlns:ds="http://schemas.openxmlformats.org/officeDocument/2006/customXml" ds:itemID="{718a7849-9473-4d29-9d02-c8650b1db320}">
  <ds:schemaRefs/>
</ds:datastoreItem>
</file>

<file path=customXml/itemProps6.xml><?xml version="1.0" encoding="utf-8"?>
<ds:datastoreItem xmlns:ds="http://schemas.openxmlformats.org/officeDocument/2006/customXml" ds:itemID="{33db2281-45e9-4e80-9453-538c3b630f2a}">
  <ds:schemaRefs/>
</ds:datastoreItem>
</file>

<file path=customXml/itemProps7.xml><?xml version="1.0" encoding="utf-8"?>
<ds:datastoreItem xmlns:ds="http://schemas.openxmlformats.org/officeDocument/2006/customXml" ds:itemID="{4b1a1488-c590-4532-a4bf-e10a2cd98b8b}">
  <ds:schemaRefs/>
</ds:datastoreItem>
</file>

<file path=customXml/itemProps8.xml><?xml version="1.0" encoding="utf-8"?>
<ds:datastoreItem xmlns:ds="http://schemas.openxmlformats.org/officeDocument/2006/customXml" ds:itemID="{f6c9343b-f73d-4f6c-9aba-ed30261ce3bc}">
  <ds:schemaRefs/>
</ds:datastoreItem>
</file>

<file path=customXml/itemProps9.xml><?xml version="1.0" encoding="utf-8"?>
<ds:datastoreItem xmlns:ds="http://schemas.openxmlformats.org/officeDocument/2006/customXml" ds:itemID="{a8511d79-e297-42c7-9f75-586fd9958bcf}">
  <ds:schemaRefs/>
</ds:datastoreItem>
</file>

<file path=docProps/app.xml><?xml version="1.0" encoding="utf-8"?>
<Properties xmlns="http://schemas.openxmlformats.org/officeDocument/2006/extended-properties" xmlns:vt="http://schemas.openxmlformats.org/officeDocument/2006/docPropsVTypes">
  <Pages>46</Pages>
  <Words>10954</Words>
  <Characters>12225</Characters>
  <TotalTime>9</TotalTime>
  <ScaleCrop>false</ScaleCrop>
  <LinksUpToDate>false</LinksUpToDate>
  <CharactersWithSpaces>12383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2022-07-27T10:35:00Z</dcterms:created>
  <dc:creator>Administrator</dc:creator>
  <cp:lastModifiedBy>Administrator</cp:lastModifiedBy>
  <dcterms:modified xsi:type="dcterms:W3CDTF">2023-09-04T02:50:07Z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B9F31E6830DB4023B66808C27D0642F8</vt:lpwstr>
  </property>
</Properties>
</file>