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  部门预算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footerReference r:id="rId3" w:type="default"/>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沙河市市场监督管理局收支预算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194002沙河市市场监督管理局</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3</w:t>
            </w:r>
            <w:r>
              <w:rPr>
                <w:rFonts w:hint="eastAsia"/>
                <w:lang w:val="en-US" w:eastAsia="zh-CN"/>
              </w:rPr>
              <w:t>084</w:t>
            </w:r>
            <w:r>
              <w:t>.89</w:t>
            </w:r>
          </w:p>
        </w:tc>
        <w:tc>
          <w:tcPr>
            <w:tcW w:w="4535" w:type="dxa"/>
            <w:vAlign w:val="center"/>
          </w:tcPr>
          <w:p>
            <w:pPr>
              <w:pStyle w:val="10"/>
            </w:pPr>
            <w:r>
              <w:t>一、一般公共服务支出</w:t>
            </w:r>
          </w:p>
        </w:tc>
        <w:tc>
          <w:tcPr>
            <w:tcW w:w="2126" w:type="dxa"/>
            <w:vAlign w:val="center"/>
          </w:tcPr>
          <w:p>
            <w:pPr>
              <w:pStyle w:val="11"/>
            </w:pPr>
            <w:r>
              <w:t>26</w:t>
            </w:r>
            <w:r>
              <w:rPr>
                <w:rFonts w:hint="eastAsia"/>
                <w:lang w:val="en-US" w:eastAsia="zh-CN"/>
              </w:rPr>
              <w:t>29.</w:t>
            </w:r>
            <w: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255.80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199.88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rPr>
                <w:rFonts w:hint="default" w:eastAsia="方正书宋_GBK"/>
                <w:lang w:val="en-US" w:eastAsia="zh-CN"/>
              </w:rPr>
            </w:pPr>
            <w:r>
              <w:rPr>
                <w:rFonts w:hint="eastAsia"/>
                <w:lang w:val="en-US" w:eastAsia="zh-CN"/>
              </w:rPr>
              <w:t>3084.89</w:t>
            </w:r>
          </w:p>
        </w:tc>
        <w:tc>
          <w:tcPr>
            <w:tcW w:w="4535" w:type="dxa"/>
            <w:vAlign w:val="center"/>
          </w:tcPr>
          <w:p>
            <w:pPr>
              <w:pStyle w:val="12"/>
            </w:pPr>
            <w:r>
              <w:t>本年支出合计</w:t>
            </w:r>
          </w:p>
        </w:tc>
        <w:tc>
          <w:tcPr>
            <w:tcW w:w="2126" w:type="dxa"/>
            <w:vAlign w:val="center"/>
          </w:tcPr>
          <w:p>
            <w:pPr>
              <w:pStyle w:val="13"/>
            </w:pPr>
            <w:r>
              <w:rPr>
                <w:rFonts w:hint="eastAsia"/>
                <w:lang w:val="en-US" w:eastAsia="zh-CN"/>
              </w:rPr>
              <w:t>3084.89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rPr>
                <w:rFonts w:hint="eastAsia"/>
                <w:lang w:val="en-US" w:eastAsia="zh-CN"/>
              </w:rPr>
              <w:t>3084.89</w:t>
            </w:r>
          </w:p>
        </w:tc>
        <w:tc>
          <w:tcPr>
            <w:tcW w:w="4535" w:type="dxa"/>
            <w:vAlign w:val="center"/>
          </w:tcPr>
          <w:p>
            <w:pPr>
              <w:pStyle w:val="12"/>
            </w:pPr>
            <w:r>
              <w:t>支出总计</w:t>
            </w:r>
          </w:p>
        </w:tc>
        <w:tc>
          <w:tcPr>
            <w:tcW w:w="2126" w:type="dxa"/>
            <w:vAlign w:val="center"/>
          </w:tcPr>
          <w:p>
            <w:pPr>
              <w:pStyle w:val="13"/>
            </w:pPr>
            <w:r>
              <w:rPr>
                <w:rFonts w:hint="eastAsia"/>
                <w:lang w:val="en-US" w:eastAsia="zh-CN"/>
              </w:rPr>
              <w:t>3084.89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194002沙河市市场监督管理局</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3</w:t>
            </w:r>
            <w:r>
              <w:rPr>
                <w:rFonts w:hint="eastAsia"/>
                <w:lang w:val="en-US" w:eastAsia="zh-CN"/>
              </w:rPr>
              <w:t>084</w:t>
            </w:r>
            <w:r>
              <w:t>.89</w:t>
            </w:r>
          </w:p>
        </w:tc>
        <w:tc>
          <w:tcPr>
            <w:tcW w:w="758" w:type="dxa"/>
            <w:vAlign w:val="center"/>
          </w:tcPr>
          <w:p>
            <w:pPr>
              <w:pStyle w:val="13"/>
            </w:pPr>
            <w:r>
              <w:t>3</w:t>
            </w:r>
            <w:r>
              <w:rPr>
                <w:rFonts w:hint="eastAsia"/>
                <w:lang w:val="en-US" w:eastAsia="zh-CN"/>
              </w:rPr>
              <w:t>084</w:t>
            </w:r>
            <w:r>
              <w:t>.89</w:t>
            </w:r>
          </w:p>
        </w:tc>
        <w:tc>
          <w:tcPr>
            <w:tcW w:w="758" w:type="dxa"/>
            <w:vAlign w:val="center"/>
          </w:tcPr>
          <w:p>
            <w:pPr>
              <w:pStyle w:val="13"/>
            </w:pPr>
            <w:r>
              <w:t>3</w:t>
            </w:r>
            <w:r>
              <w:rPr>
                <w:rFonts w:hint="eastAsia"/>
                <w:lang w:val="en-US" w:eastAsia="zh-CN"/>
              </w:rPr>
              <w:t>084</w:t>
            </w:r>
            <w:r>
              <w:t>.89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201</w:t>
            </w:r>
          </w:p>
        </w:tc>
        <w:tc>
          <w:tcPr>
            <w:tcW w:w="758" w:type="dxa"/>
            <w:vAlign w:val="center"/>
          </w:tcPr>
          <w:p>
            <w:pPr>
              <w:pStyle w:val="10"/>
            </w:pPr>
            <w:r>
              <w:t>一般公共服务支出</w:t>
            </w:r>
          </w:p>
        </w:tc>
        <w:tc>
          <w:tcPr>
            <w:tcW w:w="758" w:type="dxa"/>
            <w:vAlign w:val="center"/>
          </w:tcPr>
          <w:p>
            <w:pPr>
              <w:pStyle w:val="11"/>
            </w:pPr>
            <w:r>
              <w:t>2</w:t>
            </w:r>
            <w:r>
              <w:rPr>
                <w:rFonts w:hint="eastAsia"/>
                <w:lang w:val="en-US" w:eastAsia="zh-CN"/>
              </w:rPr>
              <w:t>629</w:t>
            </w:r>
            <w:r>
              <w:t>.21</w:t>
            </w:r>
          </w:p>
        </w:tc>
        <w:tc>
          <w:tcPr>
            <w:tcW w:w="758" w:type="dxa"/>
            <w:vAlign w:val="center"/>
          </w:tcPr>
          <w:p>
            <w:pPr>
              <w:pStyle w:val="11"/>
            </w:pPr>
            <w:r>
              <w:t>2</w:t>
            </w:r>
            <w:r>
              <w:rPr>
                <w:rFonts w:hint="eastAsia"/>
                <w:lang w:val="en-US" w:eastAsia="zh-CN"/>
              </w:rPr>
              <w:t>629</w:t>
            </w:r>
            <w:r>
              <w:t>.21</w:t>
            </w:r>
          </w:p>
        </w:tc>
        <w:tc>
          <w:tcPr>
            <w:tcW w:w="758" w:type="dxa"/>
            <w:vAlign w:val="center"/>
          </w:tcPr>
          <w:p>
            <w:pPr>
              <w:pStyle w:val="11"/>
            </w:pPr>
            <w:r>
              <w:t>26</w:t>
            </w:r>
            <w:r>
              <w:rPr>
                <w:rFonts w:hint="eastAsia"/>
                <w:lang w:val="en-US" w:eastAsia="zh-CN"/>
              </w:rPr>
              <w:t>29</w:t>
            </w:r>
            <w:r>
              <w:t>.21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20138</w:t>
            </w:r>
          </w:p>
        </w:tc>
        <w:tc>
          <w:tcPr>
            <w:tcW w:w="758" w:type="dxa"/>
            <w:vAlign w:val="center"/>
          </w:tcPr>
          <w:p>
            <w:pPr>
              <w:pStyle w:val="10"/>
            </w:pPr>
            <w:r>
              <w:t>市场监督管理事务</w:t>
            </w:r>
          </w:p>
        </w:tc>
        <w:tc>
          <w:tcPr>
            <w:tcW w:w="758" w:type="dxa"/>
            <w:vAlign w:val="center"/>
          </w:tcPr>
          <w:p>
            <w:pPr>
              <w:pStyle w:val="11"/>
            </w:pPr>
            <w:r>
              <w:t>2</w:t>
            </w:r>
            <w:r>
              <w:rPr>
                <w:rFonts w:hint="eastAsia"/>
                <w:lang w:val="en-US" w:eastAsia="zh-CN"/>
              </w:rPr>
              <w:t>629</w:t>
            </w:r>
            <w:r>
              <w:t>.21</w:t>
            </w:r>
          </w:p>
        </w:tc>
        <w:tc>
          <w:tcPr>
            <w:tcW w:w="758" w:type="dxa"/>
            <w:vAlign w:val="center"/>
          </w:tcPr>
          <w:p>
            <w:pPr>
              <w:pStyle w:val="11"/>
            </w:pPr>
            <w:r>
              <w:t>2</w:t>
            </w:r>
            <w:r>
              <w:rPr>
                <w:rFonts w:hint="eastAsia"/>
                <w:lang w:val="en-US" w:eastAsia="zh-CN"/>
              </w:rPr>
              <w:t>629</w:t>
            </w:r>
            <w:r>
              <w:t>.21</w:t>
            </w:r>
          </w:p>
        </w:tc>
        <w:tc>
          <w:tcPr>
            <w:tcW w:w="758" w:type="dxa"/>
            <w:vAlign w:val="center"/>
          </w:tcPr>
          <w:p>
            <w:pPr>
              <w:pStyle w:val="11"/>
            </w:pPr>
            <w:r>
              <w:t>26</w:t>
            </w:r>
            <w:r>
              <w:rPr>
                <w:rFonts w:hint="eastAsia"/>
                <w:lang w:val="en-US" w:eastAsia="zh-CN"/>
              </w:rPr>
              <w:t>29</w:t>
            </w:r>
            <w:r>
              <w:t>.21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2013801</w:t>
            </w:r>
          </w:p>
        </w:tc>
        <w:tc>
          <w:tcPr>
            <w:tcW w:w="758" w:type="dxa"/>
            <w:vAlign w:val="center"/>
          </w:tcPr>
          <w:p>
            <w:pPr>
              <w:pStyle w:val="10"/>
            </w:pPr>
            <w:r>
              <w:t>行政运行</w:t>
            </w:r>
          </w:p>
        </w:tc>
        <w:tc>
          <w:tcPr>
            <w:tcW w:w="758" w:type="dxa"/>
            <w:vAlign w:val="center"/>
          </w:tcPr>
          <w:p>
            <w:pPr>
              <w:pStyle w:val="11"/>
            </w:pPr>
            <w:r>
              <w:t>1845.46</w:t>
            </w:r>
          </w:p>
        </w:tc>
        <w:tc>
          <w:tcPr>
            <w:tcW w:w="758" w:type="dxa"/>
            <w:vAlign w:val="center"/>
          </w:tcPr>
          <w:p>
            <w:pPr>
              <w:pStyle w:val="11"/>
            </w:pPr>
            <w:r>
              <w:t>1845.46</w:t>
            </w:r>
          </w:p>
        </w:tc>
        <w:tc>
          <w:tcPr>
            <w:tcW w:w="758" w:type="dxa"/>
            <w:vAlign w:val="center"/>
          </w:tcPr>
          <w:p>
            <w:pPr>
              <w:pStyle w:val="11"/>
            </w:pPr>
            <w:r>
              <w:t>1845.46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rPr>
                <w:rFonts w:hint="eastAsia"/>
                <w:lang w:val="en-US" w:eastAsia="zh-CN"/>
              </w:rPr>
              <w:t>5</w:t>
            </w:r>
          </w:p>
        </w:tc>
        <w:tc>
          <w:tcPr>
            <w:tcW w:w="758" w:type="dxa"/>
            <w:vAlign w:val="center"/>
          </w:tcPr>
          <w:p>
            <w:pPr>
              <w:pStyle w:val="10"/>
            </w:pPr>
            <w:r>
              <w:t>2013815</w:t>
            </w:r>
          </w:p>
        </w:tc>
        <w:tc>
          <w:tcPr>
            <w:tcW w:w="758" w:type="dxa"/>
            <w:vAlign w:val="center"/>
          </w:tcPr>
          <w:p>
            <w:pPr>
              <w:pStyle w:val="10"/>
            </w:pPr>
            <w:r>
              <w:t>质量安全监管</w:t>
            </w:r>
          </w:p>
        </w:tc>
        <w:tc>
          <w:tcPr>
            <w:tcW w:w="758" w:type="dxa"/>
            <w:vAlign w:val="center"/>
          </w:tcPr>
          <w:p>
            <w:pPr>
              <w:pStyle w:val="11"/>
            </w:pPr>
            <w:r>
              <w:t>182.41</w:t>
            </w:r>
          </w:p>
        </w:tc>
        <w:tc>
          <w:tcPr>
            <w:tcW w:w="758" w:type="dxa"/>
            <w:vAlign w:val="center"/>
          </w:tcPr>
          <w:p>
            <w:pPr>
              <w:pStyle w:val="11"/>
            </w:pPr>
            <w:r>
              <w:t>182.41</w:t>
            </w:r>
          </w:p>
        </w:tc>
        <w:tc>
          <w:tcPr>
            <w:tcW w:w="758" w:type="dxa"/>
            <w:vAlign w:val="center"/>
          </w:tcPr>
          <w:p>
            <w:pPr>
              <w:pStyle w:val="11"/>
            </w:pPr>
            <w:r>
              <w:t>182.41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rPr>
                <w:rFonts w:hint="eastAsia"/>
                <w:lang w:val="en-US" w:eastAsia="zh-CN"/>
              </w:rPr>
              <w:t>6</w:t>
            </w:r>
          </w:p>
        </w:tc>
        <w:tc>
          <w:tcPr>
            <w:tcW w:w="758" w:type="dxa"/>
            <w:vAlign w:val="center"/>
          </w:tcPr>
          <w:p>
            <w:pPr>
              <w:pStyle w:val="10"/>
            </w:pPr>
            <w:r>
              <w:t>2013816</w:t>
            </w:r>
          </w:p>
        </w:tc>
        <w:tc>
          <w:tcPr>
            <w:tcW w:w="758" w:type="dxa"/>
            <w:vAlign w:val="center"/>
          </w:tcPr>
          <w:p>
            <w:pPr>
              <w:pStyle w:val="10"/>
            </w:pPr>
            <w:r>
              <w:t>食品安全监管</w:t>
            </w:r>
          </w:p>
        </w:tc>
        <w:tc>
          <w:tcPr>
            <w:tcW w:w="758" w:type="dxa"/>
            <w:vAlign w:val="center"/>
          </w:tcPr>
          <w:p>
            <w:pPr>
              <w:pStyle w:val="11"/>
            </w:pPr>
            <w:r>
              <w:t>194.90</w:t>
            </w:r>
          </w:p>
        </w:tc>
        <w:tc>
          <w:tcPr>
            <w:tcW w:w="758" w:type="dxa"/>
            <w:vAlign w:val="center"/>
          </w:tcPr>
          <w:p>
            <w:pPr>
              <w:pStyle w:val="11"/>
            </w:pPr>
            <w:r>
              <w:t>194.90</w:t>
            </w:r>
          </w:p>
        </w:tc>
        <w:tc>
          <w:tcPr>
            <w:tcW w:w="758" w:type="dxa"/>
            <w:vAlign w:val="center"/>
          </w:tcPr>
          <w:p>
            <w:pPr>
              <w:pStyle w:val="11"/>
            </w:pPr>
            <w:r>
              <w:t>194.90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rPr>
                <w:rFonts w:hint="eastAsia"/>
                <w:lang w:val="en-US" w:eastAsia="zh-CN"/>
              </w:rPr>
              <w:t>7</w:t>
            </w:r>
          </w:p>
        </w:tc>
        <w:tc>
          <w:tcPr>
            <w:tcW w:w="758" w:type="dxa"/>
            <w:vAlign w:val="center"/>
          </w:tcPr>
          <w:p>
            <w:pPr>
              <w:pStyle w:val="10"/>
            </w:pPr>
            <w:r>
              <w:t>2013899</w:t>
            </w:r>
          </w:p>
        </w:tc>
        <w:tc>
          <w:tcPr>
            <w:tcW w:w="758" w:type="dxa"/>
            <w:vAlign w:val="center"/>
          </w:tcPr>
          <w:p>
            <w:pPr>
              <w:pStyle w:val="10"/>
            </w:pPr>
            <w:r>
              <w:t>其他市场监督管理事务</w:t>
            </w:r>
          </w:p>
        </w:tc>
        <w:tc>
          <w:tcPr>
            <w:tcW w:w="758" w:type="dxa"/>
            <w:vAlign w:val="center"/>
          </w:tcPr>
          <w:p>
            <w:pPr>
              <w:pStyle w:val="11"/>
            </w:pPr>
            <w:r>
              <w:t>406.44</w:t>
            </w:r>
          </w:p>
        </w:tc>
        <w:tc>
          <w:tcPr>
            <w:tcW w:w="758" w:type="dxa"/>
            <w:vAlign w:val="center"/>
          </w:tcPr>
          <w:p>
            <w:pPr>
              <w:pStyle w:val="11"/>
            </w:pPr>
            <w:r>
              <w:t>406.44</w:t>
            </w:r>
          </w:p>
        </w:tc>
        <w:tc>
          <w:tcPr>
            <w:tcW w:w="758" w:type="dxa"/>
            <w:vAlign w:val="center"/>
          </w:tcPr>
          <w:p>
            <w:pPr>
              <w:pStyle w:val="11"/>
            </w:pPr>
            <w:r>
              <w:t>406.44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rPr>
                <w:rFonts w:hint="eastAsia"/>
                <w:lang w:val="en-US" w:eastAsia="zh-CN"/>
              </w:rPr>
              <w:t>8</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255.80</w:t>
            </w:r>
          </w:p>
        </w:tc>
        <w:tc>
          <w:tcPr>
            <w:tcW w:w="758" w:type="dxa"/>
            <w:vAlign w:val="center"/>
          </w:tcPr>
          <w:p>
            <w:pPr>
              <w:pStyle w:val="11"/>
            </w:pPr>
            <w:r>
              <w:t>255.80</w:t>
            </w:r>
          </w:p>
        </w:tc>
        <w:tc>
          <w:tcPr>
            <w:tcW w:w="758" w:type="dxa"/>
            <w:vAlign w:val="center"/>
          </w:tcPr>
          <w:p>
            <w:pPr>
              <w:pStyle w:val="11"/>
            </w:pPr>
            <w:r>
              <w:t>255.80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rPr>
                <w:rFonts w:hint="eastAsia"/>
                <w:lang w:val="en-US" w:eastAsia="zh-CN"/>
              </w:rPr>
              <w:t>9</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255.80</w:t>
            </w:r>
          </w:p>
        </w:tc>
        <w:tc>
          <w:tcPr>
            <w:tcW w:w="758" w:type="dxa"/>
            <w:vAlign w:val="center"/>
          </w:tcPr>
          <w:p>
            <w:pPr>
              <w:pStyle w:val="11"/>
            </w:pPr>
            <w:r>
              <w:t>255.80</w:t>
            </w:r>
          </w:p>
        </w:tc>
        <w:tc>
          <w:tcPr>
            <w:tcW w:w="758" w:type="dxa"/>
            <w:vAlign w:val="center"/>
          </w:tcPr>
          <w:p>
            <w:pPr>
              <w:pStyle w:val="11"/>
            </w:pPr>
            <w:r>
              <w:t>255.80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t>1</w:t>
            </w:r>
            <w:r>
              <w:rPr>
                <w:rFonts w:hint="eastAsia"/>
                <w:lang w:val="en-US" w:eastAsia="zh-CN"/>
              </w:rPr>
              <w:t>0</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255.80</w:t>
            </w:r>
          </w:p>
        </w:tc>
        <w:tc>
          <w:tcPr>
            <w:tcW w:w="758" w:type="dxa"/>
            <w:vAlign w:val="center"/>
          </w:tcPr>
          <w:p>
            <w:pPr>
              <w:pStyle w:val="11"/>
            </w:pPr>
            <w:r>
              <w:t>255.80</w:t>
            </w:r>
          </w:p>
        </w:tc>
        <w:tc>
          <w:tcPr>
            <w:tcW w:w="758" w:type="dxa"/>
            <w:vAlign w:val="center"/>
          </w:tcPr>
          <w:p>
            <w:pPr>
              <w:pStyle w:val="11"/>
            </w:pPr>
            <w:r>
              <w:t>255.80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199.88</w:t>
            </w:r>
          </w:p>
        </w:tc>
        <w:tc>
          <w:tcPr>
            <w:tcW w:w="758" w:type="dxa"/>
            <w:vAlign w:val="center"/>
          </w:tcPr>
          <w:p>
            <w:pPr>
              <w:pStyle w:val="11"/>
            </w:pPr>
            <w:r>
              <w:t>199.88</w:t>
            </w:r>
          </w:p>
        </w:tc>
        <w:tc>
          <w:tcPr>
            <w:tcW w:w="758" w:type="dxa"/>
            <w:vAlign w:val="center"/>
          </w:tcPr>
          <w:p>
            <w:pPr>
              <w:pStyle w:val="11"/>
            </w:pPr>
            <w:r>
              <w:t>199.88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199.88</w:t>
            </w:r>
          </w:p>
        </w:tc>
        <w:tc>
          <w:tcPr>
            <w:tcW w:w="758" w:type="dxa"/>
            <w:vAlign w:val="center"/>
          </w:tcPr>
          <w:p>
            <w:pPr>
              <w:pStyle w:val="11"/>
            </w:pPr>
            <w:r>
              <w:t>199.88</w:t>
            </w:r>
          </w:p>
        </w:tc>
        <w:tc>
          <w:tcPr>
            <w:tcW w:w="758" w:type="dxa"/>
            <w:vAlign w:val="center"/>
          </w:tcPr>
          <w:p>
            <w:pPr>
              <w:pStyle w:val="11"/>
            </w:pPr>
            <w:r>
              <w:t>199.88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199.88</w:t>
            </w:r>
          </w:p>
        </w:tc>
        <w:tc>
          <w:tcPr>
            <w:tcW w:w="758" w:type="dxa"/>
            <w:vAlign w:val="center"/>
          </w:tcPr>
          <w:p>
            <w:pPr>
              <w:pStyle w:val="11"/>
            </w:pPr>
            <w:r>
              <w:t>199.88</w:t>
            </w:r>
          </w:p>
        </w:tc>
        <w:tc>
          <w:tcPr>
            <w:tcW w:w="758" w:type="dxa"/>
            <w:vAlign w:val="center"/>
          </w:tcPr>
          <w:p>
            <w:pPr>
              <w:pStyle w:val="11"/>
            </w:pPr>
            <w:r>
              <w:t>199.88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pPr>
            <w:r>
              <w:t>194002沙河市市场监督管理局</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3</w:t>
            </w:r>
            <w:r>
              <w:rPr>
                <w:rFonts w:hint="eastAsia"/>
                <w:lang w:val="en-US" w:eastAsia="zh-CN"/>
              </w:rPr>
              <w:t>084</w:t>
            </w:r>
            <w:r>
              <w:t>.89</w:t>
            </w:r>
          </w:p>
        </w:tc>
        <w:tc>
          <w:tcPr>
            <w:tcW w:w="1095" w:type="dxa"/>
            <w:vAlign w:val="center"/>
          </w:tcPr>
          <w:p>
            <w:pPr>
              <w:pStyle w:val="13"/>
            </w:pPr>
            <w:r>
              <w:t>2115.59</w:t>
            </w:r>
          </w:p>
        </w:tc>
        <w:tc>
          <w:tcPr>
            <w:tcW w:w="1095" w:type="dxa"/>
            <w:vAlign w:val="center"/>
          </w:tcPr>
          <w:p>
            <w:pPr>
              <w:pStyle w:val="13"/>
              <w:rPr>
                <w:rFonts w:hint="default" w:eastAsia="方正书宋_GBK"/>
                <w:lang w:val="en-US" w:eastAsia="zh-CN"/>
              </w:rPr>
            </w:pPr>
            <w:r>
              <w:rPr>
                <w:rFonts w:hint="eastAsia"/>
                <w:lang w:val="en-US" w:eastAsia="zh-CN"/>
              </w:rPr>
              <w:t>969.3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201</w:t>
            </w:r>
          </w:p>
        </w:tc>
        <w:tc>
          <w:tcPr>
            <w:tcW w:w="1095" w:type="dxa"/>
            <w:vAlign w:val="center"/>
          </w:tcPr>
          <w:p>
            <w:pPr>
              <w:pStyle w:val="10"/>
            </w:pPr>
            <w:r>
              <w:t>一般公共服务支出</w:t>
            </w:r>
          </w:p>
        </w:tc>
        <w:tc>
          <w:tcPr>
            <w:tcW w:w="1095" w:type="dxa"/>
            <w:vAlign w:val="center"/>
          </w:tcPr>
          <w:p>
            <w:pPr>
              <w:pStyle w:val="11"/>
            </w:pPr>
            <w:r>
              <w:t>26</w:t>
            </w:r>
            <w:r>
              <w:rPr>
                <w:rFonts w:hint="eastAsia"/>
                <w:lang w:val="en-US" w:eastAsia="zh-CN"/>
              </w:rPr>
              <w:t>29</w:t>
            </w:r>
            <w:r>
              <w:t>.21</w:t>
            </w:r>
          </w:p>
        </w:tc>
        <w:tc>
          <w:tcPr>
            <w:tcW w:w="1095" w:type="dxa"/>
            <w:vAlign w:val="center"/>
          </w:tcPr>
          <w:p>
            <w:pPr>
              <w:pStyle w:val="11"/>
            </w:pPr>
            <w:r>
              <w:t>1659.91</w:t>
            </w:r>
          </w:p>
        </w:tc>
        <w:tc>
          <w:tcPr>
            <w:tcW w:w="1095" w:type="dxa"/>
            <w:vAlign w:val="center"/>
          </w:tcPr>
          <w:p>
            <w:pPr>
              <w:pStyle w:val="11"/>
              <w:rPr>
                <w:rFonts w:hint="default" w:eastAsia="方正书宋_GBK"/>
                <w:lang w:val="en-US" w:eastAsia="zh-CN"/>
              </w:rPr>
            </w:pPr>
            <w:r>
              <w:rPr>
                <w:rFonts w:hint="eastAsia"/>
                <w:lang w:val="en-US" w:eastAsia="zh-CN"/>
              </w:rPr>
              <w:t>969.3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20138</w:t>
            </w:r>
          </w:p>
        </w:tc>
        <w:tc>
          <w:tcPr>
            <w:tcW w:w="1095" w:type="dxa"/>
            <w:vAlign w:val="center"/>
          </w:tcPr>
          <w:p>
            <w:pPr>
              <w:pStyle w:val="10"/>
            </w:pPr>
            <w:r>
              <w:t>市场监督管理事务</w:t>
            </w:r>
          </w:p>
        </w:tc>
        <w:tc>
          <w:tcPr>
            <w:tcW w:w="1095" w:type="dxa"/>
            <w:vAlign w:val="center"/>
          </w:tcPr>
          <w:p>
            <w:pPr>
              <w:pStyle w:val="11"/>
            </w:pPr>
            <w:r>
              <w:t>26</w:t>
            </w:r>
            <w:r>
              <w:rPr>
                <w:rFonts w:hint="eastAsia"/>
                <w:lang w:val="en-US" w:eastAsia="zh-CN"/>
              </w:rPr>
              <w:t>29</w:t>
            </w:r>
            <w:r>
              <w:t>.21</w:t>
            </w:r>
          </w:p>
        </w:tc>
        <w:tc>
          <w:tcPr>
            <w:tcW w:w="1095" w:type="dxa"/>
            <w:vAlign w:val="center"/>
          </w:tcPr>
          <w:p>
            <w:pPr>
              <w:pStyle w:val="11"/>
            </w:pPr>
            <w:r>
              <w:t>1659.91</w:t>
            </w:r>
          </w:p>
        </w:tc>
        <w:tc>
          <w:tcPr>
            <w:tcW w:w="1095" w:type="dxa"/>
            <w:vAlign w:val="center"/>
          </w:tcPr>
          <w:p>
            <w:pPr>
              <w:pStyle w:val="11"/>
              <w:rPr>
                <w:rFonts w:hint="default" w:eastAsia="方正书宋_GBK"/>
                <w:lang w:val="en-US" w:eastAsia="zh-CN"/>
              </w:rPr>
            </w:pPr>
            <w:r>
              <w:rPr>
                <w:rFonts w:hint="eastAsia"/>
                <w:lang w:val="en-US" w:eastAsia="zh-CN"/>
              </w:rPr>
              <w:t>969.3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2013801</w:t>
            </w:r>
          </w:p>
        </w:tc>
        <w:tc>
          <w:tcPr>
            <w:tcW w:w="1095" w:type="dxa"/>
            <w:vAlign w:val="center"/>
          </w:tcPr>
          <w:p>
            <w:pPr>
              <w:pStyle w:val="10"/>
            </w:pPr>
            <w:r>
              <w:t>行政运行</w:t>
            </w:r>
          </w:p>
        </w:tc>
        <w:tc>
          <w:tcPr>
            <w:tcW w:w="1095" w:type="dxa"/>
            <w:vAlign w:val="center"/>
          </w:tcPr>
          <w:p>
            <w:pPr>
              <w:pStyle w:val="11"/>
            </w:pPr>
            <w:r>
              <w:t>1845.46</w:t>
            </w:r>
          </w:p>
        </w:tc>
        <w:tc>
          <w:tcPr>
            <w:tcW w:w="1095" w:type="dxa"/>
            <w:vAlign w:val="center"/>
          </w:tcPr>
          <w:p>
            <w:pPr>
              <w:pStyle w:val="11"/>
            </w:pPr>
            <w:r>
              <w:t>1659.91</w:t>
            </w:r>
          </w:p>
        </w:tc>
        <w:tc>
          <w:tcPr>
            <w:tcW w:w="1095" w:type="dxa"/>
            <w:vAlign w:val="center"/>
          </w:tcPr>
          <w:p>
            <w:pPr>
              <w:pStyle w:val="11"/>
            </w:pPr>
            <w:r>
              <w:t>185.55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eastAsia" w:eastAsia="方正书宋_GBK"/>
                <w:lang w:eastAsia="zh-CN"/>
              </w:rPr>
            </w:pPr>
            <w:r>
              <w:rPr>
                <w:rFonts w:hint="eastAsia"/>
                <w:lang w:val="en-US" w:eastAsia="zh-CN"/>
              </w:rPr>
              <w:t>5</w:t>
            </w:r>
          </w:p>
        </w:tc>
        <w:tc>
          <w:tcPr>
            <w:tcW w:w="1095" w:type="dxa"/>
            <w:vAlign w:val="center"/>
          </w:tcPr>
          <w:p>
            <w:pPr>
              <w:pStyle w:val="10"/>
            </w:pPr>
            <w:r>
              <w:t>2013815</w:t>
            </w:r>
          </w:p>
        </w:tc>
        <w:tc>
          <w:tcPr>
            <w:tcW w:w="1095" w:type="dxa"/>
            <w:vAlign w:val="center"/>
          </w:tcPr>
          <w:p>
            <w:pPr>
              <w:pStyle w:val="10"/>
            </w:pPr>
            <w:r>
              <w:t>质量安全监管</w:t>
            </w:r>
          </w:p>
        </w:tc>
        <w:tc>
          <w:tcPr>
            <w:tcW w:w="1095" w:type="dxa"/>
            <w:vAlign w:val="center"/>
          </w:tcPr>
          <w:p>
            <w:pPr>
              <w:pStyle w:val="11"/>
            </w:pPr>
            <w:r>
              <w:t>182.41</w:t>
            </w:r>
          </w:p>
        </w:tc>
        <w:tc>
          <w:tcPr>
            <w:tcW w:w="1095" w:type="dxa"/>
            <w:vAlign w:val="center"/>
          </w:tcPr>
          <w:p>
            <w:pPr>
              <w:pStyle w:val="11"/>
            </w:pPr>
          </w:p>
        </w:tc>
        <w:tc>
          <w:tcPr>
            <w:tcW w:w="1095" w:type="dxa"/>
            <w:vAlign w:val="center"/>
          </w:tcPr>
          <w:p>
            <w:pPr>
              <w:pStyle w:val="11"/>
            </w:pPr>
            <w:r>
              <w:t>182.41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eastAsia" w:eastAsia="方正书宋_GBK"/>
                <w:lang w:eastAsia="zh-CN"/>
              </w:rPr>
            </w:pPr>
            <w:r>
              <w:rPr>
                <w:rFonts w:hint="eastAsia"/>
                <w:lang w:val="en-US" w:eastAsia="zh-CN"/>
              </w:rPr>
              <w:t>6</w:t>
            </w:r>
          </w:p>
        </w:tc>
        <w:tc>
          <w:tcPr>
            <w:tcW w:w="1095" w:type="dxa"/>
            <w:vAlign w:val="center"/>
          </w:tcPr>
          <w:p>
            <w:pPr>
              <w:pStyle w:val="10"/>
            </w:pPr>
            <w:r>
              <w:t>2013816</w:t>
            </w:r>
          </w:p>
        </w:tc>
        <w:tc>
          <w:tcPr>
            <w:tcW w:w="1095" w:type="dxa"/>
            <w:vAlign w:val="center"/>
          </w:tcPr>
          <w:p>
            <w:pPr>
              <w:pStyle w:val="10"/>
            </w:pPr>
            <w:r>
              <w:t>食品安全监管</w:t>
            </w:r>
          </w:p>
        </w:tc>
        <w:tc>
          <w:tcPr>
            <w:tcW w:w="1095" w:type="dxa"/>
            <w:vAlign w:val="center"/>
          </w:tcPr>
          <w:p>
            <w:pPr>
              <w:pStyle w:val="11"/>
            </w:pPr>
            <w:r>
              <w:t>194.90</w:t>
            </w:r>
          </w:p>
        </w:tc>
        <w:tc>
          <w:tcPr>
            <w:tcW w:w="1095" w:type="dxa"/>
            <w:vAlign w:val="center"/>
          </w:tcPr>
          <w:p>
            <w:pPr>
              <w:pStyle w:val="11"/>
            </w:pPr>
          </w:p>
        </w:tc>
        <w:tc>
          <w:tcPr>
            <w:tcW w:w="1095" w:type="dxa"/>
            <w:vAlign w:val="center"/>
          </w:tcPr>
          <w:p>
            <w:pPr>
              <w:pStyle w:val="11"/>
            </w:pPr>
            <w:r>
              <w:t>194.90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eastAsia" w:eastAsia="方正书宋_GBK"/>
                <w:lang w:eastAsia="zh-CN"/>
              </w:rPr>
            </w:pPr>
            <w:r>
              <w:rPr>
                <w:rFonts w:hint="eastAsia"/>
                <w:lang w:val="en-US" w:eastAsia="zh-CN"/>
              </w:rPr>
              <w:t>7</w:t>
            </w:r>
          </w:p>
        </w:tc>
        <w:tc>
          <w:tcPr>
            <w:tcW w:w="1095" w:type="dxa"/>
            <w:vAlign w:val="center"/>
          </w:tcPr>
          <w:p>
            <w:pPr>
              <w:pStyle w:val="10"/>
            </w:pPr>
            <w:r>
              <w:t>2013899</w:t>
            </w:r>
          </w:p>
        </w:tc>
        <w:tc>
          <w:tcPr>
            <w:tcW w:w="1095" w:type="dxa"/>
            <w:vAlign w:val="center"/>
          </w:tcPr>
          <w:p>
            <w:pPr>
              <w:pStyle w:val="10"/>
            </w:pPr>
            <w:r>
              <w:t>其他市场监督管理事务</w:t>
            </w:r>
          </w:p>
        </w:tc>
        <w:tc>
          <w:tcPr>
            <w:tcW w:w="1095" w:type="dxa"/>
            <w:vAlign w:val="center"/>
          </w:tcPr>
          <w:p>
            <w:pPr>
              <w:pStyle w:val="11"/>
            </w:pPr>
            <w:r>
              <w:t>406.44</w:t>
            </w:r>
          </w:p>
        </w:tc>
        <w:tc>
          <w:tcPr>
            <w:tcW w:w="1095" w:type="dxa"/>
            <w:vAlign w:val="center"/>
          </w:tcPr>
          <w:p>
            <w:pPr>
              <w:pStyle w:val="11"/>
            </w:pPr>
          </w:p>
        </w:tc>
        <w:tc>
          <w:tcPr>
            <w:tcW w:w="1095" w:type="dxa"/>
            <w:vAlign w:val="center"/>
          </w:tcPr>
          <w:p>
            <w:pPr>
              <w:pStyle w:val="11"/>
            </w:pPr>
            <w:r>
              <w:t>406.44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eastAsia" w:eastAsia="方正书宋_GBK"/>
                <w:lang w:eastAsia="zh-CN"/>
              </w:rPr>
            </w:pPr>
            <w:r>
              <w:rPr>
                <w:rFonts w:hint="eastAsia"/>
                <w:lang w:val="en-US" w:eastAsia="zh-CN"/>
              </w:rPr>
              <w:t>8</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255.80</w:t>
            </w:r>
          </w:p>
        </w:tc>
        <w:tc>
          <w:tcPr>
            <w:tcW w:w="1095" w:type="dxa"/>
            <w:vAlign w:val="center"/>
          </w:tcPr>
          <w:p>
            <w:pPr>
              <w:pStyle w:val="11"/>
            </w:pPr>
            <w:r>
              <w:t>255.80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eastAsia" w:eastAsia="方正书宋_GBK"/>
                <w:lang w:eastAsia="zh-CN"/>
              </w:rPr>
            </w:pPr>
            <w:r>
              <w:rPr>
                <w:rFonts w:hint="eastAsia"/>
                <w:lang w:val="en-US" w:eastAsia="zh-CN"/>
              </w:rPr>
              <w:t>9</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255.80</w:t>
            </w:r>
          </w:p>
        </w:tc>
        <w:tc>
          <w:tcPr>
            <w:tcW w:w="1095" w:type="dxa"/>
            <w:vAlign w:val="center"/>
          </w:tcPr>
          <w:p>
            <w:pPr>
              <w:pStyle w:val="11"/>
            </w:pPr>
            <w:r>
              <w:t>255.80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255.80</w:t>
            </w:r>
          </w:p>
        </w:tc>
        <w:tc>
          <w:tcPr>
            <w:tcW w:w="1095" w:type="dxa"/>
            <w:vAlign w:val="center"/>
          </w:tcPr>
          <w:p>
            <w:pPr>
              <w:pStyle w:val="11"/>
            </w:pPr>
            <w:r>
              <w:t>255.80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199.88</w:t>
            </w:r>
          </w:p>
        </w:tc>
        <w:tc>
          <w:tcPr>
            <w:tcW w:w="1095" w:type="dxa"/>
            <w:vAlign w:val="center"/>
          </w:tcPr>
          <w:p>
            <w:pPr>
              <w:pStyle w:val="11"/>
            </w:pPr>
            <w:r>
              <w:t>199.88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199.88</w:t>
            </w:r>
          </w:p>
        </w:tc>
        <w:tc>
          <w:tcPr>
            <w:tcW w:w="1095" w:type="dxa"/>
            <w:vAlign w:val="center"/>
          </w:tcPr>
          <w:p>
            <w:pPr>
              <w:pStyle w:val="11"/>
            </w:pPr>
            <w:r>
              <w:t>199.88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199.88</w:t>
            </w:r>
          </w:p>
        </w:tc>
        <w:tc>
          <w:tcPr>
            <w:tcW w:w="1095" w:type="dxa"/>
            <w:vAlign w:val="center"/>
          </w:tcPr>
          <w:p>
            <w:pPr>
              <w:pStyle w:val="11"/>
            </w:pPr>
            <w:r>
              <w:t>199.88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194002沙河市市场监督管理局</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3</w:t>
            </w:r>
            <w:r>
              <w:rPr>
                <w:rFonts w:hint="eastAsia"/>
                <w:lang w:val="en-US" w:eastAsia="zh-CN"/>
              </w:rPr>
              <w:t>084</w:t>
            </w:r>
            <w:r>
              <w:t>.89</w:t>
            </w:r>
          </w:p>
        </w:tc>
        <w:tc>
          <w:tcPr>
            <w:tcW w:w="3402" w:type="dxa"/>
            <w:vAlign w:val="center"/>
          </w:tcPr>
          <w:p>
            <w:pPr>
              <w:pStyle w:val="10"/>
            </w:pPr>
            <w:r>
              <w:t>一、一般公共服务支出</w:t>
            </w:r>
          </w:p>
        </w:tc>
        <w:tc>
          <w:tcPr>
            <w:tcW w:w="1474" w:type="dxa"/>
            <w:vAlign w:val="center"/>
          </w:tcPr>
          <w:p>
            <w:pPr>
              <w:pStyle w:val="11"/>
            </w:pPr>
            <w:r>
              <w:t>26</w:t>
            </w:r>
            <w:r>
              <w:rPr>
                <w:rFonts w:hint="eastAsia"/>
                <w:lang w:val="en-US" w:eastAsia="zh-CN"/>
              </w:rPr>
              <w:t>29</w:t>
            </w:r>
            <w:r>
              <w:t>.21</w:t>
            </w:r>
          </w:p>
        </w:tc>
        <w:tc>
          <w:tcPr>
            <w:tcW w:w="1474" w:type="dxa"/>
            <w:vAlign w:val="center"/>
          </w:tcPr>
          <w:p>
            <w:pPr>
              <w:pStyle w:val="11"/>
            </w:pPr>
            <w:r>
              <w:t>26</w:t>
            </w:r>
            <w:r>
              <w:rPr>
                <w:rFonts w:hint="eastAsia"/>
                <w:lang w:val="en-US" w:eastAsia="zh-CN"/>
              </w:rPr>
              <w:t>29</w:t>
            </w:r>
            <w:r>
              <w:t>.21</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255.80</w:t>
            </w:r>
          </w:p>
        </w:tc>
        <w:tc>
          <w:tcPr>
            <w:tcW w:w="1474" w:type="dxa"/>
            <w:vAlign w:val="center"/>
          </w:tcPr>
          <w:p>
            <w:pPr>
              <w:pStyle w:val="11"/>
            </w:pPr>
            <w:r>
              <w:t>255.80</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199.88</w:t>
            </w:r>
          </w:p>
        </w:tc>
        <w:tc>
          <w:tcPr>
            <w:tcW w:w="1474" w:type="dxa"/>
            <w:vAlign w:val="center"/>
          </w:tcPr>
          <w:p>
            <w:pPr>
              <w:pStyle w:val="11"/>
            </w:pPr>
            <w:r>
              <w:t>199.88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rPr>
                <w:rFonts w:hint="eastAsia"/>
                <w:lang w:val="en-US" w:eastAsia="zh-CN"/>
              </w:rPr>
              <w:t>3084</w:t>
            </w:r>
            <w:r>
              <w:t>.89</w:t>
            </w:r>
          </w:p>
        </w:tc>
        <w:tc>
          <w:tcPr>
            <w:tcW w:w="3402" w:type="dxa"/>
            <w:vAlign w:val="center"/>
          </w:tcPr>
          <w:p>
            <w:pPr>
              <w:pStyle w:val="12"/>
            </w:pPr>
            <w:r>
              <w:t>本年支出合计</w:t>
            </w:r>
          </w:p>
        </w:tc>
        <w:tc>
          <w:tcPr>
            <w:tcW w:w="1474" w:type="dxa"/>
            <w:vAlign w:val="center"/>
          </w:tcPr>
          <w:p>
            <w:pPr>
              <w:pStyle w:val="13"/>
            </w:pPr>
            <w:r>
              <w:t>3</w:t>
            </w:r>
            <w:r>
              <w:rPr>
                <w:rFonts w:hint="eastAsia"/>
                <w:lang w:val="en-US" w:eastAsia="zh-CN"/>
              </w:rPr>
              <w:t>084</w:t>
            </w:r>
            <w:r>
              <w:t>.89</w:t>
            </w:r>
          </w:p>
        </w:tc>
        <w:tc>
          <w:tcPr>
            <w:tcW w:w="1474" w:type="dxa"/>
            <w:vAlign w:val="center"/>
          </w:tcPr>
          <w:p>
            <w:pPr>
              <w:pStyle w:val="13"/>
            </w:pPr>
            <w:r>
              <w:t>3</w:t>
            </w:r>
            <w:r>
              <w:rPr>
                <w:rFonts w:hint="eastAsia"/>
                <w:lang w:val="en-US" w:eastAsia="zh-CN"/>
              </w:rPr>
              <w:t>084</w:t>
            </w:r>
            <w:r>
              <w:t>.89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3</w:t>
            </w:r>
            <w:r>
              <w:rPr>
                <w:rFonts w:hint="eastAsia"/>
                <w:lang w:val="en-US" w:eastAsia="zh-CN"/>
              </w:rPr>
              <w:t>084</w:t>
            </w:r>
            <w:r>
              <w:t>.89</w:t>
            </w:r>
          </w:p>
        </w:tc>
        <w:tc>
          <w:tcPr>
            <w:tcW w:w="3402" w:type="dxa"/>
            <w:vAlign w:val="center"/>
          </w:tcPr>
          <w:p>
            <w:pPr>
              <w:pStyle w:val="12"/>
            </w:pPr>
            <w:r>
              <w:t>支出总计</w:t>
            </w:r>
          </w:p>
        </w:tc>
        <w:tc>
          <w:tcPr>
            <w:tcW w:w="1474" w:type="dxa"/>
            <w:vAlign w:val="center"/>
          </w:tcPr>
          <w:p>
            <w:pPr>
              <w:pStyle w:val="13"/>
            </w:pPr>
            <w:r>
              <w:t>3</w:t>
            </w:r>
            <w:r>
              <w:rPr>
                <w:rFonts w:hint="eastAsia"/>
                <w:lang w:val="en-US" w:eastAsia="zh-CN"/>
              </w:rPr>
              <w:t>084</w:t>
            </w:r>
            <w:r>
              <w:t>.89</w:t>
            </w:r>
          </w:p>
        </w:tc>
        <w:tc>
          <w:tcPr>
            <w:tcW w:w="1474" w:type="dxa"/>
            <w:vAlign w:val="center"/>
          </w:tcPr>
          <w:p>
            <w:pPr>
              <w:pStyle w:val="13"/>
            </w:pPr>
            <w:r>
              <w:t>3</w:t>
            </w:r>
            <w:r>
              <w:rPr>
                <w:rFonts w:hint="eastAsia"/>
                <w:lang w:val="en-US" w:eastAsia="zh-CN"/>
              </w:rPr>
              <w:t>084</w:t>
            </w:r>
            <w:r>
              <w:t>.89</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194002沙河市市场监督管理局</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rPr>
                <w:rFonts w:hint="default" w:eastAsia="方正书宋_GBK"/>
                <w:lang w:val="en-US" w:eastAsia="zh-CN"/>
              </w:rPr>
            </w:pPr>
            <w:r>
              <w:rPr>
                <w:rFonts w:hint="eastAsia"/>
                <w:lang w:val="en-US" w:eastAsia="zh-CN"/>
              </w:rPr>
              <w:t>3084.89</w:t>
            </w:r>
          </w:p>
        </w:tc>
        <w:tc>
          <w:tcPr>
            <w:tcW w:w="1643" w:type="dxa"/>
            <w:vAlign w:val="center"/>
          </w:tcPr>
          <w:p>
            <w:pPr>
              <w:pStyle w:val="13"/>
            </w:pPr>
            <w:r>
              <w:t>2115.59</w:t>
            </w:r>
          </w:p>
        </w:tc>
        <w:tc>
          <w:tcPr>
            <w:tcW w:w="1643" w:type="dxa"/>
            <w:vAlign w:val="center"/>
          </w:tcPr>
          <w:p>
            <w:pPr>
              <w:pStyle w:val="13"/>
            </w:pPr>
            <w:r>
              <w:rPr>
                <w:rFonts w:hint="eastAsia"/>
                <w:lang w:val="en-US" w:eastAsia="zh-CN"/>
              </w:rPr>
              <w:t>969.</w:t>
            </w: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11"/>
            </w:pPr>
            <w:r>
              <w:t>26</w:t>
            </w:r>
            <w:r>
              <w:rPr>
                <w:rFonts w:hint="eastAsia"/>
                <w:lang w:val="en-US" w:eastAsia="zh-CN"/>
              </w:rPr>
              <w:t>29</w:t>
            </w:r>
            <w:r>
              <w:t>.21</w:t>
            </w:r>
          </w:p>
        </w:tc>
        <w:tc>
          <w:tcPr>
            <w:tcW w:w="1643" w:type="dxa"/>
            <w:vAlign w:val="center"/>
          </w:tcPr>
          <w:p>
            <w:pPr>
              <w:pStyle w:val="11"/>
            </w:pPr>
            <w:r>
              <w:t>1659.91</w:t>
            </w:r>
          </w:p>
        </w:tc>
        <w:tc>
          <w:tcPr>
            <w:tcW w:w="1643" w:type="dxa"/>
            <w:vAlign w:val="center"/>
          </w:tcPr>
          <w:p>
            <w:pPr>
              <w:pStyle w:val="11"/>
            </w:pPr>
            <w:r>
              <w:rPr>
                <w:rFonts w:hint="eastAsia"/>
                <w:lang w:val="en-US" w:eastAsia="zh-CN"/>
              </w:rPr>
              <w:t>969.3</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20138</w:t>
            </w:r>
          </w:p>
        </w:tc>
        <w:tc>
          <w:tcPr>
            <w:tcW w:w="1643" w:type="dxa"/>
            <w:vAlign w:val="center"/>
          </w:tcPr>
          <w:p>
            <w:pPr>
              <w:pStyle w:val="10"/>
            </w:pPr>
            <w:r>
              <w:t>市场监督管理事务</w:t>
            </w:r>
          </w:p>
        </w:tc>
        <w:tc>
          <w:tcPr>
            <w:tcW w:w="1643" w:type="dxa"/>
            <w:vAlign w:val="center"/>
          </w:tcPr>
          <w:p>
            <w:pPr>
              <w:pStyle w:val="11"/>
            </w:pPr>
            <w:r>
              <w:t>26</w:t>
            </w:r>
            <w:r>
              <w:rPr>
                <w:rFonts w:hint="eastAsia"/>
                <w:lang w:val="en-US" w:eastAsia="zh-CN"/>
              </w:rPr>
              <w:t>29</w:t>
            </w:r>
            <w:r>
              <w:t>.21</w:t>
            </w:r>
          </w:p>
        </w:tc>
        <w:tc>
          <w:tcPr>
            <w:tcW w:w="1643" w:type="dxa"/>
            <w:vAlign w:val="center"/>
          </w:tcPr>
          <w:p>
            <w:pPr>
              <w:pStyle w:val="11"/>
            </w:pPr>
            <w:r>
              <w:t>1659.91</w:t>
            </w:r>
          </w:p>
        </w:tc>
        <w:tc>
          <w:tcPr>
            <w:tcW w:w="1643" w:type="dxa"/>
            <w:vAlign w:val="center"/>
          </w:tcPr>
          <w:p>
            <w:pPr>
              <w:pStyle w:val="11"/>
            </w:pPr>
            <w:r>
              <w:rPr>
                <w:rFonts w:hint="eastAsia"/>
                <w:lang w:val="en-US" w:eastAsia="zh-CN"/>
              </w:rPr>
              <w:t>969.</w:t>
            </w: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2013801</w:t>
            </w:r>
          </w:p>
        </w:tc>
        <w:tc>
          <w:tcPr>
            <w:tcW w:w="1643" w:type="dxa"/>
            <w:vAlign w:val="center"/>
          </w:tcPr>
          <w:p>
            <w:pPr>
              <w:pStyle w:val="10"/>
            </w:pPr>
            <w:r>
              <w:t>行政运行</w:t>
            </w:r>
          </w:p>
        </w:tc>
        <w:tc>
          <w:tcPr>
            <w:tcW w:w="1643" w:type="dxa"/>
            <w:vAlign w:val="center"/>
          </w:tcPr>
          <w:p>
            <w:pPr>
              <w:pStyle w:val="11"/>
            </w:pPr>
            <w:r>
              <w:t>1845.46</w:t>
            </w:r>
          </w:p>
        </w:tc>
        <w:tc>
          <w:tcPr>
            <w:tcW w:w="1643" w:type="dxa"/>
            <w:vAlign w:val="center"/>
          </w:tcPr>
          <w:p>
            <w:pPr>
              <w:pStyle w:val="11"/>
            </w:pPr>
            <w:r>
              <w:t>1659.91</w:t>
            </w:r>
          </w:p>
        </w:tc>
        <w:tc>
          <w:tcPr>
            <w:tcW w:w="1643" w:type="dxa"/>
            <w:vAlign w:val="center"/>
          </w:tcPr>
          <w:p>
            <w:pPr>
              <w:pStyle w:val="11"/>
            </w:pPr>
            <w:r>
              <w:t>185.55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rPr>
                <w:rFonts w:hint="eastAsia"/>
                <w:lang w:val="en-US" w:eastAsia="zh-CN"/>
              </w:rPr>
              <w:t>5</w:t>
            </w:r>
          </w:p>
        </w:tc>
        <w:tc>
          <w:tcPr>
            <w:tcW w:w="1643" w:type="dxa"/>
            <w:vAlign w:val="center"/>
          </w:tcPr>
          <w:p>
            <w:pPr>
              <w:pStyle w:val="10"/>
            </w:pPr>
            <w:r>
              <w:t>2013815</w:t>
            </w:r>
          </w:p>
        </w:tc>
        <w:tc>
          <w:tcPr>
            <w:tcW w:w="1643" w:type="dxa"/>
            <w:vAlign w:val="center"/>
          </w:tcPr>
          <w:p>
            <w:pPr>
              <w:pStyle w:val="10"/>
            </w:pPr>
            <w:r>
              <w:t>质量安全监管</w:t>
            </w:r>
          </w:p>
        </w:tc>
        <w:tc>
          <w:tcPr>
            <w:tcW w:w="1643" w:type="dxa"/>
            <w:vAlign w:val="center"/>
          </w:tcPr>
          <w:p>
            <w:pPr>
              <w:pStyle w:val="11"/>
            </w:pPr>
            <w:r>
              <w:t>182.41</w:t>
            </w:r>
          </w:p>
        </w:tc>
        <w:tc>
          <w:tcPr>
            <w:tcW w:w="1643" w:type="dxa"/>
            <w:vAlign w:val="center"/>
          </w:tcPr>
          <w:p>
            <w:pPr>
              <w:pStyle w:val="11"/>
            </w:pPr>
          </w:p>
        </w:tc>
        <w:tc>
          <w:tcPr>
            <w:tcW w:w="1643" w:type="dxa"/>
            <w:vAlign w:val="center"/>
          </w:tcPr>
          <w:p>
            <w:pPr>
              <w:pStyle w:val="11"/>
            </w:pPr>
            <w:r>
              <w:t>182.41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rPr>
                <w:rFonts w:hint="eastAsia"/>
                <w:lang w:val="en-US" w:eastAsia="zh-CN"/>
              </w:rPr>
              <w:t>6</w:t>
            </w:r>
          </w:p>
        </w:tc>
        <w:tc>
          <w:tcPr>
            <w:tcW w:w="1643" w:type="dxa"/>
            <w:vAlign w:val="center"/>
          </w:tcPr>
          <w:p>
            <w:pPr>
              <w:pStyle w:val="10"/>
            </w:pPr>
            <w:r>
              <w:t>2013816</w:t>
            </w:r>
          </w:p>
        </w:tc>
        <w:tc>
          <w:tcPr>
            <w:tcW w:w="1643" w:type="dxa"/>
            <w:vAlign w:val="center"/>
          </w:tcPr>
          <w:p>
            <w:pPr>
              <w:pStyle w:val="10"/>
            </w:pPr>
            <w:r>
              <w:t>食品安全监管</w:t>
            </w:r>
          </w:p>
        </w:tc>
        <w:tc>
          <w:tcPr>
            <w:tcW w:w="1643" w:type="dxa"/>
            <w:vAlign w:val="center"/>
          </w:tcPr>
          <w:p>
            <w:pPr>
              <w:pStyle w:val="11"/>
            </w:pPr>
            <w:r>
              <w:t>194.90</w:t>
            </w:r>
          </w:p>
        </w:tc>
        <w:tc>
          <w:tcPr>
            <w:tcW w:w="1643" w:type="dxa"/>
            <w:vAlign w:val="center"/>
          </w:tcPr>
          <w:p>
            <w:pPr>
              <w:pStyle w:val="11"/>
            </w:pPr>
          </w:p>
        </w:tc>
        <w:tc>
          <w:tcPr>
            <w:tcW w:w="1643" w:type="dxa"/>
            <w:vAlign w:val="center"/>
          </w:tcPr>
          <w:p>
            <w:pPr>
              <w:pStyle w:val="11"/>
            </w:pPr>
            <w:r>
              <w:t>194.90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rPr>
                <w:rFonts w:hint="eastAsia"/>
                <w:lang w:val="en-US" w:eastAsia="zh-CN"/>
              </w:rPr>
              <w:t>7</w:t>
            </w:r>
          </w:p>
        </w:tc>
        <w:tc>
          <w:tcPr>
            <w:tcW w:w="1643" w:type="dxa"/>
            <w:vAlign w:val="center"/>
          </w:tcPr>
          <w:p>
            <w:pPr>
              <w:pStyle w:val="10"/>
            </w:pPr>
            <w:r>
              <w:t>2013899</w:t>
            </w:r>
          </w:p>
        </w:tc>
        <w:tc>
          <w:tcPr>
            <w:tcW w:w="1643" w:type="dxa"/>
            <w:vAlign w:val="center"/>
          </w:tcPr>
          <w:p>
            <w:pPr>
              <w:pStyle w:val="10"/>
            </w:pPr>
            <w:r>
              <w:t>其他市场监督管理事务</w:t>
            </w:r>
          </w:p>
        </w:tc>
        <w:tc>
          <w:tcPr>
            <w:tcW w:w="1643" w:type="dxa"/>
            <w:vAlign w:val="center"/>
          </w:tcPr>
          <w:p>
            <w:pPr>
              <w:pStyle w:val="11"/>
            </w:pPr>
            <w:r>
              <w:t>406.44</w:t>
            </w:r>
          </w:p>
        </w:tc>
        <w:tc>
          <w:tcPr>
            <w:tcW w:w="1643" w:type="dxa"/>
            <w:vAlign w:val="center"/>
          </w:tcPr>
          <w:p>
            <w:pPr>
              <w:pStyle w:val="11"/>
            </w:pPr>
          </w:p>
        </w:tc>
        <w:tc>
          <w:tcPr>
            <w:tcW w:w="1643" w:type="dxa"/>
            <w:vAlign w:val="center"/>
          </w:tcPr>
          <w:p>
            <w:pPr>
              <w:pStyle w:val="11"/>
            </w:pPr>
            <w:r>
              <w:t>406.44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rPr>
                <w:rFonts w:hint="eastAsia"/>
                <w:lang w:val="en-US" w:eastAsia="zh-CN"/>
              </w:rPr>
              <w:t>8</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255.80</w:t>
            </w:r>
          </w:p>
        </w:tc>
        <w:tc>
          <w:tcPr>
            <w:tcW w:w="1643" w:type="dxa"/>
            <w:vAlign w:val="center"/>
          </w:tcPr>
          <w:p>
            <w:pPr>
              <w:pStyle w:val="11"/>
            </w:pPr>
            <w:r>
              <w:t>255.80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rPr>
                <w:rFonts w:hint="eastAsia"/>
                <w:lang w:val="en-US" w:eastAsia="zh-CN"/>
              </w:rPr>
              <w:t>9</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255.80</w:t>
            </w:r>
          </w:p>
        </w:tc>
        <w:tc>
          <w:tcPr>
            <w:tcW w:w="1643" w:type="dxa"/>
            <w:vAlign w:val="center"/>
          </w:tcPr>
          <w:p>
            <w:pPr>
              <w:pStyle w:val="11"/>
            </w:pPr>
            <w:r>
              <w:t>255.80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t>1</w:t>
            </w:r>
            <w:r>
              <w:rPr>
                <w:rFonts w:hint="eastAsia"/>
                <w:lang w:val="en-US" w:eastAsia="zh-CN"/>
              </w:rPr>
              <w:t>0</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255.80</w:t>
            </w:r>
          </w:p>
        </w:tc>
        <w:tc>
          <w:tcPr>
            <w:tcW w:w="1643" w:type="dxa"/>
            <w:vAlign w:val="center"/>
          </w:tcPr>
          <w:p>
            <w:pPr>
              <w:pStyle w:val="11"/>
            </w:pPr>
            <w:r>
              <w:t>255.80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val="en-US" w:eastAsia="zh-CN"/>
              </w:rPr>
            </w:pPr>
            <w:r>
              <w:t>1</w:t>
            </w:r>
            <w:r>
              <w:rPr>
                <w:rFonts w:hint="eastAsia"/>
                <w:lang w:val="en-US" w:eastAsia="zh-CN"/>
              </w:rPr>
              <w:t>1</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199.88</w:t>
            </w:r>
          </w:p>
        </w:tc>
        <w:tc>
          <w:tcPr>
            <w:tcW w:w="1643" w:type="dxa"/>
            <w:vAlign w:val="center"/>
          </w:tcPr>
          <w:p>
            <w:pPr>
              <w:pStyle w:val="11"/>
            </w:pPr>
            <w:r>
              <w:t>199.88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t>1</w:t>
            </w:r>
            <w:r>
              <w:rPr>
                <w:rFonts w:hint="eastAsia"/>
                <w:lang w:val="en-US" w:eastAsia="zh-CN"/>
              </w:rPr>
              <w:t>2</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199.88</w:t>
            </w:r>
          </w:p>
        </w:tc>
        <w:tc>
          <w:tcPr>
            <w:tcW w:w="1643" w:type="dxa"/>
            <w:vAlign w:val="center"/>
          </w:tcPr>
          <w:p>
            <w:pPr>
              <w:pStyle w:val="11"/>
            </w:pPr>
            <w:r>
              <w:t>199.88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t>1</w:t>
            </w:r>
            <w:r>
              <w:rPr>
                <w:rFonts w:hint="eastAsia"/>
                <w:lang w:val="en-US" w:eastAsia="zh-CN"/>
              </w:rPr>
              <w:t>3</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199.88</w:t>
            </w:r>
          </w:p>
        </w:tc>
        <w:tc>
          <w:tcPr>
            <w:tcW w:w="1643" w:type="dxa"/>
            <w:vAlign w:val="center"/>
          </w:tcPr>
          <w:p>
            <w:pPr>
              <w:pStyle w:val="11"/>
            </w:pPr>
            <w:r>
              <w:t>199.88</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194002沙河市市场监督管理局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2115.59</w:t>
            </w:r>
          </w:p>
        </w:tc>
        <w:tc>
          <w:tcPr>
            <w:tcW w:w="2551" w:type="dxa"/>
            <w:vAlign w:val="center"/>
          </w:tcPr>
          <w:p>
            <w:pPr>
              <w:pStyle w:val="13"/>
            </w:pPr>
            <w:r>
              <w:t>1976.98</w:t>
            </w:r>
          </w:p>
        </w:tc>
        <w:tc>
          <w:tcPr>
            <w:tcW w:w="2551" w:type="dxa"/>
            <w:vAlign w:val="center"/>
          </w:tcPr>
          <w:p>
            <w:pPr>
              <w:pStyle w:val="13"/>
            </w:pPr>
            <w:r>
              <w:t>138.61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1913.92</w:t>
            </w:r>
          </w:p>
        </w:tc>
        <w:tc>
          <w:tcPr>
            <w:tcW w:w="2551" w:type="dxa"/>
            <w:vAlign w:val="center"/>
          </w:tcPr>
          <w:p>
            <w:pPr>
              <w:pStyle w:val="11"/>
            </w:pPr>
            <w:r>
              <w:t>1913.92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650.10</w:t>
            </w:r>
          </w:p>
        </w:tc>
        <w:tc>
          <w:tcPr>
            <w:tcW w:w="2551" w:type="dxa"/>
            <w:vAlign w:val="center"/>
          </w:tcPr>
          <w:p>
            <w:pPr>
              <w:pStyle w:val="11"/>
            </w:pPr>
            <w:r>
              <w:t>650.10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294.68</w:t>
            </w:r>
          </w:p>
        </w:tc>
        <w:tc>
          <w:tcPr>
            <w:tcW w:w="2551" w:type="dxa"/>
            <w:vAlign w:val="center"/>
          </w:tcPr>
          <w:p>
            <w:pPr>
              <w:pStyle w:val="11"/>
            </w:pPr>
            <w:r>
              <w:t>294.68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380.30</w:t>
            </w:r>
          </w:p>
        </w:tc>
        <w:tc>
          <w:tcPr>
            <w:tcW w:w="2551" w:type="dxa"/>
            <w:vAlign w:val="center"/>
          </w:tcPr>
          <w:p>
            <w:pPr>
              <w:pStyle w:val="11"/>
            </w:pPr>
            <w:r>
              <w:t>380.30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131.29</w:t>
            </w:r>
          </w:p>
        </w:tc>
        <w:tc>
          <w:tcPr>
            <w:tcW w:w="2551" w:type="dxa"/>
            <w:vAlign w:val="center"/>
          </w:tcPr>
          <w:p>
            <w:pPr>
              <w:pStyle w:val="11"/>
            </w:pPr>
            <w:r>
              <w:t>131.29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255.80</w:t>
            </w:r>
          </w:p>
        </w:tc>
        <w:tc>
          <w:tcPr>
            <w:tcW w:w="2551" w:type="dxa"/>
            <w:vAlign w:val="center"/>
          </w:tcPr>
          <w:p>
            <w:pPr>
              <w:pStyle w:val="11"/>
            </w:pPr>
            <w:r>
              <w:t>255.80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199.88</w:t>
            </w:r>
          </w:p>
        </w:tc>
        <w:tc>
          <w:tcPr>
            <w:tcW w:w="2551" w:type="dxa"/>
            <w:vAlign w:val="center"/>
          </w:tcPr>
          <w:p>
            <w:pPr>
              <w:pStyle w:val="11"/>
            </w:pPr>
            <w:r>
              <w:t>199.88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1.87</w:t>
            </w:r>
          </w:p>
        </w:tc>
        <w:tc>
          <w:tcPr>
            <w:tcW w:w="2551" w:type="dxa"/>
            <w:vAlign w:val="center"/>
          </w:tcPr>
          <w:p>
            <w:pPr>
              <w:pStyle w:val="11"/>
            </w:pPr>
            <w:r>
              <w:t>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138.61</w:t>
            </w:r>
          </w:p>
        </w:tc>
        <w:tc>
          <w:tcPr>
            <w:tcW w:w="2551" w:type="dxa"/>
            <w:vAlign w:val="center"/>
          </w:tcPr>
          <w:p>
            <w:pPr>
              <w:pStyle w:val="11"/>
            </w:pPr>
          </w:p>
        </w:tc>
        <w:tc>
          <w:tcPr>
            <w:tcW w:w="2551" w:type="dxa"/>
            <w:vAlign w:val="center"/>
          </w:tcPr>
          <w:p>
            <w:pPr>
              <w:pStyle w:val="11"/>
            </w:pPr>
            <w:r>
              <w:t>138.61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13.12</w:t>
            </w:r>
          </w:p>
        </w:tc>
        <w:tc>
          <w:tcPr>
            <w:tcW w:w="2551" w:type="dxa"/>
            <w:vAlign w:val="center"/>
          </w:tcPr>
          <w:p>
            <w:pPr>
              <w:pStyle w:val="11"/>
            </w:pPr>
          </w:p>
        </w:tc>
        <w:tc>
          <w:tcPr>
            <w:tcW w:w="2551" w:type="dxa"/>
            <w:vAlign w:val="center"/>
          </w:tcPr>
          <w:p>
            <w:pPr>
              <w:pStyle w:val="11"/>
            </w:pPr>
            <w:r>
              <w:t>13.12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28.44</w:t>
            </w:r>
          </w:p>
        </w:tc>
        <w:tc>
          <w:tcPr>
            <w:tcW w:w="2551" w:type="dxa"/>
            <w:vAlign w:val="center"/>
          </w:tcPr>
          <w:p>
            <w:pPr>
              <w:pStyle w:val="11"/>
            </w:pPr>
          </w:p>
        </w:tc>
        <w:tc>
          <w:tcPr>
            <w:tcW w:w="2551" w:type="dxa"/>
            <w:vAlign w:val="center"/>
          </w:tcPr>
          <w:p>
            <w:pPr>
              <w:pStyle w:val="11"/>
            </w:pPr>
            <w:r>
              <w:t>28.44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16.25</w:t>
            </w:r>
          </w:p>
        </w:tc>
        <w:tc>
          <w:tcPr>
            <w:tcW w:w="2551" w:type="dxa"/>
            <w:vAlign w:val="center"/>
          </w:tcPr>
          <w:p>
            <w:pPr>
              <w:pStyle w:val="11"/>
            </w:pPr>
          </w:p>
        </w:tc>
        <w:tc>
          <w:tcPr>
            <w:tcW w:w="2551" w:type="dxa"/>
            <w:vAlign w:val="center"/>
          </w:tcPr>
          <w:p>
            <w:pPr>
              <w:pStyle w:val="11"/>
            </w:pPr>
            <w:r>
              <w:t>16.25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67.80</w:t>
            </w:r>
          </w:p>
        </w:tc>
        <w:tc>
          <w:tcPr>
            <w:tcW w:w="2551" w:type="dxa"/>
            <w:vAlign w:val="center"/>
          </w:tcPr>
          <w:p>
            <w:pPr>
              <w:pStyle w:val="11"/>
            </w:pPr>
          </w:p>
        </w:tc>
        <w:tc>
          <w:tcPr>
            <w:tcW w:w="2551" w:type="dxa"/>
            <w:vAlign w:val="center"/>
          </w:tcPr>
          <w:p>
            <w:pPr>
              <w:pStyle w:val="11"/>
            </w:pPr>
            <w:r>
              <w:t>67.80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63.06</w:t>
            </w:r>
          </w:p>
        </w:tc>
        <w:tc>
          <w:tcPr>
            <w:tcW w:w="2551" w:type="dxa"/>
            <w:vAlign w:val="center"/>
          </w:tcPr>
          <w:p>
            <w:pPr>
              <w:pStyle w:val="11"/>
            </w:pPr>
            <w:r>
              <w:t>63.06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3.37</w:t>
            </w:r>
          </w:p>
        </w:tc>
        <w:tc>
          <w:tcPr>
            <w:tcW w:w="2551" w:type="dxa"/>
            <w:vAlign w:val="center"/>
          </w:tcPr>
          <w:p>
            <w:pPr>
              <w:pStyle w:val="11"/>
            </w:pPr>
            <w:r>
              <w:t>3.37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11.76</w:t>
            </w:r>
          </w:p>
        </w:tc>
        <w:tc>
          <w:tcPr>
            <w:tcW w:w="2551" w:type="dxa"/>
            <w:vAlign w:val="center"/>
          </w:tcPr>
          <w:p>
            <w:pPr>
              <w:pStyle w:val="11"/>
            </w:pPr>
            <w:r>
              <w:t>11.76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30399</w:t>
            </w:r>
          </w:p>
        </w:tc>
        <w:tc>
          <w:tcPr>
            <w:tcW w:w="4535" w:type="dxa"/>
            <w:vAlign w:val="center"/>
          </w:tcPr>
          <w:p>
            <w:pPr>
              <w:pStyle w:val="10"/>
            </w:pPr>
            <w:r>
              <w:t>其他对个人和家庭的补助</w:t>
            </w:r>
          </w:p>
        </w:tc>
        <w:tc>
          <w:tcPr>
            <w:tcW w:w="2551" w:type="dxa"/>
            <w:vAlign w:val="center"/>
          </w:tcPr>
          <w:p>
            <w:pPr>
              <w:pStyle w:val="11"/>
            </w:pPr>
            <w:r>
              <w:t>47.93</w:t>
            </w:r>
          </w:p>
        </w:tc>
        <w:tc>
          <w:tcPr>
            <w:tcW w:w="2551" w:type="dxa"/>
            <w:vAlign w:val="center"/>
          </w:tcPr>
          <w:p>
            <w:pPr>
              <w:pStyle w:val="11"/>
            </w:pPr>
            <w:r>
              <w:t>47.93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194002沙河市市场监督管理局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194002沙河市市场监督管理局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194002沙河市市场监督管理局</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10</w:t>
            </w:r>
          </w:p>
        </w:tc>
        <w:tc>
          <w:tcPr>
            <w:tcW w:w="3798" w:type="dxa"/>
            <w:vAlign w:val="center"/>
          </w:tcPr>
          <w:p>
            <w:pPr>
              <w:pStyle w:val="10"/>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CellMar>
            <w:top w:w="0" w:type="dxa"/>
            <w:left w:w="108" w:type="dxa"/>
            <w:bottom w:w="0" w:type="dxa"/>
            <w:right w:w="108" w:type="dxa"/>
          </w:tblCellMar>
        </w:tblPrEx>
        <w:trPr>
          <w:trHeight w:val="567" w:hRule="atLeast"/>
          <w:jc w:val="center"/>
        </w:trPr>
        <w:tc>
          <w:tcPr>
            <w:tcW w:w="850" w:type="dxa"/>
            <w:vAlign w:val="center"/>
          </w:tcPr>
          <w:p>
            <w:pPr>
              <w:pStyle w:val="9"/>
            </w:pPr>
            <w:r>
              <w:t>11</w:t>
            </w:r>
          </w:p>
        </w:tc>
        <w:tc>
          <w:tcPr>
            <w:tcW w:w="3798" w:type="dxa"/>
            <w:vAlign w:val="center"/>
          </w:tcPr>
          <w:p>
            <w:pPr>
              <w:pStyle w:val="10"/>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rPr>
          <w:rFonts w:hint="eastAsia" w:ascii="仿宋" w:hAnsi="仿宋" w:eastAsia="仿宋" w:cs="仿宋"/>
          <w:sz w:val="28"/>
          <w:szCs w:val="28"/>
          <w:lang w:eastAsia="zh-CN"/>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沙河市市场监督管理局2022年单位预算信息公开情况说明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》、《地方预决算公开操作规程》和《关于进一步推进预算公开工作的实施意见》规定，现将沙河市市场监督管理局2022年单位预算公开如下：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3"/>
      </w:pPr>
      <w:r>
        <w:t>负责全市市场综合监督管理。制定全市市场监督管理有关政策、标准，组织实施质量强市战略、食品安全战略、标准化战略、知识产权战略，拟订并组织实施有关规划，规范和维护市场秩序，营造诚实守信、公平竞争的市场环境。</w:t>
      </w:r>
    </w:p>
    <w:p>
      <w:pPr>
        <w:pStyle w:val="23"/>
      </w:pPr>
      <w:r>
        <w:t>负责实施、指导个体工商户的登记注册工作。建立市场主体信息公示和共享机制，依法公示和共享有关信息，加强信用监管，推动市场主体信用体系建设。</w:t>
      </w:r>
    </w:p>
    <w:p>
      <w:pPr>
        <w:pStyle w:val="23"/>
      </w:pPr>
      <w:r>
        <w:t>负责组织和指导全市市场监管综合执法工作。指导全市市场监管综合执法队伍整合和建设,推动实行统一的市场监管。组织查处重大违法案件。规范市场监管行政执法行为。</w:t>
      </w:r>
    </w:p>
    <w:p>
      <w:pPr>
        <w:pStyle w:val="23"/>
      </w:pPr>
      <w:r>
        <w:t>负责反垄断统一执法。组织推进竞争政策实施，指导实施公平竞争审查制度。依职责负责</w:t>
      </w:r>
      <w:r>
        <w:rPr>
          <w:rFonts w:hint="eastAsia"/>
          <w:lang w:val="en-US" w:eastAsia="zh-CN"/>
        </w:rPr>
        <w:t>反</w:t>
      </w:r>
      <w:r>
        <w:t>垄断协议、滥用市场支配地位、经营者违法实施集中和滥用行政权力排除、限制竞争等反垄断执法相关工作。指导企业在国外的反垄断应诉工作。</w:t>
      </w:r>
    </w:p>
    <w:p>
      <w:pPr>
        <w:pStyle w:val="23"/>
      </w:pPr>
      <w:r>
        <w:t>负责监督管理市场秩序。依法监督管理全市市场交易、网络商品交易及有关服务的行为。组织指导查处价格收费违法违规、不正当竞争、违法直销、传销、侵犯商标专利知识产权和制售假冒伪劣行为。指导全市广告业发展，监督管理广告活动。指导查处无照生产经营和相关无证生产经营行为。指导市消费者协会开展消费维权工作。</w:t>
      </w:r>
    </w:p>
    <w:p>
      <w:pPr>
        <w:pStyle w:val="23"/>
      </w:pPr>
      <w:r>
        <w:t>负责全市宏观质量管理。拟订并实施全市</w:t>
      </w:r>
      <w:r>
        <w:rPr>
          <w:rFonts w:hint="eastAsia"/>
          <w:lang w:eastAsia="zh-CN"/>
        </w:rPr>
        <w:t>高质量发展</w:t>
      </w:r>
      <w:r>
        <w:t>的制度措施。统筹全市质量基础设施建设与应用，会同有关部门组织实施重大工程设备质量监理制度，组织重大质量事故调查，协助国家、省、邢台市组织实施缺陷产品召回制度，监督管理产品防伪工作。</w:t>
      </w:r>
    </w:p>
    <w:p>
      <w:pPr>
        <w:pStyle w:val="23"/>
      </w:pPr>
      <w:r>
        <w:t>负责全市产品质量安全监督管理。承担市级产品质量安全风险监控、监督抽查工作。组织实施质量分级制度、质量安全追溯制度。会同有关部门实施工业产品许可管理。负责纤维质量监督工作。</w:t>
      </w:r>
    </w:p>
    <w:p>
      <w:pPr>
        <w:pStyle w:val="23"/>
      </w:pPr>
      <w:r>
        <w:t>负责全市特种设备安全监督管理。综合管理特种设备安全监察、监督工作，监督检查高耗能特种设备节能标准和锅炉环境保护标准的执行情况。</w:t>
      </w:r>
    </w:p>
    <w:p>
      <w:pPr>
        <w:pStyle w:val="23"/>
      </w:pPr>
      <w:r>
        <w:t>负责食品安全监督管理综合协调。组织制定全市食品安全重大政策并组织实施。推动健全食品安全地方党政同责和跨部门协调联动机制。负责食品安全应急体系建设，组织指导全市重大食品安全事件应急处置和调查处理工作。建立健全食品安全信息统一公布和重要信息直报制度。承担沙河市食品安全委员会日常工作。</w:t>
      </w:r>
    </w:p>
    <w:p>
      <w:pPr>
        <w:pStyle w:val="23"/>
      </w:pPr>
      <w:r>
        <w:t>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p>
    <w:p>
      <w:pPr>
        <w:pStyle w:val="23"/>
      </w:pPr>
      <w:r>
        <w:t>负责药品（含中药、民族药，下同）、医疗器械和化妆品安全监督管理。贯彻执行国家、省药品、医疗器械和化妆品法律法规以及鼓励药品、医疗器械和化妆品新技术新产品的管理与服务政策。</w:t>
      </w:r>
      <w:bookmarkStart w:id="1" w:name="_GoBack"/>
      <w:bookmarkEnd w:id="1"/>
      <w:r>
        <w:rPr>
          <w:rFonts w:hint="eastAsia"/>
          <w:lang w:eastAsia="zh-CN"/>
        </w:rPr>
        <w:t>拟定全市</w:t>
      </w:r>
      <w:r>
        <w:t>监督管理政策规划，组织起草相关措施并组织实施。</w:t>
      </w:r>
    </w:p>
    <w:p>
      <w:pPr>
        <w:pStyle w:val="23"/>
      </w:pPr>
      <w:r>
        <w:t>负责监督实施国家药品、医疗器械、化妆品标准和中药材地方标准，组织落实分类管理制度。配合实施国家基本药物制度。</w:t>
      </w:r>
    </w:p>
    <w:p>
      <w:pPr>
        <w:pStyle w:val="23"/>
      </w:pPr>
      <w:r>
        <w:t>负责药品、医疗器械和化妆品质量管理。依职责监督和指导实施经营、使用质量管理规范。依职责组织实施中药品种保护制度。</w:t>
      </w:r>
    </w:p>
    <w:p>
      <w:pPr>
        <w:pStyle w:val="23"/>
      </w:pPr>
      <w:r>
        <w:t>负责药品、医疗器械和化妆品上市后风险管理。建立健全全市药品不良反应、医疗器械不良事件、化妆品不良反应和药物滥用监测体系，并开展监测、评价和处置工作。依法承担药品、医疗器械和化妆品安全应急管理工作。</w:t>
      </w:r>
    </w:p>
    <w:p>
      <w:pPr>
        <w:pStyle w:val="23"/>
      </w:pPr>
      <w:r>
        <w:t>负责组织指导药品、医疗器械和化妆品监督检查。贯彻落实国家、省、</w:t>
      </w:r>
      <w:r>
        <w:rPr>
          <w:rFonts w:hint="eastAsia"/>
          <w:lang w:eastAsia="zh-CN"/>
        </w:rPr>
        <w:t>邢台市检察制度</w:t>
      </w:r>
      <w:r>
        <w:t>，依法组织指导查处药品零售、医疗器械经营、化妆品经营和药品、医疗器械使用环节的违法行为，规范行政执法行为。</w:t>
      </w:r>
    </w:p>
    <w:p>
      <w:pPr>
        <w:pStyle w:val="23"/>
      </w:pPr>
      <w:r>
        <w:t>负责统一管理全市计量工作。推行法定计量单位和国家计量制度，管理计量器具及量值传递和比对工作。规范、监督商品量和市场计量行为。</w:t>
      </w:r>
    </w:p>
    <w:p>
      <w:pPr>
        <w:pStyle w:val="23"/>
      </w:pPr>
      <w:r>
        <w:t>负责统一管理全市标准化工作。依法组织制定县级地方标准，宣传贯彻强制性、推荐性国家标准和行业标准、地方标准。依法协调指导和监督团体标准、企业标准制定工作。组织开展标准化国际、区域合作和参与制定、采用国际标准工作。</w:t>
      </w:r>
    </w:p>
    <w:p>
      <w:pPr>
        <w:pStyle w:val="23"/>
      </w:pPr>
      <w:r>
        <w:t>负责统一管理全市检验检测工作。指导检验检测机构整合和改革，规范检验检测市场，完善检验检测体系，指导协调检验检测行业发展。</w:t>
      </w:r>
    </w:p>
    <w:p>
      <w:pPr>
        <w:pStyle w:val="23"/>
      </w:pPr>
      <w:r>
        <w:t>负责统一管理、监督和协调全市认证认可工作。组织贯彻实施国家统一的认证认可和合格评定监督管理制度。</w:t>
      </w:r>
    </w:p>
    <w:p>
      <w:pPr>
        <w:pStyle w:val="23"/>
      </w:pPr>
      <w:r>
        <w:t>负责推进全市知识产权管理工作。拟订加强知识产权强市建设的政策措施和发展规划。拟订和实施强化知识产权创造、保护和运用的政策和制度。</w:t>
      </w:r>
    </w:p>
    <w:p>
      <w:pPr>
        <w:pStyle w:val="23"/>
      </w:pPr>
      <w:r>
        <w:t>负责保护知识产权。组织起草严格保护商标、专利、原产地地理标志、集成电路布图设计等知识产权相关政策措施并监督实施。按照国家和省、邢台市知识产权保护体系建设方案，推动建设知识产权保护体系。负责组织指导商标、专利执法工作，依职责做好知识产权争议处理、维权援助和纠纷调处。积极参与京津冀知识产权执法协作工作。</w:t>
      </w:r>
    </w:p>
    <w:p>
      <w:pPr>
        <w:pStyle w:val="23"/>
      </w:pPr>
      <w:r>
        <w:t>负责促进知识产权运用。拟订知识产权运用和规范交易的政策，促进知识产权转移转化。规范知识产权无形资产评估工作。制定实施知识产权中介服务发展与监管的政策措施。</w:t>
      </w:r>
    </w:p>
    <w:p>
      <w:pPr>
        <w:pStyle w:val="23"/>
      </w:pPr>
      <w:r>
        <w:t>负责建立知识产权公共服务体系。建设便企利民、互联互通的全市知识产权信息公共服务平台，推动商标、专利等知识产权信息的传播利用。指导辖区专利信息服务工作。组织实施原产地地理标志统一认定制度。</w:t>
      </w:r>
    </w:p>
    <w:p>
      <w:pPr>
        <w:pStyle w:val="23"/>
      </w:pPr>
      <w:r>
        <w:t>负责全市市场监督管理科技和信息化建设、新闻宣传、教育培训、对外交流与合作。按规定承担技术性贸易措施有关工作。负责统筹协调涉外知识产权事宜，承担知识产权对外转让相关工作。推进全市药品、医疗器械和化妆品安全监管信息化建设。负责制定药品、医疗器械和化妆品的安全科技发展规划并组织实施，推动检验检测体系、电子监管追溯体系和信息化建设。完善全市药品、医疗器械和化妆品安全信息统一公布制度和重大信息直报制度，依职责公布重大安全信息。推进诚信体系建设。</w:t>
      </w:r>
    </w:p>
    <w:p>
      <w:pPr>
        <w:pStyle w:val="23"/>
      </w:pPr>
      <w:r>
        <w:t>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沙河市市场监督管理局</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4"/>
      </w:pPr>
      <w:r>
        <w:t>按照预算管理有关规定，目前我局部门预算的编制实行综合预算制度，即全部收入和支出都反映预算中。邢台市财政局机关及所属事业单位的收支包含在部门预算中。</w:t>
      </w:r>
    </w:p>
    <w:p>
      <w:pPr>
        <w:pStyle w:val="24"/>
      </w:pPr>
      <w:r>
        <w:t>1、收入说明</w:t>
      </w:r>
    </w:p>
    <w:p>
      <w:pPr>
        <w:pStyle w:val="24"/>
      </w:pPr>
      <w:r>
        <w:t>反映本部门当年全部收入，2022年财政拨款预算收入3084.89万元。</w:t>
      </w:r>
    </w:p>
    <w:p>
      <w:pPr>
        <w:pStyle w:val="24"/>
      </w:pPr>
      <w:r>
        <w:t>2、支出说明</w:t>
      </w:r>
    </w:p>
    <w:p>
      <w:pPr>
        <w:pStyle w:val="24"/>
      </w:pPr>
      <w:r>
        <w:t xml:space="preserve">收支预算总表支出栏、基本支出表、项目支出表按经济分类和支出功能分类科目编制，反映沙河市市场监督管理局年度部门预算中支出预算的总体情况。2022年支出预算3084.89万元，其中基本支出2301.14万元，包括人员经费2162.53万元和日常公用经费138.61万元；项目支出783.75万元，包括零成本注册经费、食品药品检测经费、产品质量技术监督经费、产品质量监督抽查及计量检测经费、创建食品安全示范城市工作经费、食品药品安全协管员经费、产品质量技术监督经费、市场监管经费、食品药品监管经费、油烟在线监测平台运行维护费。 </w:t>
      </w:r>
    </w:p>
    <w:p>
      <w:pPr>
        <w:pStyle w:val="24"/>
      </w:pPr>
      <w:r>
        <w:t>3、比上年增减情况</w:t>
      </w:r>
    </w:p>
    <w:p>
      <w:pPr>
        <w:pStyle w:val="24"/>
      </w:pPr>
      <w:r>
        <w:t>2022年预算收支安排3084.89万元，较2021年3025.12万元预算增加59.77万元，其中：基本支出增加211.78万元，主要为增加人员经费支出211.78万元；项目支出减少152.01万元，主要为2022年零成本注册经费减少3.24万元、食品药品检测经费减少24万元、产品质量技术监督经费减少1.82万元、产品质量监督抽查及计量检测经费减少24万元、创建食品安全示范城市工作经费减少8.1万元、市场监督管理经费减少140万元，新增制式服装及标志经费49.15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5"/>
      </w:pPr>
      <w:r>
        <w:t>2022年，机关运行经费安排138.61万元，主要用于机关正常运转的水电费、电话通讯费、办公用房物业管理费、办公用房维修维护等日常运行支出。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240" w:lineRule="auto"/>
        <w:ind w:firstLine="560" w:firstLineChars="200"/>
        <w:jc w:val="both"/>
        <w:outlineLvl w:val="0"/>
        <w:rPr>
          <w:rFonts w:hint="default" w:eastAsia="方正书宋_GBK"/>
          <w:lang w:val="en-US" w:eastAsia="zh-CN"/>
        </w:rPr>
        <w:sectPr>
          <w:pgSz w:w="16840" w:h="11900" w:orient="landscape"/>
          <w:pgMar w:top="1361" w:right="1020" w:bottom="1361" w:left="1020" w:header="720" w:footer="720" w:gutter="0"/>
          <w:cols w:space="720" w:num="1"/>
        </w:sectPr>
      </w:pPr>
      <w:r>
        <w:rPr>
          <w:rFonts w:hint="eastAsia" w:eastAsia="方正仿宋_GBK" w:cs="Times New Roman"/>
          <w:b w:val="0"/>
          <w:color w:val="000000"/>
          <w:sz w:val="28"/>
          <w:lang w:val="en-US" w:eastAsia="zh-CN"/>
        </w:rPr>
        <w:t>2022年，我部门“三公”经费预算安排34万元，其中因公出国（境）费0元；公务用车购置及运维费30万元（公务用车购置费0元，公务用车运维费30万元）；公务接待费4万元。与去年对比 整体减少30万元整：1.公务用车运行维护费0元，因公车改革将其车辆移交机关事务管理局，公务用车运行维护</w:t>
      </w:r>
      <w:r>
        <w:rPr>
          <w:rFonts w:hint="eastAsia" w:ascii="Times New Roman" w:hAnsi="Times New Roman" w:eastAsia="方正仿宋_GBK" w:cs="Times New Roman"/>
          <w:b w:val="0"/>
          <w:color w:val="000000"/>
          <w:sz w:val="28"/>
          <w:lang w:val="en-US" w:eastAsia="zh-CN"/>
        </w:rPr>
        <w:t>费</w:t>
      </w:r>
      <w:r>
        <w:rPr>
          <w:rFonts w:hint="eastAsia" w:eastAsia="方正仿宋_GBK" w:cs="Times New Roman"/>
          <w:b w:val="0"/>
          <w:color w:val="000000"/>
          <w:sz w:val="28"/>
          <w:lang w:val="en-US" w:eastAsia="zh-CN"/>
        </w:rPr>
        <w:t>30万元</w:t>
      </w:r>
      <w:r>
        <w:rPr>
          <w:rFonts w:hint="eastAsia" w:ascii="Times New Roman" w:hAnsi="Times New Roman" w:eastAsia="方正仿宋_GBK" w:cs="Times New Roman"/>
          <w:b w:val="0"/>
          <w:color w:val="000000"/>
          <w:sz w:val="28"/>
          <w:lang w:val="en-US" w:eastAsia="zh-CN"/>
        </w:rPr>
        <w:t>全部划转机关事务管理局。</w:t>
      </w:r>
      <w:r>
        <w:rPr>
          <w:rFonts w:hint="eastAsia"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lang w:val="en-US" w:eastAsia="zh-CN"/>
        </w:rPr>
        <w:t>公务接待费</w:t>
      </w:r>
      <w:r>
        <w:rPr>
          <w:rFonts w:hint="eastAsia" w:eastAsia="方正仿宋_GBK" w:cs="Times New Roman"/>
          <w:b w:val="0"/>
          <w:color w:val="000000"/>
          <w:sz w:val="28"/>
          <w:lang w:val="en-US" w:eastAsia="zh-CN"/>
        </w:rPr>
        <w:t>4万元</w:t>
      </w:r>
      <w:r>
        <w:rPr>
          <w:rFonts w:hint="eastAsia" w:ascii="Times New Roman" w:hAnsi="Times New Roman" w:eastAsia="方正仿宋_GBK" w:cs="Times New Roman"/>
          <w:b w:val="0"/>
          <w:color w:val="000000"/>
          <w:sz w:val="28"/>
          <w:lang w:val="en-US" w:eastAsia="zh-CN"/>
        </w:rPr>
        <w:t>与去年持平</w:t>
      </w:r>
      <w:r>
        <w:rPr>
          <w:rFonts w:hint="eastAsia" w:eastAsia="方正仿宋_GBK" w:cs="Times New Roman"/>
          <w:b w:val="0"/>
          <w:color w:val="000000"/>
          <w:sz w:val="28"/>
          <w:lang w:val="en-US" w:eastAsia="zh-CN"/>
        </w:rPr>
        <w:t>。</w:t>
      </w:r>
    </w:p>
    <w:p>
      <w:pPr>
        <w:pStyle w:val="26"/>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发放工资人数</w:t>
            </w:r>
          </w:p>
        </w:tc>
        <w:tc>
          <w:tcPr>
            <w:tcW w:w="2835" w:type="dxa"/>
            <w:vAlign w:val="center"/>
          </w:tcPr>
          <w:p>
            <w:pPr>
              <w:pStyle w:val="10"/>
            </w:pPr>
            <w:r>
              <w:t>补助人员人数</w:t>
            </w:r>
          </w:p>
        </w:tc>
        <w:tc>
          <w:tcPr>
            <w:tcW w:w="2551" w:type="dxa"/>
            <w:vAlign w:val="center"/>
          </w:tcPr>
          <w:p>
            <w:pPr>
              <w:pStyle w:val="10"/>
            </w:pPr>
            <w:r>
              <w:t>≥22人</w:t>
            </w:r>
          </w:p>
        </w:tc>
        <w:tc>
          <w:tcPr>
            <w:tcW w:w="2268" w:type="dxa"/>
            <w:vAlign w:val="center"/>
          </w:tcPr>
          <w:p>
            <w:pPr>
              <w:pStyle w:val="10"/>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在职人员控制率</w:t>
            </w:r>
          </w:p>
        </w:tc>
        <w:tc>
          <w:tcPr>
            <w:tcW w:w="2835" w:type="dxa"/>
            <w:vAlign w:val="center"/>
          </w:tcPr>
          <w:p>
            <w:pPr>
              <w:pStyle w:val="10"/>
            </w:pPr>
            <w:r>
              <w:t>本年度实际在职人员数与编制数的比率</w:t>
            </w:r>
          </w:p>
        </w:tc>
        <w:tc>
          <w:tcPr>
            <w:tcW w:w="2551" w:type="dxa"/>
            <w:vAlign w:val="center"/>
          </w:tcPr>
          <w:p>
            <w:pPr>
              <w:pStyle w:val="10"/>
            </w:pPr>
            <w:r>
              <w:t>≤100%</w:t>
            </w:r>
          </w:p>
        </w:tc>
        <w:tc>
          <w:tcPr>
            <w:tcW w:w="2268" w:type="dxa"/>
            <w:vAlign w:val="center"/>
          </w:tcPr>
          <w:p>
            <w:pPr>
              <w:pStyle w:val="10"/>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工资成本</w:t>
            </w:r>
          </w:p>
        </w:tc>
        <w:tc>
          <w:tcPr>
            <w:tcW w:w="2835" w:type="dxa"/>
            <w:vAlign w:val="center"/>
          </w:tcPr>
          <w:p>
            <w:pPr>
              <w:pStyle w:val="10"/>
            </w:pPr>
            <w:r>
              <w:t>财政供养人员全年工资总数</w:t>
            </w:r>
          </w:p>
        </w:tc>
        <w:tc>
          <w:tcPr>
            <w:tcW w:w="2551" w:type="dxa"/>
            <w:vAlign w:val="center"/>
          </w:tcPr>
          <w:p>
            <w:pPr>
              <w:pStyle w:val="10"/>
            </w:pPr>
            <w:r>
              <w:t>≤185.55万元</w:t>
            </w:r>
          </w:p>
        </w:tc>
        <w:tc>
          <w:tcPr>
            <w:tcW w:w="2268" w:type="dxa"/>
            <w:vAlign w:val="center"/>
          </w:tcPr>
          <w:p>
            <w:pPr>
              <w:pStyle w:val="10"/>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奖金、津贴发放及时率</w:t>
            </w:r>
          </w:p>
        </w:tc>
        <w:tc>
          <w:tcPr>
            <w:tcW w:w="2835" w:type="dxa"/>
            <w:vAlign w:val="center"/>
          </w:tcPr>
          <w:p>
            <w:pPr>
              <w:pStyle w:val="10"/>
            </w:pPr>
            <w:r>
              <w:t>奖金、津贴发放及时率</w:t>
            </w:r>
          </w:p>
        </w:tc>
        <w:tc>
          <w:tcPr>
            <w:tcW w:w="2551" w:type="dxa"/>
            <w:vAlign w:val="center"/>
          </w:tcPr>
          <w:p>
            <w:pPr>
              <w:pStyle w:val="10"/>
            </w:pPr>
            <w:r>
              <w:t>及时发放</w:t>
            </w:r>
          </w:p>
        </w:tc>
        <w:tc>
          <w:tcPr>
            <w:tcW w:w="2268" w:type="dxa"/>
            <w:vAlign w:val="center"/>
          </w:tcPr>
          <w:p>
            <w:pPr>
              <w:pStyle w:val="10"/>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重点工作完成率</w:t>
            </w:r>
          </w:p>
        </w:tc>
        <w:tc>
          <w:tcPr>
            <w:tcW w:w="2835" w:type="dxa"/>
            <w:vAlign w:val="center"/>
          </w:tcPr>
          <w:p>
            <w:pPr>
              <w:pStyle w:val="10"/>
            </w:pPr>
            <w:r>
              <w:t>实际重点工作完成情况占全年重点工作需完成情况的比率</w:t>
            </w:r>
          </w:p>
        </w:tc>
        <w:tc>
          <w:tcPr>
            <w:tcW w:w="2551" w:type="dxa"/>
            <w:vAlign w:val="center"/>
          </w:tcPr>
          <w:p>
            <w:pPr>
              <w:pStyle w:val="10"/>
            </w:pPr>
            <w:r>
              <w:t>≥90%</w:t>
            </w:r>
          </w:p>
        </w:tc>
        <w:tc>
          <w:tcPr>
            <w:tcW w:w="2268" w:type="dxa"/>
            <w:vAlign w:val="center"/>
          </w:tcPr>
          <w:p>
            <w:pPr>
              <w:pStyle w:val="10"/>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职工满意度</w:t>
            </w:r>
          </w:p>
        </w:tc>
        <w:tc>
          <w:tcPr>
            <w:tcW w:w="2835" w:type="dxa"/>
            <w:vAlign w:val="center"/>
          </w:tcPr>
          <w:p>
            <w:pPr>
              <w:pStyle w:val="10"/>
            </w:pPr>
            <w:r>
              <w:t>满意人数占全部人数的比率</w:t>
            </w:r>
          </w:p>
        </w:tc>
        <w:tc>
          <w:tcPr>
            <w:tcW w:w="2551" w:type="dxa"/>
            <w:vAlign w:val="center"/>
          </w:tcPr>
          <w:p>
            <w:pPr>
              <w:pStyle w:val="10"/>
            </w:pPr>
            <w:r>
              <w:t>≥90%</w:t>
            </w:r>
          </w:p>
        </w:tc>
        <w:tc>
          <w:tcPr>
            <w:tcW w:w="2268" w:type="dxa"/>
            <w:vAlign w:val="center"/>
          </w:tcPr>
          <w:p>
            <w:pPr>
              <w:pStyle w:val="10"/>
            </w:pPr>
            <w:r>
              <w:t>人员编制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2、“零成本”注册经费绩效目标表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新登记注册</w:t>
            </w:r>
          </w:p>
        </w:tc>
        <w:tc>
          <w:tcPr>
            <w:tcW w:w="2835" w:type="dxa"/>
            <w:vAlign w:val="center"/>
          </w:tcPr>
          <w:p>
            <w:pPr>
              <w:pStyle w:val="10"/>
            </w:pPr>
            <w:r>
              <w:t>按照规定新增登记注册民营企业、个体工商户数量减免率（%）</w:t>
            </w:r>
          </w:p>
        </w:tc>
        <w:tc>
          <w:tcPr>
            <w:tcW w:w="2551" w:type="dxa"/>
            <w:vAlign w:val="center"/>
          </w:tcPr>
          <w:p>
            <w:pPr>
              <w:pStyle w:val="10"/>
            </w:pPr>
            <w:r>
              <w:t>≥100%</w:t>
            </w:r>
          </w:p>
        </w:tc>
        <w:tc>
          <w:tcPr>
            <w:tcW w:w="2268" w:type="dxa"/>
            <w:vAlign w:val="center"/>
          </w:tcPr>
          <w:p>
            <w:pPr>
              <w:pStyle w:val="10"/>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变更登记注册</w:t>
            </w:r>
          </w:p>
        </w:tc>
        <w:tc>
          <w:tcPr>
            <w:tcW w:w="2835" w:type="dxa"/>
            <w:vAlign w:val="center"/>
          </w:tcPr>
          <w:p>
            <w:pPr>
              <w:pStyle w:val="10"/>
            </w:pPr>
            <w:r>
              <w:t>按照规定变更登记注册民营企业、个体工商户数量减免率（%）</w:t>
            </w:r>
          </w:p>
        </w:tc>
        <w:tc>
          <w:tcPr>
            <w:tcW w:w="2551" w:type="dxa"/>
            <w:vAlign w:val="center"/>
          </w:tcPr>
          <w:p>
            <w:pPr>
              <w:pStyle w:val="10"/>
            </w:pPr>
            <w:r>
              <w:t>≥100%</w:t>
            </w:r>
          </w:p>
        </w:tc>
        <w:tc>
          <w:tcPr>
            <w:tcW w:w="2268" w:type="dxa"/>
            <w:vAlign w:val="center"/>
          </w:tcPr>
          <w:p>
            <w:pPr>
              <w:pStyle w:val="10"/>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宣传活动次数</w:t>
            </w:r>
          </w:p>
        </w:tc>
        <w:tc>
          <w:tcPr>
            <w:tcW w:w="2835" w:type="dxa"/>
            <w:vAlign w:val="center"/>
          </w:tcPr>
          <w:p>
            <w:pPr>
              <w:pStyle w:val="10"/>
            </w:pPr>
            <w:r>
              <w:t>开展市场主体登记宣传活动次数</w:t>
            </w:r>
          </w:p>
        </w:tc>
        <w:tc>
          <w:tcPr>
            <w:tcW w:w="2551" w:type="dxa"/>
            <w:vAlign w:val="center"/>
          </w:tcPr>
          <w:p>
            <w:pPr>
              <w:pStyle w:val="10"/>
            </w:pPr>
            <w:r>
              <w:t>&gt;5%</w:t>
            </w:r>
          </w:p>
        </w:tc>
        <w:tc>
          <w:tcPr>
            <w:tcW w:w="2268" w:type="dxa"/>
            <w:vAlign w:val="center"/>
          </w:tcPr>
          <w:p>
            <w:pPr>
              <w:pStyle w:val="10"/>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2835" w:type="dxa"/>
            <w:vAlign w:val="center"/>
          </w:tcPr>
          <w:p>
            <w:pPr>
              <w:pStyle w:val="10"/>
            </w:pPr>
            <w:r>
              <w:t>成本控制率(%)</w:t>
            </w:r>
          </w:p>
        </w:tc>
        <w:tc>
          <w:tcPr>
            <w:tcW w:w="2551" w:type="dxa"/>
            <w:vAlign w:val="center"/>
          </w:tcPr>
          <w:p>
            <w:pPr>
              <w:pStyle w:val="10"/>
            </w:pPr>
            <w:r>
              <w:t>≥90%</w:t>
            </w:r>
          </w:p>
        </w:tc>
        <w:tc>
          <w:tcPr>
            <w:tcW w:w="2268" w:type="dxa"/>
            <w:vAlign w:val="center"/>
          </w:tcPr>
          <w:p>
            <w:pPr>
              <w:pStyle w:val="10"/>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市场主体抽查率</w:t>
            </w:r>
          </w:p>
        </w:tc>
        <w:tc>
          <w:tcPr>
            <w:tcW w:w="2835" w:type="dxa"/>
            <w:vAlign w:val="center"/>
          </w:tcPr>
          <w:p>
            <w:pPr>
              <w:pStyle w:val="10"/>
            </w:pPr>
            <w:r>
              <w:t>抽查企业数占计划抽查企业个数的比率</w:t>
            </w:r>
          </w:p>
        </w:tc>
        <w:tc>
          <w:tcPr>
            <w:tcW w:w="2551" w:type="dxa"/>
            <w:vAlign w:val="center"/>
          </w:tcPr>
          <w:p>
            <w:pPr>
              <w:pStyle w:val="10"/>
            </w:pPr>
            <w:r>
              <w:t>≥90%</w:t>
            </w:r>
          </w:p>
        </w:tc>
        <w:tc>
          <w:tcPr>
            <w:tcW w:w="2268" w:type="dxa"/>
            <w:vAlign w:val="center"/>
          </w:tcPr>
          <w:p>
            <w:pPr>
              <w:pStyle w:val="10"/>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企业登记率</w:t>
            </w:r>
          </w:p>
        </w:tc>
        <w:tc>
          <w:tcPr>
            <w:tcW w:w="2835" w:type="dxa"/>
            <w:vAlign w:val="center"/>
          </w:tcPr>
          <w:p>
            <w:pPr>
              <w:pStyle w:val="10"/>
            </w:pPr>
            <w:r>
              <w:t>反映企业登记情况，登记企业个数</w:t>
            </w:r>
          </w:p>
        </w:tc>
        <w:tc>
          <w:tcPr>
            <w:tcW w:w="2551" w:type="dxa"/>
            <w:vAlign w:val="center"/>
          </w:tcPr>
          <w:p>
            <w:pPr>
              <w:pStyle w:val="10"/>
            </w:pPr>
            <w:r>
              <w:t>≥90%</w:t>
            </w:r>
          </w:p>
        </w:tc>
        <w:tc>
          <w:tcPr>
            <w:tcW w:w="2268" w:type="dxa"/>
            <w:vAlign w:val="center"/>
          </w:tcPr>
          <w:p>
            <w:pPr>
              <w:pStyle w:val="10"/>
            </w:pPr>
            <w:r>
              <w:t>根据本年度工作计划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减免户反馈满意度</w:t>
            </w:r>
          </w:p>
        </w:tc>
        <w:tc>
          <w:tcPr>
            <w:tcW w:w="2551" w:type="dxa"/>
            <w:vAlign w:val="center"/>
          </w:tcPr>
          <w:p>
            <w:pPr>
              <w:pStyle w:val="10"/>
            </w:pPr>
            <w:r>
              <w:t>≥98%</w:t>
            </w:r>
          </w:p>
        </w:tc>
        <w:tc>
          <w:tcPr>
            <w:tcW w:w="2268" w:type="dxa"/>
            <w:vAlign w:val="center"/>
          </w:tcPr>
          <w:p>
            <w:pPr>
              <w:pStyle w:val="10"/>
            </w:pPr>
            <w:r>
              <w:t>根据本年度工作计划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3、产品质量管理经费*绩效目标表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出具抽检报告的及时率</w:t>
            </w:r>
          </w:p>
        </w:tc>
        <w:tc>
          <w:tcPr>
            <w:tcW w:w="2835" w:type="dxa"/>
            <w:vAlign w:val="center"/>
          </w:tcPr>
          <w:p>
            <w:pPr>
              <w:pStyle w:val="10"/>
            </w:pPr>
            <w:r>
              <w:t>具体产品根据检验周期决定出具检验报告的时间</w:t>
            </w:r>
          </w:p>
        </w:tc>
        <w:tc>
          <w:tcPr>
            <w:tcW w:w="2551" w:type="dxa"/>
            <w:vAlign w:val="center"/>
          </w:tcPr>
          <w:p>
            <w:pPr>
              <w:pStyle w:val="10"/>
            </w:pPr>
            <w:r>
              <w:t>≥99%</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计量检定数据准确度</w:t>
            </w:r>
          </w:p>
        </w:tc>
        <w:tc>
          <w:tcPr>
            <w:tcW w:w="2835" w:type="dxa"/>
            <w:vAlign w:val="center"/>
          </w:tcPr>
          <w:p>
            <w:pPr>
              <w:pStyle w:val="10"/>
            </w:pPr>
            <w:r>
              <w:t>准确数据量占总检定数据量的比例</w:t>
            </w:r>
          </w:p>
        </w:tc>
        <w:tc>
          <w:tcPr>
            <w:tcW w:w="2551" w:type="dxa"/>
            <w:vAlign w:val="center"/>
          </w:tcPr>
          <w:p>
            <w:pPr>
              <w:pStyle w:val="10"/>
            </w:pPr>
            <w:r>
              <w:t>≥98%</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完成产品质量的抽检率</w:t>
            </w:r>
          </w:p>
        </w:tc>
        <w:tc>
          <w:tcPr>
            <w:tcW w:w="2835" w:type="dxa"/>
            <w:vAlign w:val="center"/>
          </w:tcPr>
          <w:p>
            <w:pPr>
              <w:pStyle w:val="10"/>
            </w:pPr>
            <w:r>
              <w:t>抽检批次实际完成情况占应完成情况的比例</w:t>
            </w:r>
          </w:p>
        </w:tc>
        <w:tc>
          <w:tcPr>
            <w:tcW w:w="2551" w:type="dxa"/>
            <w:vAlign w:val="center"/>
          </w:tcPr>
          <w:p>
            <w:pPr>
              <w:pStyle w:val="10"/>
            </w:pPr>
            <w:r>
              <w:t>≥90%</w:t>
            </w:r>
          </w:p>
          <w:p>
            <w:pPr>
              <w:pStyle w:val="10"/>
            </w:pP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完成工作需要费用成本完成工作需要费用成本</w:t>
            </w:r>
          </w:p>
          <w:p>
            <w:pPr>
              <w:pStyle w:val="10"/>
            </w:pPr>
          </w:p>
        </w:tc>
        <w:tc>
          <w:tcPr>
            <w:tcW w:w="2835" w:type="dxa"/>
            <w:vAlign w:val="center"/>
          </w:tcPr>
          <w:p>
            <w:pPr>
              <w:pStyle w:val="10"/>
            </w:pPr>
            <w:r>
              <w:t>成工作需要费用成本</w:t>
            </w:r>
          </w:p>
        </w:tc>
        <w:tc>
          <w:tcPr>
            <w:tcW w:w="2551" w:type="dxa"/>
            <w:vAlign w:val="center"/>
          </w:tcPr>
          <w:p>
            <w:pPr>
              <w:pStyle w:val="10"/>
            </w:pPr>
            <w:r>
              <w:t>各项检测最底化</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重大案件发生次数</w:t>
            </w:r>
          </w:p>
        </w:tc>
        <w:tc>
          <w:tcPr>
            <w:tcW w:w="2835" w:type="dxa"/>
            <w:vAlign w:val="center"/>
          </w:tcPr>
          <w:p>
            <w:pPr>
              <w:pStyle w:val="10"/>
            </w:pPr>
            <w:r>
              <w:t>重大案件发生次数</w:t>
            </w:r>
          </w:p>
        </w:tc>
        <w:tc>
          <w:tcPr>
            <w:tcW w:w="2551" w:type="dxa"/>
            <w:vAlign w:val="center"/>
          </w:tcPr>
          <w:p>
            <w:pPr>
              <w:pStyle w:val="10"/>
            </w:pPr>
            <w:r>
              <w:t>&lt;1次</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持续发展作用力</w:t>
            </w:r>
          </w:p>
        </w:tc>
        <w:tc>
          <w:tcPr>
            <w:tcW w:w="2835" w:type="dxa"/>
            <w:vAlign w:val="center"/>
          </w:tcPr>
          <w:p>
            <w:pPr>
              <w:pStyle w:val="10"/>
            </w:pPr>
            <w:r>
              <w:t>持续发展作用力</w:t>
            </w:r>
          </w:p>
        </w:tc>
        <w:tc>
          <w:tcPr>
            <w:tcW w:w="2551" w:type="dxa"/>
            <w:vAlign w:val="center"/>
          </w:tcPr>
          <w:p>
            <w:pPr>
              <w:pStyle w:val="10"/>
            </w:pPr>
            <w:r>
              <w:t>检测产品保障市场经营产品合格</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年度内地方标准的制定数（个）</w:t>
            </w:r>
          </w:p>
        </w:tc>
        <w:tc>
          <w:tcPr>
            <w:tcW w:w="2835" w:type="dxa"/>
            <w:vAlign w:val="center"/>
          </w:tcPr>
          <w:p>
            <w:pPr>
              <w:pStyle w:val="10"/>
            </w:pPr>
            <w:r>
              <w:t>制定地方性标准的数量</w:t>
            </w:r>
          </w:p>
        </w:tc>
        <w:tc>
          <w:tcPr>
            <w:tcW w:w="2551" w:type="dxa"/>
            <w:vAlign w:val="center"/>
          </w:tcPr>
          <w:p>
            <w:pPr>
              <w:pStyle w:val="10"/>
            </w:pPr>
            <w:r>
              <w:t>≥95%</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社会反馈意见及市场监管工作满意度</w:t>
            </w:r>
          </w:p>
        </w:tc>
        <w:tc>
          <w:tcPr>
            <w:tcW w:w="2551" w:type="dxa"/>
            <w:vAlign w:val="center"/>
          </w:tcPr>
          <w:p>
            <w:pPr>
              <w:pStyle w:val="10"/>
            </w:pPr>
            <w:r>
              <w:t>非常满意</w:t>
            </w:r>
          </w:p>
        </w:tc>
        <w:tc>
          <w:tcPr>
            <w:tcW w:w="2268" w:type="dxa"/>
            <w:vAlign w:val="center"/>
          </w:tcPr>
          <w:p>
            <w:pPr>
              <w:pStyle w:val="10"/>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4、产品质量技术监督经费绩效目标表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出具抽检报告的及时率</w:t>
            </w:r>
          </w:p>
        </w:tc>
        <w:tc>
          <w:tcPr>
            <w:tcW w:w="2835" w:type="dxa"/>
            <w:vAlign w:val="center"/>
          </w:tcPr>
          <w:p>
            <w:pPr>
              <w:pStyle w:val="10"/>
            </w:pPr>
            <w:r>
              <w:t>具体产品根据检验周期决定出具检验报告的时间</w:t>
            </w:r>
          </w:p>
        </w:tc>
        <w:tc>
          <w:tcPr>
            <w:tcW w:w="2551" w:type="dxa"/>
            <w:vAlign w:val="center"/>
          </w:tcPr>
          <w:p>
            <w:pPr>
              <w:pStyle w:val="10"/>
            </w:pPr>
            <w:r>
              <w:t>≥99%</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计量检定数据准确度</w:t>
            </w:r>
          </w:p>
        </w:tc>
        <w:tc>
          <w:tcPr>
            <w:tcW w:w="2835" w:type="dxa"/>
            <w:vAlign w:val="center"/>
          </w:tcPr>
          <w:p>
            <w:pPr>
              <w:pStyle w:val="10"/>
            </w:pPr>
            <w:r>
              <w:t>准确数据量占总检定数据量的比例</w:t>
            </w:r>
          </w:p>
        </w:tc>
        <w:tc>
          <w:tcPr>
            <w:tcW w:w="2551" w:type="dxa"/>
            <w:vAlign w:val="center"/>
          </w:tcPr>
          <w:p>
            <w:pPr>
              <w:pStyle w:val="10"/>
            </w:pPr>
            <w:r>
              <w:t>≥98%</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完成产品质量的抽检率</w:t>
            </w:r>
          </w:p>
        </w:tc>
        <w:tc>
          <w:tcPr>
            <w:tcW w:w="2835" w:type="dxa"/>
            <w:vAlign w:val="center"/>
          </w:tcPr>
          <w:p>
            <w:pPr>
              <w:pStyle w:val="10"/>
            </w:pPr>
            <w:r>
              <w:t>抽检批次实际完成情况占应完成情况的比例</w:t>
            </w:r>
          </w:p>
        </w:tc>
        <w:tc>
          <w:tcPr>
            <w:tcW w:w="2551" w:type="dxa"/>
            <w:vAlign w:val="center"/>
          </w:tcPr>
          <w:p>
            <w:pPr>
              <w:pStyle w:val="10"/>
            </w:pPr>
            <w:r>
              <w:t>≥90%</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完成工作需要费用成本完成工作需要费用成本</w:t>
            </w:r>
          </w:p>
          <w:p>
            <w:pPr>
              <w:pStyle w:val="10"/>
            </w:pPr>
          </w:p>
        </w:tc>
        <w:tc>
          <w:tcPr>
            <w:tcW w:w="2835" w:type="dxa"/>
            <w:vAlign w:val="center"/>
          </w:tcPr>
          <w:p>
            <w:pPr>
              <w:pStyle w:val="10"/>
            </w:pPr>
            <w:r>
              <w:t>完成工作需要费用成本</w:t>
            </w:r>
          </w:p>
        </w:tc>
        <w:tc>
          <w:tcPr>
            <w:tcW w:w="2551" w:type="dxa"/>
            <w:vAlign w:val="center"/>
          </w:tcPr>
          <w:p>
            <w:pPr>
              <w:pStyle w:val="10"/>
            </w:pPr>
            <w:r>
              <w:t>各项检测最底化</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重大案件发生次数</w:t>
            </w:r>
          </w:p>
        </w:tc>
        <w:tc>
          <w:tcPr>
            <w:tcW w:w="2835" w:type="dxa"/>
            <w:vAlign w:val="center"/>
          </w:tcPr>
          <w:p>
            <w:pPr>
              <w:pStyle w:val="10"/>
            </w:pPr>
            <w:r>
              <w:t>重大案件发生次数</w:t>
            </w:r>
          </w:p>
        </w:tc>
        <w:tc>
          <w:tcPr>
            <w:tcW w:w="2551" w:type="dxa"/>
            <w:vAlign w:val="center"/>
          </w:tcPr>
          <w:p>
            <w:pPr>
              <w:pStyle w:val="10"/>
            </w:pPr>
            <w:r>
              <w:t>≤1次</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持续发展作用力</w:t>
            </w:r>
          </w:p>
        </w:tc>
        <w:tc>
          <w:tcPr>
            <w:tcW w:w="2835" w:type="dxa"/>
            <w:vAlign w:val="center"/>
          </w:tcPr>
          <w:p>
            <w:pPr>
              <w:pStyle w:val="10"/>
            </w:pPr>
            <w:r>
              <w:t>持续发展作用力</w:t>
            </w:r>
          </w:p>
        </w:tc>
        <w:tc>
          <w:tcPr>
            <w:tcW w:w="2551" w:type="dxa"/>
            <w:vAlign w:val="center"/>
          </w:tcPr>
          <w:p>
            <w:pPr>
              <w:pStyle w:val="10"/>
            </w:pPr>
            <w:r>
              <w:t>检测产品保障市场经营产品合格</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产品安全工作支持率</w:t>
            </w:r>
          </w:p>
        </w:tc>
        <w:tc>
          <w:tcPr>
            <w:tcW w:w="2835" w:type="dxa"/>
            <w:vAlign w:val="center"/>
          </w:tcPr>
          <w:p>
            <w:pPr>
              <w:pStyle w:val="10"/>
            </w:pPr>
            <w:r>
              <w:t>产品安全工作支持率</w:t>
            </w:r>
          </w:p>
        </w:tc>
        <w:tc>
          <w:tcPr>
            <w:tcW w:w="2551" w:type="dxa"/>
            <w:vAlign w:val="center"/>
          </w:tcPr>
          <w:p>
            <w:pPr>
              <w:pStyle w:val="10"/>
            </w:pPr>
            <w:r>
              <w:t>≥95%</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社会反馈意见及市场监管工作满意度</w:t>
            </w:r>
          </w:p>
        </w:tc>
        <w:tc>
          <w:tcPr>
            <w:tcW w:w="2551" w:type="dxa"/>
            <w:vAlign w:val="center"/>
          </w:tcPr>
          <w:p>
            <w:pPr>
              <w:pStyle w:val="10"/>
            </w:pPr>
            <w:r>
              <w:t>≥98%</w:t>
            </w:r>
          </w:p>
        </w:tc>
        <w:tc>
          <w:tcPr>
            <w:tcW w:w="2268" w:type="dxa"/>
            <w:vAlign w:val="center"/>
          </w:tcPr>
          <w:p>
            <w:pPr>
              <w:pStyle w:val="10"/>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5、产品质量监督抽查及计量检测经费绩效目标表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出具抽检报告的及时率</w:t>
            </w:r>
          </w:p>
        </w:tc>
        <w:tc>
          <w:tcPr>
            <w:tcW w:w="2835" w:type="dxa"/>
            <w:vAlign w:val="center"/>
          </w:tcPr>
          <w:p>
            <w:pPr>
              <w:pStyle w:val="10"/>
            </w:pPr>
            <w:r>
              <w:t>具体产品根据检验周期决定出具检验报告的时间</w:t>
            </w:r>
          </w:p>
        </w:tc>
        <w:tc>
          <w:tcPr>
            <w:tcW w:w="2551" w:type="dxa"/>
            <w:vAlign w:val="center"/>
          </w:tcPr>
          <w:p>
            <w:pPr>
              <w:pStyle w:val="10"/>
            </w:pPr>
            <w:r>
              <w:t>≥98%</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计量检定数据准确度</w:t>
            </w:r>
          </w:p>
        </w:tc>
        <w:tc>
          <w:tcPr>
            <w:tcW w:w="2835" w:type="dxa"/>
            <w:vAlign w:val="center"/>
          </w:tcPr>
          <w:p>
            <w:pPr>
              <w:pStyle w:val="10"/>
            </w:pPr>
            <w:r>
              <w:t>准确数据量占总检定数据量的比例</w:t>
            </w:r>
          </w:p>
        </w:tc>
        <w:tc>
          <w:tcPr>
            <w:tcW w:w="2551" w:type="dxa"/>
            <w:vAlign w:val="center"/>
          </w:tcPr>
          <w:p>
            <w:pPr>
              <w:pStyle w:val="10"/>
            </w:pPr>
            <w:r>
              <w:t>≥98%</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完成产品质量的抽检率</w:t>
            </w:r>
          </w:p>
        </w:tc>
        <w:tc>
          <w:tcPr>
            <w:tcW w:w="2835" w:type="dxa"/>
            <w:vAlign w:val="center"/>
          </w:tcPr>
          <w:p>
            <w:pPr>
              <w:pStyle w:val="10"/>
            </w:pPr>
            <w:r>
              <w:t>抽检批次实际完成情况占应完成情况的比例</w:t>
            </w:r>
          </w:p>
        </w:tc>
        <w:tc>
          <w:tcPr>
            <w:tcW w:w="2551" w:type="dxa"/>
            <w:vAlign w:val="center"/>
          </w:tcPr>
          <w:p>
            <w:pPr>
              <w:pStyle w:val="10"/>
            </w:pPr>
            <w:r>
              <w:t>≥90%</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完成工作需要费用成本完成工作需要费用成本</w:t>
            </w:r>
          </w:p>
          <w:p>
            <w:pPr>
              <w:pStyle w:val="10"/>
            </w:pPr>
          </w:p>
        </w:tc>
        <w:tc>
          <w:tcPr>
            <w:tcW w:w="2835" w:type="dxa"/>
            <w:vAlign w:val="center"/>
          </w:tcPr>
          <w:p>
            <w:pPr>
              <w:pStyle w:val="10"/>
            </w:pPr>
            <w:r>
              <w:t>完成工作需要费用成本</w:t>
            </w:r>
          </w:p>
        </w:tc>
        <w:tc>
          <w:tcPr>
            <w:tcW w:w="2551" w:type="dxa"/>
            <w:vAlign w:val="center"/>
          </w:tcPr>
          <w:p>
            <w:pPr>
              <w:pStyle w:val="10"/>
            </w:pPr>
            <w:r>
              <w:t>各项检测最底化</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重大案件发生次数</w:t>
            </w:r>
          </w:p>
        </w:tc>
        <w:tc>
          <w:tcPr>
            <w:tcW w:w="2835" w:type="dxa"/>
            <w:vAlign w:val="center"/>
          </w:tcPr>
          <w:p>
            <w:pPr>
              <w:pStyle w:val="10"/>
            </w:pPr>
            <w:r>
              <w:t>重大案件发生次数</w:t>
            </w:r>
          </w:p>
        </w:tc>
        <w:tc>
          <w:tcPr>
            <w:tcW w:w="2551" w:type="dxa"/>
            <w:vAlign w:val="center"/>
          </w:tcPr>
          <w:p>
            <w:pPr>
              <w:pStyle w:val="10"/>
            </w:pPr>
            <w:r>
              <w:t>≤1次</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持续发展作用力</w:t>
            </w:r>
          </w:p>
        </w:tc>
        <w:tc>
          <w:tcPr>
            <w:tcW w:w="2835" w:type="dxa"/>
            <w:vAlign w:val="center"/>
          </w:tcPr>
          <w:p>
            <w:pPr>
              <w:pStyle w:val="10"/>
            </w:pPr>
            <w:r>
              <w:t>持续发展作用力</w:t>
            </w:r>
          </w:p>
        </w:tc>
        <w:tc>
          <w:tcPr>
            <w:tcW w:w="2551" w:type="dxa"/>
            <w:vAlign w:val="center"/>
          </w:tcPr>
          <w:p>
            <w:pPr>
              <w:pStyle w:val="10"/>
            </w:pPr>
            <w:r>
              <w:t>检测产品保障市场经营产品合格</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社会反馈意见及市场监管工作满意度</w:t>
            </w:r>
          </w:p>
        </w:tc>
        <w:tc>
          <w:tcPr>
            <w:tcW w:w="2551" w:type="dxa"/>
            <w:vAlign w:val="center"/>
          </w:tcPr>
          <w:p>
            <w:pPr>
              <w:pStyle w:val="10"/>
            </w:pPr>
            <w:r>
              <w:t>≥98%</w:t>
            </w:r>
          </w:p>
        </w:tc>
        <w:tc>
          <w:tcPr>
            <w:tcW w:w="2268" w:type="dxa"/>
            <w:vAlign w:val="center"/>
          </w:tcPr>
          <w:p>
            <w:pPr>
              <w:pStyle w:val="10"/>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6、创建食品和药品安全示范城市工作经费绩效目标表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食品药品安全宣传教育活动完成率</w:t>
            </w:r>
          </w:p>
        </w:tc>
        <w:tc>
          <w:tcPr>
            <w:tcW w:w="2835" w:type="dxa"/>
            <w:vAlign w:val="center"/>
          </w:tcPr>
          <w:p>
            <w:pPr>
              <w:pStyle w:val="10"/>
            </w:pPr>
            <w:r>
              <w:t>食品药品安全宣传教育活动完成次数与计划开展次数的比值</w:t>
            </w:r>
          </w:p>
        </w:tc>
        <w:tc>
          <w:tcPr>
            <w:tcW w:w="2551" w:type="dxa"/>
            <w:vAlign w:val="center"/>
          </w:tcPr>
          <w:p>
            <w:pPr>
              <w:pStyle w:val="10"/>
            </w:pPr>
            <w:r>
              <w:t>≥90</w:t>
            </w:r>
          </w:p>
        </w:tc>
        <w:tc>
          <w:tcPr>
            <w:tcW w:w="2268" w:type="dxa"/>
            <w:vAlign w:val="center"/>
          </w:tcPr>
          <w:p>
            <w:pPr>
              <w:pStyle w:val="10"/>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综合业务管理工作完成率</w:t>
            </w:r>
          </w:p>
        </w:tc>
        <w:tc>
          <w:tcPr>
            <w:tcW w:w="2835" w:type="dxa"/>
            <w:vAlign w:val="center"/>
          </w:tcPr>
          <w:p>
            <w:pPr>
              <w:pStyle w:val="10"/>
            </w:pPr>
            <w:r>
              <w:t>综合业务管理工作完成情况</w:t>
            </w:r>
          </w:p>
        </w:tc>
        <w:tc>
          <w:tcPr>
            <w:tcW w:w="2551" w:type="dxa"/>
            <w:vAlign w:val="center"/>
          </w:tcPr>
          <w:p>
            <w:pPr>
              <w:pStyle w:val="10"/>
            </w:pPr>
            <w:r>
              <w:t>≥99</w:t>
            </w:r>
          </w:p>
        </w:tc>
        <w:tc>
          <w:tcPr>
            <w:tcW w:w="2268" w:type="dxa"/>
            <w:vAlign w:val="center"/>
          </w:tcPr>
          <w:p>
            <w:pPr>
              <w:pStyle w:val="10"/>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突发事件处置率</w:t>
            </w:r>
          </w:p>
        </w:tc>
        <w:tc>
          <w:tcPr>
            <w:tcW w:w="2835" w:type="dxa"/>
            <w:vAlign w:val="center"/>
          </w:tcPr>
          <w:p>
            <w:pPr>
              <w:pStyle w:val="10"/>
            </w:pPr>
            <w:r>
              <w:t>实际处置突发事件个数与实际发生数的比值</w:t>
            </w:r>
          </w:p>
        </w:tc>
        <w:tc>
          <w:tcPr>
            <w:tcW w:w="2551" w:type="dxa"/>
            <w:vAlign w:val="center"/>
          </w:tcPr>
          <w:p>
            <w:pPr>
              <w:pStyle w:val="10"/>
            </w:pPr>
            <w:r>
              <w:t>≥100</w:t>
            </w:r>
          </w:p>
        </w:tc>
        <w:tc>
          <w:tcPr>
            <w:tcW w:w="2268" w:type="dxa"/>
            <w:vAlign w:val="center"/>
          </w:tcPr>
          <w:p>
            <w:pPr>
              <w:pStyle w:val="10"/>
            </w:pPr>
            <w:r>
              <w:t>《邢台市人民政府关于印发邢台市食品安全示范城市创建工作实施方案的通知》邢政字[2017]28号附件3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完成工作所需资金</w:t>
            </w:r>
          </w:p>
        </w:tc>
        <w:tc>
          <w:tcPr>
            <w:tcW w:w="2835" w:type="dxa"/>
            <w:vAlign w:val="center"/>
          </w:tcPr>
          <w:p>
            <w:pPr>
              <w:pStyle w:val="10"/>
            </w:pPr>
            <w:r>
              <w:t>完成工作所需资金</w:t>
            </w:r>
          </w:p>
        </w:tc>
        <w:tc>
          <w:tcPr>
            <w:tcW w:w="2551" w:type="dxa"/>
            <w:vAlign w:val="center"/>
          </w:tcPr>
          <w:p>
            <w:pPr>
              <w:pStyle w:val="10"/>
            </w:pPr>
            <w:r>
              <w:t>经费全部用于实验室建设、执法装备购置及食药品安全宣传</w:t>
            </w:r>
          </w:p>
        </w:tc>
        <w:tc>
          <w:tcPr>
            <w:tcW w:w="2268" w:type="dxa"/>
            <w:vAlign w:val="center"/>
          </w:tcPr>
          <w:p>
            <w:pPr>
              <w:pStyle w:val="10"/>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执法装备配备率</w:t>
            </w:r>
          </w:p>
        </w:tc>
        <w:tc>
          <w:tcPr>
            <w:tcW w:w="2835" w:type="dxa"/>
            <w:vAlign w:val="center"/>
          </w:tcPr>
          <w:p>
            <w:pPr>
              <w:pStyle w:val="10"/>
            </w:pPr>
            <w:r>
              <w:t>按照执法基本装备标准配备执装备的比例</w:t>
            </w:r>
          </w:p>
        </w:tc>
        <w:tc>
          <w:tcPr>
            <w:tcW w:w="2551" w:type="dxa"/>
            <w:vAlign w:val="center"/>
          </w:tcPr>
          <w:p>
            <w:pPr>
              <w:pStyle w:val="10"/>
            </w:pPr>
            <w:r>
              <w:t>≥95</w:t>
            </w:r>
          </w:p>
        </w:tc>
        <w:tc>
          <w:tcPr>
            <w:tcW w:w="2268" w:type="dxa"/>
            <w:vAlign w:val="center"/>
          </w:tcPr>
          <w:p>
            <w:pPr>
              <w:pStyle w:val="10"/>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综合事务管理工作完成率</w:t>
            </w:r>
          </w:p>
        </w:tc>
        <w:tc>
          <w:tcPr>
            <w:tcW w:w="2835" w:type="dxa"/>
            <w:vAlign w:val="center"/>
          </w:tcPr>
          <w:p>
            <w:pPr>
              <w:pStyle w:val="10"/>
            </w:pPr>
            <w:r>
              <w:t>综合事务管理工作完成情况</w:t>
            </w:r>
          </w:p>
        </w:tc>
        <w:tc>
          <w:tcPr>
            <w:tcW w:w="2551" w:type="dxa"/>
            <w:vAlign w:val="center"/>
          </w:tcPr>
          <w:p>
            <w:pPr>
              <w:pStyle w:val="10"/>
            </w:pPr>
            <w:r>
              <w:t>≥100</w:t>
            </w:r>
          </w:p>
        </w:tc>
        <w:tc>
          <w:tcPr>
            <w:tcW w:w="2268" w:type="dxa"/>
            <w:vAlign w:val="center"/>
          </w:tcPr>
          <w:p>
            <w:pPr>
              <w:pStyle w:val="10"/>
            </w:pPr>
            <w:r>
              <w:t>《邢台市人民政府关于印发邢台市食品安全示范城市创建工作实施方案的通知》邢政字[2017]28号附件3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信息化保障支撑度</w:t>
            </w:r>
          </w:p>
        </w:tc>
        <w:tc>
          <w:tcPr>
            <w:tcW w:w="2835" w:type="dxa"/>
            <w:vAlign w:val="center"/>
          </w:tcPr>
          <w:p>
            <w:pPr>
              <w:pStyle w:val="10"/>
            </w:pPr>
            <w:r>
              <w:t>信息化水平有效支撑食品、药品监管工作正常开展情况</w:t>
            </w:r>
          </w:p>
        </w:tc>
        <w:tc>
          <w:tcPr>
            <w:tcW w:w="2551" w:type="dxa"/>
            <w:vAlign w:val="center"/>
          </w:tcPr>
          <w:p>
            <w:pPr>
              <w:pStyle w:val="10"/>
            </w:pPr>
            <w:r>
              <w:t>≥90</w:t>
            </w:r>
          </w:p>
        </w:tc>
        <w:tc>
          <w:tcPr>
            <w:tcW w:w="2268" w:type="dxa"/>
            <w:vAlign w:val="center"/>
          </w:tcPr>
          <w:p>
            <w:pPr>
              <w:pStyle w:val="10"/>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持续发展作用力</w:t>
            </w:r>
          </w:p>
        </w:tc>
        <w:tc>
          <w:tcPr>
            <w:tcW w:w="2835" w:type="dxa"/>
            <w:vAlign w:val="center"/>
          </w:tcPr>
          <w:p>
            <w:pPr>
              <w:pStyle w:val="10"/>
            </w:pPr>
            <w:r>
              <w:t>持续发展作用力</w:t>
            </w:r>
          </w:p>
        </w:tc>
        <w:tc>
          <w:tcPr>
            <w:tcW w:w="2551" w:type="dxa"/>
            <w:vAlign w:val="center"/>
          </w:tcPr>
          <w:p>
            <w:pPr>
              <w:pStyle w:val="10"/>
            </w:pPr>
            <w:r>
              <w:t>保障全市饮食用药安全，食药安全问题为0</w:t>
            </w:r>
          </w:p>
        </w:tc>
        <w:tc>
          <w:tcPr>
            <w:tcW w:w="2268" w:type="dxa"/>
            <w:vAlign w:val="center"/>
          </w:tcPr>
          <w:p>
            <w:pPr>
              <w:pStyle w:val="10"/>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《邢台市人民政府关于印发邢台市食品安全示范城市创建工作实施方案的通知》邢政字[2017]28号附件2</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农村食品药品</w:t>
      </w:r>
      <w:r>
        <w:rPr>
          <w:rFonts w:ascii="方正仿宋_GBK" w:hAnsi="方正仿宋_GBK" w:eastAsia="方正仿宋_GBK" w:cs="方正仿宋_GBK"/>
          <w:b/>
          <w:color w:val="000000"/>
          <w:sz w:val="28"/>
        </w:rPr>
        <w:t>安全协管员补贴绩效目标表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综合事务管理工作完成率</w:t>
            </w:r>
          </w:p>
        </w:tc>
        <w:tc>
          <w:tcPr>
            <w:tcW w:w="2835" w:type="dxa"/>
            <w:vAlign w:val="center"/>
          </w:tcPr>
          <w:p>
            <w:pPr>
              <w:pStyle w:val="10"/>
            </w:pPr>
            <w:r>
              <w:t>综合事务管理工作完成情况</w:t>
            </w:r>
          </w:p>
        </w:tc>
        <w:tc>
          <w:tcPr>
            <w:tcW w:w="2551" w:type="dxa"/>
            <w:vAlign w:val="center"/>
          </w:tcPr>
          <w:p>
            <w:pPr>
              <w:pStyle w:val="10"/>
            </w:pPr>
            <w:r>
              <w:t>≥100%</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食品抽检问题发现率</w:t>
            </w:r>
          </w:p>
        </w:tc>
        <w:tc>
          <w:tcPr>
            <w:tcW w:w="2835" w:type="dxa"/>
            <w:vAlign w:val="center"/>
          </w:tcPr>
          <w:p>
            <w:pPr>
              <w:pStyle w:val="10"/>
            </w:pPr>
            <w:r>
              <w:t>食品抽检问题发现率</w:t>
            </w:r>
          </w:p>
        </w:tc>
        <w:tc>
          <w:tcPr>
            <w:tcW w:w="2551" w:type="dxa"/>
            <w:vAlign w:val="center"/>
          </w:tcPr>
          <w:p>
            <w:pPr>
              <w:pStyle w:val="10"/>
            </w:pPr>
            <w:r>
              <w:t>≤10%</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≥100%</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完成工作所需资金</w:t>
            </w:r>
          </w:p>
        </w:tc>
        <w:tc>
          <w:tcPr>
            <w:tcW w:w="2835" w:type="dxa"/>
            <w:vAlign w:val="center"/>
          </w:tcPr>
          <w:p>
            <w:pPr>
              <w:pStyle w:val="10"/>
            </w:pPr>
            <w:r>
              <w:t>完成工作所需资金</w:t>
            </w:r>
          </w:p>
        </w:tc>
        <w:tc>
          <w:tcPr>
            <w:tcW w:w="2551" w:type="dxa"/>
            <w:vAlign w:val="center"/>
          </w:tcPr>
          <w:p>
            <w:pPr>
              <w:pStyle w:val="10"/>
            </w:pPr>
            <w:r>
              <w:t>按照补助文件执行</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持续发展作用力</w:t>
            </w:r>
          </w:p>
        </w:tc>
        <w:tc>
          <w:tcPr>
            <w:tcW w:w="2835" w:type="dxa"/>
            <w:vAlign w:val="center"/>
          </w:tcPr>
          <w:p>
            <w:pPr>
              <w:pStyle w:val="10"/>
            </w:pPr>
            <w:r>
              <w:t>持续发展作用力</w:t>
            </w:r>
          </w:p>
        </w:tc>
        <w:tc>
          <w:tcPr>
            <w:tcW w:w="2551" w:type="dxa"/>
            <w:vAlign w:val="center"/>
          </w:tcPr>
          <w:p>
            <w:pPr>
              <w:pStyle w:val="10"/>
            </w:pPr>
            <w:r>
              <w:t>保障农村饮食用药安全</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食品药品监督检查</w:t>
            </w:r>
          </w:p>
        </w:tc>
        <w:tc>
          <w:tcPr>
            <w:tcW w:w="2835" w:type="dxa"/>
            <w:vAlign w:val="center"/>
          </w:tcPr>
          <w:p>
            <w:pPr>
              <w:pStyle w:val="10"/>
            </w:pPr>
            <w:r>
              <w:t>食品药品监督检查完成情况</w:t>
            </w:r>
          </w:p>
        </w:tc>
        <w:tc>
          <w:tcPr>
            <w:tcW w:w="2551" w:type="dxa"/>
            <w:vAlign w:val="center"/>
          </w:tcPr>
          <w:p>
            <w:pPr>
              <w:pStyle w:val="10"/>
            </w:pPr>
            <w:r>
              <w:t>≥95%</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餐饮业、食堂等消费环节安全信息监测覆盖率</w:t>
            </w:r>
          </w:p>
        </w:tc>
        <w:tc>
          <w:tcPr>
            <w:tcW w:w="2835" w:type="dxa"/>
            <w:vAlign w:val="center"/>
          </w:tcPr>
          <w:p>
            <w:pPr>
              <w:pStyle w:val="10"/>
            </w:pPr>
            <w:r>
              <w:t>餐饮业、食堂等消费环节安全信息监测覆盖情况</w:t>
            </w:r>
          </w:p>
        </w:tc>
        <w:tc>
          <w:tcPr>
            <w:tcW w:w="2551" w:type="dxa"/>
            <w:vAlign w:val="center"/>
          </w:tcPr>
          <w:p>
            <w:pPr>
              <w:pStyle w:val="10"/>
            </w:pPr>
            <w:r>
              <w:t>≥95%</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≥98%</w:t>
            </w:r>
          </w:p>
        </w:tc>
        <w:tc>
          <w:tcPr>
            <w:tcW w:w="2268" w:type="dxa"/>
            <w:vAlign w:val="center"/>
          </w:tcPr>
          <w:p>
            <w:pPr>
              <w:pStyle w:val="10"/>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、食品和药品安全检测经费绩效目标表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食品安全标准跟踪评价数量</w:t>
            </w:r>
          </w:p>
        </w:tc>
        <w:tc>
          <w:tcPr>
            <w:tcW w:w="2835" w:type="dxa"/>
            <w:vAlign w:val="center"/>
          </w:tcPr>
          <w:p>
            <w:pPr>
              <w:pStyle w:val="10"/>
            </w:pPr>
            <w:r>
              <w:t>食品安全标准跟踪评价数量</w:t>
            </w:r>
          </w:p>
        </w:tc>
        <w:tc>
          <w:tcPr>
            <w:tcW w:w="2551" w:type="dxa"/>
            <w:vAlign w:val="center"/>
          </w:tcPr>
          <w:p>
            <w:pPr>
              <w:pStyle w:val="10"/>
            </w:pPr>
            <w:r>
              <w:t>≥80%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食品抽检问题发现率</w:t>
            </w:r>
          </w:p>
        </w:tc>
        <w:tc>
          <w:tcPr>
            <w:tcW w:w="2835" w:type="dxa"/>
            <w:vAlign w:val="center"/>
          </w:tcPr>
          <w:p>
            <w:pPr>
              <w:pStyle w:val="10"/>
            </w:pPr>
            <w:r>
              <w:t>食品抽检问题发现率</w:t>
            </w:r>
          </w:p>
        </w:tc>
        <w:tc>
          <w:tcPr>
            <w:tcW w:w="2551" w:type="dxa"/>
            <w:vAlign w:val="center"/>
          </w:tcPr>
          <w:p>
            <w:pPr>
              <w:pStyle w:val="10"/>
            </w:pPr>
            <w:r>
              <w:t>≤10%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监督抽检信息公布</w:t>
            </w:r>
          </w:p>
        </w:tc>
        <w:tc>
          <w:tcPr>
            <w:tcW w:w="2835" w:type="dxa"/>
            <w:vAlign w:val="center"/>
          </w:tcPr>
          <w:p>
            <w:pPr>
              <w:pStyle w:val="10"/>
            </w:pPr>
            <w:r>
              <w:t>监督抽检信息公布</w:t>
            </w:r>
          </w:p>
        </w:tc>
        <w:tc>
          <w:tcPr>
            <w:tcW w:w="2551" w:type="dxa"/>
            <w:vAlign w:val="center"/>
          </w:tcPr>
          <w:p>
            <w:pPr>
              <w:pStyle w:val="10"/>
            </w:pPr>
            <w:r>
              <w:t>按月公布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完成工作所需资金</w:t>
            </w:r>
          </w:p>
        </w:tc>
        <w:tc>
          <w:tcPr>
            <w:tcW w:w="2835" w:type="dxa"/>
            <w:vAlign w:val="center"/>
          </w:tcPr>
          <w:p>
            <w:pPr>
              <w:pStyle w:val="10"/>
            </w:pPr>
            <w:r>
              <w:t>完成工作所需资金</w:t>
            </w:r>
          </w:p>
        </w:tc>
        <w:tc>
          <w:tcPr>
            <w:tcW w:w="2551" w:type="dxa"/>
            <w:vAlign w:val="center"/>
          </w:tcPr>
          <w:p>
            <w:pPr>
              <w:pStyle w:val="10"/>
            </w:pPr>
            <w:r>
              <w:t>资金全部用于抽检工作</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持续发展作用力</w:t>
            </w:r>
          </w:p>
        </w:tc>
        <w:tc>
          <w:tcPr>
            <w:tcW w:w="2835" w:type="dxa"/>
            <w:vAlign w:val="center"/>
          </w:tcPr>
          <w:p>
            <w:pPr>
              <w:pStyle w:val="10"/>
            </w:pPr>
            <w:r>
              <w:t>持续发展作用力</w:t>
            </w:r>
          </w:p>
        </w:tc>
        <w:tc>
          <w:tcPr>
            <w:tcW w:w="2551" w:type="dxa"/>
            <w:vAlign w:val="center"/>
          </w:tcPr>
          <w:p>
            <w:pPr>
              <w:pStyle w:val="10"/>
            </w:pPr>
            <w:r>
              <w:t>保障全市人民饮食用药安全</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餐饮业、食堂等消费环节安全信息监测覆盖面</w:t>
            </w:r>
          </w:p>
        </w:tc>
        <w:tc>
          <w:tcPr>
            <w:tcW w:w="2835" w:type="dxa"/>
            <w:vAlign w:val="center"/>
          </w:tcPr>
          <w:p>
            <w:pPr>
              <w:pStyle w:val="10"/>
            </w:pPr>
            <w:r>
              <w:t>已覆盖的餐饮业、食堂等消费环节单位个数与实有单位个数的比例</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食品抽检计划完成率</w:t>
            </w:r>
          </w:p>
        </w:tc>
        <w:tc>
          <w:tcPr>
            <w:tcW w:w="2835" w:type="dxa"/>
            <w:vAlign w:val="center"/>
          </w:tcPr>
          <w:p>
            <w:pPr>
              <w:pStyle w:val="10"/>
            </w:pPr>
            <w:r>
              <w:t>实际抽检批次占计划批次的比例</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≥98%</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、食药品监督管理经费*绩效目标表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食品药品安全宣传教育活动完成率</w:t>
            </w:r>
          </w:p>
        </w:tc>
        <w:tc>
          <w:tcPr>
            <w:tcW w:w="2835" w:type="dxa"/>
            <w:vAlign w:val="center"/>
          </w:tcPr>
          <w:p>
            <w:pPr>
              <w:pStyle w:val="10"/>
            </w:pPr>
            <w:r>
              <w:t>食品药品安全宣传教育活动完成次数与计划开展次数的比值</w:t>
            </w:r>
          </w:p>
        </w:tc>
        <w:tc>
          <w:tcPr>
            <w:tcW w:w="2551" w:type="dxa"/>
            <w:vAlign w:val="center"/>
          </w:tcPr>
          <w:p>
            <w:pPr>
              <w:pStyle w:val="10"/>
            </w:pPr>
            <w:r>
              <w:t>≥90%</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综合业务管理工作完成率</w:t>
            </w:r>
          </w:p>
        </w:tc>
        <w:tc>
          <w:tcPr>
            <w:tcW w:w="2835" w:type="dxa"/>
            <w:vAlign w:val="center"/>
          </w:tcPr>
          <w:p>
            <w:pPr>
              <w:pStyle w:val="10"/>
            </w:pPr>
            <w:r>
              <w:t>综合业务管理工作完成情况</w:t>
            </w:r>
          </w:p>
        </w:tc>
        <w:tc>
          <w:tcPr>
            <w:tcW w:w="2551" w:type="dxa"/>
            <w:vAlign w:val="center"/>
          </w:tcPr>
          <w:p>
            <w:pPr>
              <w:pStyle w:val="10"/>
            </w:pPr>
            <w:r>
              <w:t>100%</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突发事件处置率</w:t>
            </w:r>
          </w:p>
        </w:tc>
        <w:tc>
          <w:tcPr>
            <w:tcW w:w="2835" w:type="dxa"/>
            <w:vAlign w:val="center"/>
          </w:tcPr>
          <w:p>
            <w:pPr>
              <w:pStyle w:val="10"/>
            </w:pPr>
            <w:r>
              <w:t>实际处置突发事件个数与实际发生数的比值</w:t>
            </w:r>
          </w:p>
        </w:tc>
        <w:tc>
          <w:tcPr>
            <w:tcW w:w="2551" w:type="dxa"/>
            <w:vAlign w:val="center"/>
          </w:tcPr>
          <w:p>
            <w:pPr>
              <w:pStyle w:val="10"/>
            </w:pPr>
            <w:r>
              <w:t>100%</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完成工作所需资金</w:t>
            </w:r>
          </w:p>
        </w:tc>
        <w:tc>
          <w:tcPr>
            <w:tcW w:w="2835" w:type="dxa"/>
            <w:vAlign w:val="center"/>
          </w:tcPr>
          <w:p>
            <w:pPr>
              <w:pStyle w:val="10"/>
            </w:pPr>
            <w:r>
              <w:t>完成工作所需资金</w:t>
            </w:r>
          </w:p>
        </w:tc>
        <w:tc>
          <w:tcPr>
            <w:tcW w:w="2551" w:type="dxa"/>
            <w:vAlign w:val="center"/>
          </w:tcPr>
          <w:p>
            <w:pPr>
              <w:pStyle w:val="10"/>
            </w:pPr>
            <w:r>
              <w:t>主要用于日常监管需要</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执法装备配备率</w:t>
            </w:r>
          </w:p>
        </w:tc>
        <w:tc>
          <w:tcPr>
            <w:tcW w:w="2835" w:type="dxa"/>
            <w:vAlign w:val="center"/>
          </w:tcPr>
          <w:p>
            <w:pPr>
              <w:pStyle w:val="10"/>
            </w:pPr>
            <w:r>
              <w:t>按照执法基本装备标准配备执装备的比例</w:t>
            </w:r>
          </w:p>
        </w:tc>
        <w:tc>
          <w:tcPr>
            <w:tcW w:w="2551" w:type="dxa"/>
            <w:vAlign w:val="center"/>
          </w:tcPr>
          <w:p>
            <w:pPr>
              <w:pStyle w:val="10"/>
            </w:pPr>
            <w:r>
              <w:t>≥80%</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综合事务管理工作完成率</w:t>
            </w:r>
          </w:p>
        </w:tc>
        <w:tc>
          <w:tcPr>
            <w:tcW w:w="2835" w:type="dxa"/>
            <w:vAlign w:val="center"/>
          </w:tcPr>
          <w:p>
            <w:pPr>
              <w:pStyle w:val="10"/>
            </w:pPr>
            <w:r>
              <w:t>综合事务管理工作完成情况</w:t>
            </w:r>
          </w:p>
        </w:tc>
        <w:tc>
          <w:tcPr>
            <w:tcW w:w="2551" w:type="dxa"/>
            <w:vAlign w:val="center"/>
          </w:tcPr>
          <w:p>
            <w:pPr>
              <w:pStyle w:val="10"/>
            </w:pPr>
            <w:r>
              <w:t>≥90%</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信息化保障支撑度</w:t>
            </w:r>
          </w:p>
        </w:tc>
        <w:tc>
          <w:tcPr>
            <w:tcW w:w="2835" w:type="dxa"/>
            <w:vAlign w:val="center"/>
          </w:tcPr>
          <w:p>
            <w:pPr>
              <w:pStyle w:val="10"/>
            </w:pPr>
            <w:r>
              <w:t>信息化水平有效支撑食品、药品监管工作正常开展情况</w:t>
            </w:r>
          </w:p>
        </w:tc>
        <w:tc>
          <w:tcPr>
            <w:tcW w:w="2551" w:type="dxa"/>
            <w:vAlign w:val="center"/>
          </w:tcPr>
          <w:p>
            <w:pPr>
              <w:pStyle w:val="10"/>
            </w:pPr>
            <w:r>
              <w:t>≥90%</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非常满意</w:t>
            </w:r>
          </w:p>
        </w:tc>
        <w:tc>
          <w:tcPr>
            <w:tcW w:w="2268" w:type="dxa"/>
            <w:vAlign w:val="center"/>
          </w:tcPr>
          <w:p>
            <w:pPr>
              <w:pStyle w:val="10"/>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、市场监督管理经费*绩效目标表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综合业务管理工作完成率</w:t>
            </w:r>
          </w:p>
        </w:tc>
        <w:tc>
          <w:tcPr>
            <w:tcW w:w="2835" w:type="dxa"/>
            <w:vAlign w:val="center"/>
          </w:tcPr>
          <w:p>
            <w:pPr>
              <w:pStyle w:val="10"/>
            </w:pPr>
            <w:r>
              <w:t>综合业务管理工作完成情况</w:t>
            </w:r>
          </w:p>
        </w:tc>
        <w:tc>
          <w:tcPr>
            <w:tcW w:w="2551" w:type="dxa"/>
            <w:vAlign w:val="center"/>
          </w:tcPr>
          <w:p>
            <w:pPr>
              <w:pStyle w:val="10"/>
            </w:pPr>
            <w:r>
              <w:t>≥95%</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突发事件处置率</w:t>
            </w:r>
          </w:p>
        </w:tc>
        <w:tc>
          <w:tcPr>
            <w:tcW w:w="2835" w:type="dxa"/>
            <w:vAlign w:val="center"/>
          </w:tcPr>
          <w:p>
            <w:pPr>
              <w:pStyle w:val="10"/>
            </w:pPr>
            <w:r>
              <w:t>实际处置突发事件个数与实际发生</w:t>
            </w:r>
          </w:p>
        </w:tc>
        <w:tc>
          <w:tcPr>
            <w:tcW w:w="2551" w:type="dxa"/>
            <w:vAlign w:val="center"/>
          </w:tcPr>
          <w:p>
            <w:pPr>
              <w:pStyle w:val="10"/>
            </w:pPr>
            <w:r>
              <w:t>≥95%</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监督抽检信息公布</w:t>
            </w:r>
          </w:p>
        </w:tc>
        <w:tc>
          <w:tcPr>
            <w:tcW w:w="2835" w:type="dxa"/>
            <w:vAlign w:val="center"/>
          </w:tcPr>
          <w:p>
            <w:pPr>
              <w:pStyle w:val="10"/>
            </w:pPr>
            <w:r>
              <w:t>监督抽检信息公布</w:t>
            </w:r>
          </w:p>
        </w:tc>
        <w:tc>
          <w:tcPr>
            <w:tcW w:w="2551" w:type="dxa"/>
            <w:vAlign w:val="center"/>
          </w:tcPr>
          <w:p>
            <w:pPr>
              <w:pStyle w:val="10"/>
            </w:pPr>
            <w:r>
              <w:t>≤7天</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设备购置成本</w:t>
            </w:r>
          </w:p>
        </w:tc>
        <w:tc>
          <w:tcPr>
            <w:tcW w:w="2835" w:type="dxa"/>
            <w:vAlign w:val="center"/>
          </w:tcPr>
          <w:p>
            <w:pPr>
              <w:pStyle w:val="10"/>
            </w:pPr>
            <w:r>
              <w:t>设备购置成本</w:t>
            </w:r>
          </w:p>
        </w:tc>
        <w:tc>
          <w:tcPr>
            <w:tcW w:w="2551" w:type="dxa"/>
            <w:vAlign w:val="center"/>
          </w:tcPr>
          <w:p>
            <w:pPr>
              <w:pStyle w:val="10"/>
            </w:pPr>
            <w:r>
              <w:t>≤10%</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执法装备配备率</w:t>
            </w:r>
          </w:p>
        </w:tc>
        <w:tc>
          <w:tcPr>
            <w:tcW w:w="2835" w:type="dxa"/>
            <w:vAlign w:val="center"/>
          </w:tcPr>
          <w:p>
            <w:pPr>
              <w:pStyle w:val="10"/>
            </w:pPr>
            <w:r>
              <w:t>按照执法基本装备标准配备执装备的比例</w:t>
            </w:r>
          </w:p>
        </w:tc>
        <w:tc>
          <w:tcPr>
            <w:tcW w:w="2551" w:type="dxa"/>
            <w:vAlign w:val="center"/>
          </w:tcPr>
          <w:p>
            <w:pPr>
              <w:pStyle w:val="10"/>
            </w:pPr>
            <w:r>
              <w:t>≥70%</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综合事务管理工作完成率</w:t>
            </w:r>
          </w:p>
        </w:tc>
        <w:tc>
          <w:tcPr>
            <w:tcW w:w="2835" w:type="dxa"/>
            <w:vAlign w:val="center"/>
          </w:tcPr>
          <w:p>
            <w:pPr>
              <w:pStyle w:val="10"/>
            </w:pPr>
            <w:r>
              <w:t>综合业务管理工作完成情况</w:t>
            </w:r>
          </w:p>
        </w:tc>
        <w:tc>
          <w:tcPr>
            <w:tcW w:w="2551" w:type="dxa"/>
            <w:vAlign w:val="center"/>
          </w:tcPr>
          <w:p>
            <w:pPr>
              <w:pStyle w:val="10"/>
            </w:pPr>
            <w:r>
              <w:t>≥95%</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w:t>
            </w:r>
          </w:p>
        </w:tc>
        <w:tc>
          <w:tcPr>
            <w:tcW w:w="2551" w:type="dxa"/>
            <w:vAlign w:val="center"/>
          </w:tcPr>
          <w:p>
            <w:pPr>
              <w:pStyle w:val="10"/>
            </w:pPr>
            <w:r>
              <w:t>非常满意</w:t>
            </w:r>
          </w:p>
        </w:tc>
        <w:tc>
          <w:tcPr>
            <w:tcW w:w="2268" w:type="dxa"/>
            <w:vAlign w:val="center"/>
          </w:tcPr>
          <w:p>
            <w:pPr>
              <w:pStyle w:val="10"/>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、油烟在线监测运行维护费绩效目标表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综合业务管理工作完成率</w:t>
            </w:r>
          </w:p>
        </w:tc>
        <w:tc>
          <w:tcPr>
            <w:tcW w:w="2835" w:type="dxa"/>
            <w:vAlign w:val="center"/>
          </w:tcPr>
          <w:p>
            <w:pPr>
              <w:pStyle w:val="10"/>
            </w:pPr>
            <w:r>
              <w:t>综合业务管理工作完成情况</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突发事件处置率</w:t>
            </w:r>
          </w:p>
        </w:tc>
        <w:tc>
          <w:tcPr>
            <w:tcW w:w="2835" w:type="dxa"/>
            <w:vAlign w:val="center"/>
          </w:tcPr>
          <w:p>
            <w:pPr>
              <w:pStyle w:val="10"/>
            </w:pPr>
            <w:r>
              <w:t>实际处置突发事件个数与实际发生数的比值</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经费支付及时性</w:t>
            </w:r>
          </w:p>
        </w:tc>
        <w:tc>
          <w:tcPr>
            <w:tcW w:w="2835" w:type="dxa"/>
            <w:vAlign w:val="center"/>
          </w:tcPr>
          <w:p>
            <w:pPr>
              <w:pStyle w:val="10"/>
            </w:pPr>
            <w:r>
              <w:t>经费支付及时性</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完成工作所需资金</w:t>
            </w:r>
          </w:p>
        </w:tc>
        <w:tc>
          <w:tcPr>
            <w:tcW w:w="2835" w:type="dxa"/>
            <w:vAlign w:val="center"/>
          </w:tcPr>
          <w:p>
            <w:pPr>
              <w:pStyle w:val="10"/>
            </w:pPr>
            <w:r>
              <w:t>完成工作所需资金</w:t>
            </w:r>
          </w:p>
        </w:tc>
        <w:tc>
          <w:tcPr>
            <w:tcW w:w="2551" w:type="dxa"/>
            <w:vAlign w:val="center"/>
          </w:tcPr>
          <w:p>
            <w:pPr>
              <w:pStyle w:val="10"/>
            </w:pPr>
            <w:r>
              <w:t>资金全部用于运维费</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持续发展作用力</w:t>
            </w:r>
          </w:p>
        </w:tc>
        <w:tc>
          <w:tcPr>
            <w:tcW w:w="2835" w:type="dxa"/>
            <w:vAlign w:val="center"/>
          </w:tcPr>
          <w:p>
            <w:pPr>
              <w:pStyle w:val="10"/>
            </w:pPr>
            <w:r>
              <w:t>持续发展作用力</w:t>
            </w:r>
          </w:p>
        </w:tc>
        <w:tc>
          <w:tcPr>
            <w:tcW w:w="2551" w:type="dxa"/>
            <w:vAlign w:val="center"/>
          </w:tcPr>
          <w:p>
            <w:pPr>
              <w:pStyle w:val="10"/>
            </w:pPr>
            <w:r>
              <w:t>保障餐饮单位排放量正常</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信息化保障支撑度</w:t>
            </w:r>
          </w:p>
        </w:tc>
        <w:tc>
          <w:tcPr>
            <w:tcW w:w="2835" w:type="dxa"/>
            <w:vAlign w:val="center"/>
          </w:tcPr>
          <w:p>
            <w:pPr>
              <w:pStyle w:val="10"/>
            </w:pPr>
            <w:r>
              <w:t>信息化水平有效支撑餐饮业监管工作正常开展情况</w:t>
            </w:r>
          </w:p>
        </w:tc>
        <w:tc>
          <w:tcPr>
            <w:tcW w:w="2551" w:type="dxa"/>
            <w:vAlign w:val="center"/>
          </w:tcPr>
          <w:p>
            <w:pPr>
              <w:pStyle w:val="10"/>
            </w:pPr>
            <w:r>
              <w:t>≥90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≥90</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、制式服装及标志经费绩效目标表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执法人员</w:t>
            </w:r>
          </w:p>
        </w:tc>
        <w:tc>
          <w:tcPr>
            <w:tcW w:w="2835" w:type="dxa"/>
            <w:vAlign w:val="center"/>
          </w:tcPr>
          <w:p>
            <w:pPr>
              <w:pStyle w:val="10"/>
            </w:pPr>
            <w:r>
              <w:t>拥有执法证人员</w:t>
            </w:r>
          </w:p>
        </w:tc>
        <w:tc>
          <w:tcPr>
            <w:tcW w:w="2551" w:type="dxa"/>
            <w:vAlign w:val="center"/>
          </w:tcPr>
          <w:p>
            <w:pPr>
              <w:pStyle w:val="10"/>
            </w:pPr>
            <w:r>
              <w:t>147人</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执法服装</w:t>
            </w:r>
          </w:p>
        </w:tc>
        <w:tc>
          <w:tcPr>
            <w:tcW w:w="2835" w:type="dxa"/>
            <w:vAlign w:val="center"/>
          </w:tcPr>
          <w:p>
            <w:pPr>
              <w:pStyle w:val="10"/>
            </w:pPr>
            <w:r>
              <w:t>执法服装采购质量</w:t>
            </w:r>
          </w:p>
        </w:tc>
        <w:tc>
          <w:tcPr>
            <w:tcW w:w="2551" w:type="dxa"/>
            <w:vAlign w:val="center"/>
          </w:tcPr>
          <w:p>
            <w:pPr>
              <w:pStyle w:val="10"/>
            </w:pPr>
            <w:r>
              <w:t>≥98%</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签订合同规定</w:t>
            </w:r>
          </w:p>
        </w:tc>
        <w:tc>
          <w:tcPr>
            <w:tcW w:w="2835" w:type="dxa"/>
            <w:vAlign w:val="center"/>
          </w:tcPr>
          <w:p>
            <w:pPr>
              <w:pStyle w:val="10"/>
            </w:pPr>
            <w:r>
              <w:t>合同内容规定时间</w:t>
            </w:r>
          </w:p>
        </w:tc>
        <w:tc>
          <w:tcPr>
            <w:tcW w:w="2551" w:type="dxa"/>
            <w:vAlign w:val="center"/>
          </w:tcPr>
          <w:p>
            <w:pPr>
              <w:pStyle w:val="10"/>
            </w:pPr>
            <w:r>
              <w:t>按时交服装</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制式服装成本</w:t>
            </w:r>
          </w:p>
        </w:tc>
        <w:tc>
          <w:tcPr>
            <w:tcW w:w="2835" w:type="dxa"/>
            <w:vAlign w:val="center"/>
          </w:tcPr>
          <w:p>
            <w:pPr>
              <w:pStyle w:val="10"/>
            </w:pPr>
            <w:r>
              <w:t>制式服装成本</w:t>
            </w:r>
          </w:p>
        </w:tc>
        <w:tc>
          <w:tcPr>
            <w:tcW w:w="2551" w:type="dxa"/>
            <w:vAlign w:val="center"/>
          </w:tcPr>
          <w:p>
            <w:pPr>
              <w:pStyle w:val="10"/>
            </w:pPr>
            <w:r>
              <w:t>49.15万元</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统一制式服装有利于执法检查</w:t>
            </w:r>
          </w:p>
        </w:tc>
        <w:tc>
          <w:tcPr>
            <w:tcW w:w="2835" w:type="dxa"/>
            <w:vAlign w:val="center"/>
          </w:tcPr>
          <w:p>
            <w:pPr>
              <w:pStyle w:val="10"/>
            </w:pPr>
            <w:r>
              <w:t>统一制式服装有利于执法检查</w:t>
            </w:r>
          </w:p>
        </w:tc>
        <w:tc>
          <w:tcPr>
            <w:tcW w:w="2551" w:type="dxa"/>
            <w:vAlign w:val="center"/>
          </w:tcPr>
          <w:p>
            <w:pPr>
              <w:pStyle w:val="10"/>
            </w:pPr>
            <w:r>
              <w:t>≥100%</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执法办案率</w:t>
            </w:r>
          </w:p>
        </w:tc>
        <w:tc>
          <w:tcPr>
            <w:tcW w:w="2835" w:type="dxa"/>
            <w:vAlign w:val="center"/>
          </w:tcPr>
          <w:p>
            <w:pPr>
              <w:pStyle w:val="10"/>
            </w:pPr>
            <w:r>
              <w:t>执法办案率完成</w:t>
            </w:r>
          </w:p>
        </w:tc>
        <w:tc>
          <w:tcPr>
            <w:tcW w:w="2551" w:type="dxa"/>
            <w:vAlign w:val="center"/>
          </w:tcPr>
          <w:p>
            <w:pPr>
              <w:pStyle w:val="10"/>
            </w:pPr>
            <w:r>
              <w:t>≥100%</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≥100%</w:t>
            </w:r>
          </w:p>
        </w:tc>
        <w:tc>
          <w:tcPr>
            <w:tcW w:w="2268" w:type="dxa"/>
            <w:vAlign w:val="center"/>
          </w:tcPr>
          <w:p>
            <w:pPr>
              <w:pStyle w:val="10"/>
            </w:pPr>
            <w:r>
              <w:t>年度工作安排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2022年，沙河市市场监督管理局安排政府采购预算0.00万元。具体内容见下表。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194002沙河市市场监督管理局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沙河市市场监督管理局上年末固定资产金额为3533.97万元（详见下表）。本年度拟购置固定资产总额为0.00万元。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194002沙河市市场监督管理局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3533.97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1.66</w:t>
            </w:r>
          </w:p>
        </w:tc>
        <w:tc>
          <w:tcPr>
            <w:tcW w:w="2835" w:type="dxa"/>
            <w:vAlign w:val="center"/>
          </w:tcPr>
          <w:p>
            <w:pPr>
              <w:pStyle w:val="11"/>
            </w:pPr>
            <w:r>
              <w:t>2013.66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1.37</w:t>
            </w:r>
          </w:p>
        </w:tc>
        <w:tc>
          <w:tcPr>
            <w:tcW w:w="2835" w:type="dxa"/>
            <w:vAlign w:val="center"/>
          </w:tcPr>
          <w:p>
            <w:pPr>
              <w:pStyle w:val="11"/>
            </w:pPr>
            <w:r>
              <w:t>1455.92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39</w:t>
            </w:r>
          </w:p>
        </w:tc>
        <w:tc>
          <w:tcPr>
            <w:tcW w:w="2835" w:type="dxa"/>
            <w:vAlign w:val="center"/>
          </w:tcPr>
          <w:p>
            <w:pPr>
              <w:pStyle w:val="11"/>
            </w:pPr>
            <w:r>
              <w:t>435.82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t>1084.49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MWE5ZDkzMTNkOTc2YzljZDk4YmE5MzEwM2RmZmIifQ=="/>
  </w:docVars>
  <w:rsids>
    <w:rsidRoot w:val="00000000"/>
    <w:rsid w:val="03162DEE"/>
    <w:rsid w:val="05AB5E10"/>
    <w:rsid w:val="0EAE79D2"/>
    <w:rsid w:val="146E7BC4"/>
    <w:rsid w:val="2CCD11AB"/>
    <w:rsid w:val="2D2F07C3"/>
    <w:rsid w:val="2F1F4B30"/>
    <w:rsid w:val="35E11256"/>
    <w:rsid w:val="417B255F"/>
    <w:rsid w:val="492B6619"/>
    <w:rsid w:val="4D4C4DB0"/>
    <w:rsid w:val="5F721B6A"/>
    <w:rsid w:val="62524011"/>
    <w:rsid w:val="6C411749"/>
    <w:rsid w:val="72141A90"/>
    <w:rsid w:val="734865FF"/>
    <w:rsid w:val="7A291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11926</Words>
  <Characters>13597</Characters>
  <Lines>0</Lines>
  <Paragraphs>0</Paragraphs>
  <TotalTime>9</TotalTime>
  <ScaleCrop>false</ScaleCrop>
  <LinksUpToDate>false</LinksUpToDate>
  <CharactersWithSpaces>13779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2023-09-03T07:13:00Z</dcterms:created>
  <dc:creator>Administrator</dc:creator>
  <cp:lastModifiedBy>路</cp:lastModifiedBy>
  <dcterms:modified xsi:type="dcterms:W3CDTF">2024-03-19T03:35:18Z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E660AC8D911A4FF287481CAB371C9504_12</vt:lpwstr>
  </property>
</Properties>
</file>