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color w:val="FF0000"/>
          <w:sz w:val="44"/>
          <w:szCs w:val="44"/>
        </w:rPr>
      </w:pPr>
      <w:r>
        <w:rPr>
          <w:rFonts w:hint="eastAsia" w:ascii="方正小标宋简体" w:hAnsi="方正小标宋简体" w:eastAsia="方正小标宋简体" w:cs="方正小标宋简体"/>
          <w:sz w:val="44"/>
          <w:szCs w:val="44"/>
        </w:rPr>
        <w:t>沙河市信访局</w:t>
      </w:r>
    </w:p>
    <w:p>
      <w:pPr>
        <w:jc w:val="center"/>
        <w:rPr>
          <w:rFonts w:ascii="Times New Roman" w:hAnsi="Times New Roman" w:eastAsia="Times New Roman" w:cs="Times New Roman"/>
          <w:sz w:val="44"/>
          <w:szCs w:val="44"/>
        </w:rPr>
      </w:pPr>
      <w:r>
        <w:rPr>
          <w:rFonts w:ascii="Times New Roman" w:hAnsi="Times New Roman" w:eastAsia="Times New Roman" w:cs="Times New Roman"/>
          <w:sz w:val="44"/>
          <w:szCs w:val="44"/>
        </w:rPr>
        <w:t>2020</w:t>
      </w:r>
      <w:r>
        <w:rPr>
          <w:rFonts w:hint="eastAsia" w:ascii="宋体" w:hAnsi="宋体" w:cs="宋体"/>
          <w:sz w:val="44"/>
          <w:szCs w:val="44"/>
        </w:rPr>
        <w:t>年部门预算信息公开情况说明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按照《预算法》、《地方预决算公开操作规程》规定，现将</w:t>
      </w:r>
      <w:r>
        <w:rPr>
          <w:rFonts w:ascii="仿宋" w:hAnsi="仿宋" w:eastAsia="仿宋" w:cs="Times New Roman"/>
          <w:sz w:val="32"/>
          <w:szCs w:val="32"/>
        </w:rPr>
        <w:t>2020</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部门职责：</w:t>
      </w:r>
    </w:p>
    <w:p>
      <w:pPr>
        <w:spacing w:line="610" w:lineRule="exact"/>
        <w:ind w:firstLine="640"/>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研究提出全市信访工作的思路，拟定信访工作有关措施、办法。</w:t>
      </w:r>
    </w:p>
    <w:p>
      <w:pPr>
        <w:spacing w:line="610" w:lineRule="exact"/>
        <w:ind w:firstLine="640"/>
        <w:rPr>
          <w:rFonts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办理人民群众来信，接待群众来访，查办信访案件；负责市委、市政府人民群众建议征集办公室工作。</w:t>
      </w:r>
    </w:p>
    <w:p>
      <w:pPr>
        <w:spacing w:line="610" w:lineRule="exact"/>
        <w:ind w:firstLine="640"/>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调查研究和综合分析全市信访形势及信访工作状况，及时向市委、市政府及市委办公室、市政府办公室提出对策和建议。</w:t>
      </w:r>
    </w:p>
    <w:p>
      <w:pPr>
        <w:spacing w:line="610" w:lineRule="exact"/>
        <w:ind w:firstLine="640"/>
        <w:rPr>
          <w:rFonts w:ascii="仿宋_GB2312" w:hAnsi="仿宋_GB2312" w:eastAsia="仿宋_GB2312" w:cs="仿宋_GB2312"/>
          <w:sz w:val="32"/>
          <w:szCs w:val="32"/>
        </w:rPr>
      </w:pPr>
      <w:r>
        <w:rPr>
          <w:rFonts w:hint="eastAsia" w:ascii="仿宋_GB2312" w:eastAsia="仿宋_GB2312"/>
          <w:sz w:val="32"/>
          <w:szCs w:val="32"/>
        </w:rPr>
        <w:t>（四）</w:t>
      </w:r>
      <w:r>
        <w:rPr>
          <w:rFonts w:hint="eastAsia" w:ascii="仿宋_GB2312" w:hAnsi="仿宋_GB2312" w:eastAsia="仿宋_GB2312" w:cs="仿宋_GB2312"/>
          <w:sz w:val="32"/>
          <w:szCs w:val="32"/>
        </w:rPr>
        <w:t>参与组织、协调、指导全市维护社会政治稳定工作，保障国家和省、邢、市重大政治活动的顺利进行，参与处理影响社会政治稳定的突发性、群体性事件。</w:t>
      </w:r>
    </w:p>
    <w:p>
      <w:pPr>
        <w:spacing w:line="610" w:lineRule="exact"/>
        <w:ind w:firstLine="640"/>
        <w:rPr>
          <w:rFonts w:ascii="仿宋_GB2312" w:eastAsia="仿宋_GB2312"/>
          <w:sz w:val="32"/>
          <w:szCs w:val="32"/>
        </w:rPr>
      </w:pPr>
      <w:r>
        <w:rPr>
          <w:rFonts w:hint="eastAsia" w:ascii="仿宋_GB2312" w:eastAsia="仿宋_GB2312"/>
          <w:sz w:val="32"/>
          <w:szCs w:val="32"/>
        </w:rPr>
        <w:t>（五）负责对乡（镇、办）党委、政府和市直部门信访工作年度责任目标进行考核，对全市社会治安综合治理和维护社会政治稳定年度责任目标中有关信访工作进行考核。</w:t>
      </w:r>
    </w:p>
    <w:p>
      <w:pPr>
        <w:spacing w:line="610" w:lineRule="exact"/>
        <w:ind w:firstLine="640"/>
        <w:rPr>
          <w:rFonts w:ascii="仿宋_GB2312" w:eastAsia="仿宋_GB2312"/>
          <w:sz w:val="32"/>
          <w:szCs w:val="32"/>
        </w:rPr>
      </w:pPr>
      <w:r>
        <w:rPr>
          <w:rFonts w:hint="eastAsia" w:ascii="仿宋_GB2312" w:eastAsia="仿宋_GB2312"/>
          <w:sz w:val="32"/>
          <w:szCs w:val="32"/>
        </w:rPr>
        <w:t>（六）协调国家信访局、省信访局、邢台市信访局处理沙河市群众进京、赴省、到邢上访；协调公安机关维护市委、市政府机关正常工作秩序。</w:t>
      </w:r>
    </w:p>
    <w:p>
      <w:pPr>
        <w:spacing w:line="610" w:lineRule="exact"/>
        <w:ind w:firstLine="640"/>
        <w:rPr>
          <w:rFonts w:ascii="仿宋_GB2312" w:eastAsia="仿宋_GB2312"/>
          <w:sz w:val="32"/>
          <w:szCs w:val="32"/>
        </w:rPr>
      </w:pPr>
      <w:r>
        <w:rPr>
          <w:rFonts w:hint="eastAsia" w:ascii="仿宋_GB2312" w:eastAsia="仿宋_GB2312"/>
          <w:sz w:val="32"/>
          <w:szCs w:val="32"/>
        </w:rPr>
        <w:t>（七）督促检查和指导全市各级党委、政府的信访工作，指导全市信访工作的业务建设。</w:t>
      </w:r>
    </w:p>
    <w:p>
      <w:pPr>
        <w:spacing w:line="610" w:lineRule="exact"/>
        <w:ind w:firstLine="640"/>
        <w:rPr>
          <w:rFonts w:ascii="仿宋_GB2312" w:eastAsia="仿宋_GB2312"/>
          <w:sz w:val="32"/>
          <w:szCs w:val="32"/>
        </w:rPr>
      </w:pPr>
      <w:r>
        <w:rPr>
          <w:rFonts w:hint="eastAsia" w:ascii="仿宋_GB2312" w:eastAsia="仿宋_GB2312"/>
          <w:sz w:val="32"/>
          <w:szCs w:val="32"/>
        </w:rPr>
        <w:t>（八）负责市级领导信访接待日的组织工作。</w:t>
      </w:r>
    </w:p>
    <w:p>
      <w:pPr>
        <w:spacing w:line="610" w:lineRule="exact"/>
        <w:ind w:firstLine="640"/>
        <w:rPr>
          <w:rFonts w:ascii="仿宋_GB2312" w:eastAsia="仿宋_GB2312"/>
          <w:sz w:val="32"/>
          <w:szCs w:val="32"/>
        </w:rPr>
      </w:pPr>
      <w:r>
        <w:rPr>
          <w:rFonts w:hint="eastAsia" w:ascii="仿宋_GB2312" w:eastAsia="仿宋_GB2312"/>
          <w:sz w:val="32"/>
          <w:szCs w:val="32"/>
        </w:rPr>
        <w:t>（九）承办市委、市政府以及上级信访部门交办的有关信访工作事宜。</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tbl>
      <w:tblPr>
        <w:tblStyle w:val="6"/>
        <w:tblpPr w:leftFromText="180" w:rightFromText="180" w:vertAnchor="text" w:horzAnchor="page" w:tblpX="1549" w:tblpY="342"/>
        <w:tblOverlap w:val="never"/>
        <w:tblW w:w="9096" w:type="dxa"/>
        <w:tblInd w:w="0" w:type="dxa"/>
        <w:tblLayout w:type="fixed"/>
        <w:tblCellMar>
          <w:top w:w="0" w:type="dxa"/>
          <w:left w:w="0" w:type="dxa"/>
          <w:bottom w:w="0" w:type="dxa"/>
          <w:right w:w="0" w:type="dxa"/>
        </w:tblCellMar>
      </w:tblPr>
      <w:tblGrid>
        <w:gridCol w:w="2962"/>
        <w:gridCol w:w="1667"/>
        <w:gridCol w:w="1845"/>
        <w:gridCol w:w="2622"/>
      </w:tblGrid>
      <w:tr>
        <w:tblPrEx>
          <w:tblCellMar>
            <w:top w:w="0" w:type="dxa"/>
            <w:left w:w="0" w:type="dxa"/>
            <w:bottom w:w="0" w:type="dxa"/>
            <w:right w:w="0" w:type="dxa"/>
          </w:tblCellMar>
        </w:tblPrEx>
        <w:trPr>
          <w:trHeight w:val="639" w:hRule="atLeast"/>
        </w:trPr>
        <w:tc>
          <w:tcPr>
            <w:tcW w:w="296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1667"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1845"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2622"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tblPrEx>
          <w:tblCellMar>
            <w:top w:w="0" w:type="dxa"/>
            <w:left w:w="0" w:type="dxa"/>
            <w:bottom w:w="0" w:type="dxa"/>
            <w:right w:w="0" w:type="dxa"/>
          </w:tblCellMar>
        </w:tblPrEx>
        <w:trPr>
          <w:trHeight w:val="639" w:hRule="atLeast"/>
        </w:trPr>
        <w:tc>
          <w:tcPr>
            <w:tcW w:w="296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沙河市信访局</w:t>
            </w:r>
          </w:p>
        </w:tc>
        <w:tc>
          <w:tcPr>
            <w:tcW w:w="1667"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行政</w:t>
            </w:r>
          </w:p>
        </w:tc>
        <w:tc>
          <w:tcPr>
            <w:tcW w:w="1845"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2622"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财政拨款</w:t>
            </w:r>
          </w:p>
        </w:tc>
      </w:tr>
    </w:tbl>
    <w:p>
      <w:pPr>
        <w:rPr>
          <w:rFonts w:hint="eastAsia"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按照预算管理有关规定，目前我市部门预算的编制实行综合预算制度，即全部收入和支出都反映的预算中，单位的收支包含在部门预算中。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年预算收入</w:t>
      </w:r>
      <w:r>
        <w:rPr>
          <w:rFonts w:ascii="仿宋_GB2312" w:hAnsi="仿宋_GB2312" w:eastAsia="仿宋_GB2312" w:cs="仿宋_GB2312"/>
          <w:sz w:val="32"/>
          <w:szCs w:val="32"/>
        </w:rPr>
        <w:t>379.18</w:t>
      </w:r>
      <w:r>
        <w:rPr>
          <w:rFonts w:hint="eastAsia" w:ascii="仿宋_GB2312" w:hAnsi="仿宋_GB2312" w:eastAsia="仿宋_GB2312" w:cs="仿宋_GB2312"/>
          <w:sz w:val="32"/>
          <w:szCs w:val="32"/>
        </w:rPr>
        <w:t>万元，其中：一般公共预算收入</w:t>
      </w:r>
      <w:r>
        <w:rPr>
          <w:rFonts w:ascii="仿宋_GB2312" w:hAnsi="仿宋_GB2312" w:eastAsia="仿宋_GB2312" w:cs="仿宋_GB2312"/>
          <w:sz w:val="32"/>
          <w:szCs w:val="32"/>
        </w:rPr>
        <w:t>379.18</w:t>
      </w:r>
      <w:r>
        <w:rPr>
          <w:rFonts w:hint="eastAsia" w:ascii="仿宋_GB2312" w:hAnsi="仿宋_GB2312" w:eastAsia="仿宋_GB2312" w:cs="仿宋_GB2312"/>
          <w:sz w:val="32"/>
          <w:szCs w:val="32"/>
        </w:rPr>
        <w:t>万元，基金预算拨款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年支出预算</w:t>
      </w:r>
      <w:r>
        <w:rPr>
          <w:rFonts w:ascii="仿宋_GB2312" w:hAnsi="仿宋_GB2312" w:eastAsia="仿宋_GB2312" w:cs="仿宋_GB2312"/>
          <w:sz w:val="32"/>
          <w:szCs w:val="32"/>
        </w:rPr>
        <w:t>379.18</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145.18</w:t>
      </w:r>
      <w:r>
        <w:rPr>
          <w:rFonts w:hint="eastAsia" w:ascii="仿宋_GB2312" w:hAnsi="仿宋_GB2312" w:eastAsia="仿宋_GB2312" w:cs="仿宋_GB2312"/>
          <w:sz w:val="32"/>
          <w:szCs w:val="32"/>
        </w:rPr>
        <w:t>万元，包括人员经费和日常公用经费；项目支出</w:t>
      </w:r>
      <w:r>
        <w:rPr>
          <w:rFonts w:ascii="仿宋_GB2312" w:hAnsi="仿宋_GB2312" w:eastAsia="仿宋_GB2312" w:cs="仿宋_GB2312"/>
          <w:sz w:val="32"/>
          <w:szCs w:val="32"/>
        </w:rPr>
        <w:t>234</w:t>
      </w:r>
      <w:r>
        <w:rPr>
          <w:rFonts w:hint="eastAsia" w:ascii="仿宋_GB2312" w:hAnsi="仿宋_GB2312" w:eastAsia="仿宋_GB2312" w:cs="仿宋_GB2312"/>
          <w:sz w:val="32"/>
          <w:szCs w:val="32"/>
        </w:rPr>
        <w:t>万元，全部为本级支出的信访局运转经费，包括群众工作中心运转经费、信访工作经费和处理信访事件补助经费。</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年预算收支安排</w:t>
      </w:r>
      <w:r>
        <w:rPr>
          <w:rFonts w:ascii="仿宋_GB2312" w:hAnsi="仿宋_GB2312" w:eastAsia="仿宋_GB2312" w:cs="仿宋_GB2312"/>
          <w:sz w:val="32"/>
          <w:szCs w:val="32"/>
        </w:rPr>
        <w:t>379.18</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年预算减少</w:t>
      </w:r>
      <w:r>
        <w:rPr>
          <w:rFonts w:ascii="仿宋_GB2312" w:hAnsi="仿宋_GB2312" w:eastAsia="仿宋_GB2312" w:cs="仿宋_GB2312"/>
          <w:sz w:val="32"/>
          <w:szCs w:val="32"/>
        </w:rPr>
        <w:t>12.93</w:t>
      </w:r>
      <w:r>
        <w:rPr>
          <w:rFonts w:hint="eastAsia" w:ascii="仿宋_GB2312" w:hAnsi="仿宋_GB2312" w:eastAsia="仿宋_GB2312" w:cs="仿宋_GB2312"/>
          <w:sz w:val="32"/>
          <w:szCs w:val="32"/>
        </w:rPr>
        <w:t>万元，其中基本支出增加</w:t>
      </w:r>
      <w:r>
        <w:rPr>
          <w:rFonts w:ascii="仿宋_GB2312" w:hAnsi="仿宋_GB2312" w:eastAsia="仿宋_GB2312" w:cs="仿宋_GB2312"/>
          <w:sz w:val="32"/>
          <w:szCs w:val="32"/>
        </w:rPr>
        <w:t>13.07</w:t>
      </w:r>
      <w:r>
        <w:rPr>
          <w:rFonts w:hint="eastAsia" w:ascii="仿宋_GB2312" w:hAnsi="仿宋_GB2312" w:eastAsia="仿宋_GB2312" w:cs="仿宋_GB2312"/>
          <w:sz w:val="32"/>
          <w:szCs w:val="32"/>
        </w:rPr>
        <w:t>万元，主要为人员经费支出增加；项目支出减少</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万元，主要为处理信访事件补助经费减少</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万元。</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8" w:firstLine="620" w:firstLineChars="19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ascii="仿宋_GB2312" w:hAnsi="仿宋_GB2312" w:eastAsia="仿宋_GB2312" w:cs="仿宋_GB2312"/>
          <w:sz w:val="32"/>
          <w:szCs w:val="32"/>
        </w:rPr>
        <w:t>10.67</w:t>
      </w:r>
      <w:r>
        <w:rPr>
          <w:rFonts w:hint="eastAsia" w:ascii="仿宋_GB2312" w:hAnsi="仿宋_GB2312" w:eastAsia="仿宋_GB2312" w:cs="仿宋_GB2312"/>
          <w:sz w:val="32"/>
          <w:szCs w:val="32"/>
        </w:rPr>
        <w:t>万元，主要用于机关正常运转的办公费、公务交通补贴、福利费、工会经费支出。</w:t>
      </w:r>
    </w:p>
    <w:p>
      <w:p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spacing w:line="610" w:lineRule="exact"/>
        <w:ind w:firstLine="640"/>
        <w:rPr>
          <w:rFonts w:ascii="黑体" w:hAnsi="黑体" w:eastAsia="黑体" w:cs="Times New Roman"/>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年，我部门“三公”经费预算安排</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元；公务用车购置及运维费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元，公务用车运维费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年相比增加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万元。主要原因是我部门安排公务接待经费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w:t>
      </w:r>
    </w:p>
    <w:p>
      <w:p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jc w:val="center"/>
        <w:rPr>
          <w:rFonts w:ascii="Times New Roman" w:hAnsi="宋体" w:cs="宋体"/>
          <w:b/>
          <w:sz w:val="44"/>
        </w:rPr>
      </w:pPr>
      <w:r>
        <w:rPr>
          <w:rFonts w:hint="eastAsia" w:ascii="方正小标宋_GBK" w:hAnsi="方正小标宋_GBK" w:eastAsia="方正小标宋_GBK" w:cs="方正小标宋_GBK"/>
          <w:b/>
          <w:sz w:val="44"/>
        </w:rPr>
        <w:t>第一部分</w:t>
      </w:r>
    </w:p>
    <w:p>
      <w:pPr>
        <w:jc w:val="center"/>
        <w:outlineLvl w:val="0"/>
        <w:rPr>
          <w:rFonts w:ascii="Times New Roman" w:hAnsi="宋体" w:cs="宋体"/>
          <w:b/>
          <w:sz w:val="44"/>
        </w:rPr>
      </w:pPr>
      <w:r>
        <w:rPr>
          <w:rFonts w:hint="eastAsia" w:ascii="方正小标宋_GBK" w:hAnsi="方正小标宋_GBK" w:eastAsia="方正小标宋_GBK" w:cs="方正小标宋_GBK"/>
          <w:b/>
          <w:sz w:val="44"/>
        </w:rPr>
        <w:t>部门整体绩效目标</w:t>
      </w:r>
    </w:p>
    <w:p>
      <w:pPr>
        <w:jc w:val="center"/>
        <w:rPr>
          <w:rFonts w:ascii="Times New Roman" w:hAnsi="宋体" w:cs="宋体"/>
          <w:b/>
          <w:sz w:val="44"/>
        </w:rPr>
      </w:pPr>
      <w:r>
        <w:rPr>
          <w:rFonts w:ascii="方正小标宋_GBK" w:hAnsi="方正小标宋_GBK" w:eastAsia="方正小标宋_GBK" w:cs="方正小标宋_GBK"/>
          <w:b/>
          <w:sz w:val="44"/>
        </w:rPr>
        <w:t xml:space="preserve"> </w:t>
      </w:r>
    </w:p>
    <w:p>
      <w:pPr>
        <w:ind w:firstLine="562" w:firstLineChars="200"/>
        <w:jc w:val="left"/>
        <w:outlineLvl w:val="1"/>
        <w:rPr>
          <w:rFonts w:ascii="Times New Roman" w:hAnsi="宋体" w:cs="宋体"/>
          <w:b/>
          <w:sz w:val="28"/>
        </w:rPr>
      </w:pPr>
      <w:r>
        <w:rPr>
          <w:rFonts w:hint="eastAsia" w:ascii="方正黑体_GBK" w:hAnsi="方正黑体_GBK" w:eastAsia="方正黑体_GBK" w:cs="方正黑体_GBK"/>
          <w:b/>
          <w:sz w:val="28"/>
        </w:rPr>
        <w:t>一、总体绩效目标</w:t>
      </w:r>
      <w:bookmarkStart w:id="0" w:name="_Toc3516"/>
      <w:bookmarkStart w:id="1" w:name="_Toc10621"/>
      <w:r>
        <w:rPr>
          <w:rFonts w:ascii="方正黑体_GBK" w:hAnsi="方正黑体_GBK" w:eastAsia="方正黑体_GBK" w:cs="方正黑体_GBK"/>
          <w:b/>
          <w:sz w:val="28"/>
        </w:rPr>
        <w:fldChar w:fldCharType="begin"/>
      </w:r>
      <w:r>
        <w:rPr>
          <w:rFonts w:ascii="方正黑体_GBK" w:hAnsi="方正黑体_GBK" w:eastAsia="方正黑体_GBK" w:cs="方正黑体_GBK"/>
          <w:b/>
          <w:sz w:val="28"/>
        </w:rPr>
        <w:instrText xml:space="preserve">tc "</w:instrText>
      </w:r>
      <w:r>
        <w:rPr>
          <w:rFonts w:hint="eastAsia" w:ascii="方正黑体_GBK" w:hAnsi="方正黑体_GBK" w:eastAsia="方正黑体_GBK" w:cs="方正黑体_GBK"/>
          <w:b/>
          <w:sz w:val="28"/>
        </w:rPr>
        <w:instrText xml:space="preserve">总体绩效目标</w:instrText>
      </w:r>
      <w:r>
        <w:rPr>
          <w:rFonts w:ascii="方正黑体_GBK" w:hAnsi="方正黑体_GBK" w:eastAsia="方正黑体_GBK" w:cs="方正黑体_GBK"/>
          <w:b/>
          <w:sz w:val="28"/>
        </w:rPr>
        <w:instrText xml:space="preserve">" \f A \l 01</w:instrText>
      </w:r>
      <w:r>
        <w:rPr>
          <w:rFonts w:ascii="方正黑体_GBK" w:hAnsi="方正黑体_GBK" w:eastAsia="方正黑体_GBK" w:cs="方正黑体_GBK"/>
          <w:b/>
          <w:sz w:val="28"/>
        </w:rPr>
        <w:fldChar w:fldCharType="end"/>
      </w:r>
      <w:bookmarkEnd w:id="0"/>
      <w:bookmarkEnd w:id="1"/>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2020</w:t>
      </w:r>
      <w:r>
        <w:rPr>
          <w:rFonts w:hint="eastAsia" w:ascii="Times New Roman" w:hAnsi="方正仿宋_GBK" w:eastAsia="方正仿宋_GBK" w:cs="方正仿宋_GBK"/>
          <w:sz w:val="28"/>
        </w:rPr>
        <w:t>年，沙河市信访局要继续以邓小平理论、“三个代表”重要思想、科学发展观为指导，深入贯彻落实习近平总书记系列重要讲话精神，做好正常信访、非访、突发性及群体性事件的办理；提供相关服务保障；协助上级信访局处理越级上访；信访事项督查、复查复核、听证工作，进一步提高信访干部业务能力；吸收可行建议，改进信访工作；提高信访信息化应用水平，实现办公自动化、网络化智能化。保障信访群众服务中心正常运转；确保会议正常召开。</w:t>
      </w:r>
    </w:p>
    <w:p>
      <w:pPr>
        <w:spacing w:line="500" w:lineRule="exact"/>
        <w:ind w:firstLine="560" w:firstLineChars="200"/>
        <w:jc w:val="left"/>
        <w:rPr>
          <w:rFonts w:ascii="Times New Roman" w:hAnsi="方正仿宋_GBK" w:eastAsia="方正仿宋_GBK" w:cs="方正仿宋_GBK"/>
          <w:sz w:val="28"/>
        </w:rPr>
      </w:pPr>
    </w:p>
    <w:p>
      <w:pPr>
        <w:spacing w:line="500" w:lineRule="exact"/>
        <w:ind w:firstLine="560" w:firstLineChars="200"/>
        <w:jc w:val="left"/>
        <w:outlineLvl w:val="1"/>
        <w:rPr>
          <w:rFonts w:ascii="Times New Roman" w:hAnsi="宋体" w:cs="宋体"/>
          <w:sz w:val="28"/>
        </w:rPr>
      </w:pPr>
      <w:r>
        <w:rPr>
          <w:rFonts w:hint="eastAsia" w:ascii="方正黑体_GBK" w:hAnsi="方正黑体_GBK" w:eastAsia="方正黑体_GBK" w:cs="方正黑体_GBK"/>
          <w:sz w:val="28"/>
        </w:rPr>
        <w:t>二、分项绩效目标</w:t>
      </w:r>
      <w:bookmarkStart w:id="2" w:name="_Toc14667"/>
      <w:bookmarkStart w:id="3" w:name="_Toc26578"/>
      <w:r>
        <w:rPr>
          <w:rFonts w:ascii="方正黑体_GBK" w:hAnsi="方正黑体_GBK" w:eastAsia="方正黑体_GBK" w:cs="方正黑体_GBK"/>
          <w:sz w:val="28"/>
        </w:rPr>
        <w:fldChar w:fldCharType="begin"/>
      </w:r>
      <w:r>
        <w:rPr>
          <w:rFonts w:ascii="方正黑体_GBK" w:hAnsi="方正黑体_GBK" w:eastAsia="方正黑体_GBK" w:cs="方正黑体_GBK"/>
          <w:sz w:val="28"/>
        </w:rPr>
        <w:instrText xml:space="preserve">tc "</w:instrText>
      </w:r>
      <w:r>
        <w:rPr>
          <w:rFonts w:hint="eastAsia" w:ascii="方正黑体_GBK" w:hAnsi="方正黑体_GBK" w:eastAsia="方正黑体_GBK" w:cs="方正黑体_GBK"/>
          <w:sz w:val="28"/>
        </w:rPr>
        <w:instrText xml:space="preserve">分项绩效目标</w:instrText>
      </w:r>
      <w:r>
        <w:rPr>
          <w:rFonts w:ascii="方正黑体_GBK" w:hAnsi="方正黑体_GBK" w:eastAsia="方正黑体_GBK" w:cs="方正黑体_GBK"/>
          <w:sz w:val="28"/>
        </w:rPr>
        <w:instrText xml:space="preserve">" \f A \l 01</w:instrText>
      </w:r>
      <w:r>
        <w:rPr>
          <w:rFonts w:ascii="方正黑体_GBK" w:hAnsi="方正黑体_GBK" w:eastAsia="方正黑体_GBK" w:cs="方正黑体_GBK"/>
          <w:sz w:val="28"/>
        </w:rPr>
        <w:fldChar w:fldCharType="end"/>
      </w:r>
      <w:bookmarkEnd w:id="2"/>
      <w:bookmarkEnd w:id="3"/>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1</w:t>
      </w:r>
      <w:r>
        <w:rPr>
          <w:rFonts w:hint="eastAsia" w:ascii="Times New Roman" w:hAnsi="方正仿宋_GBK" w:eastAsia="方正仿宋_GBK" w:cs="方正仿宋_GBK"/>
          <w:sz w:val="28"/>
        </w:rPr>
        <w:t>、市级领导敞开接访，畅通信访渠道。</w:t>
      </w:r>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2</w:t>
      </w:r>
      <w:r>
        <w:rPr>
          <w:rFonts w:hint="eastAsia" w:ascii="Times New Roman" w:hAnsi="方正仿宋_GBK" w:eastAsia="方正仿宋_GBK" w:cs="方正仿宋_GBK"/>
          <w:sz w:val="28"/>
        </w:rPr>
        <w:t>、及时摸排矛盾隐患，消除不稳定因素。</w:t>
      </w:r>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3</w:t>
      </w:r>
      <w:r>
        <w:rPr>
          <w:rFonts w:hint="eastAsia" w:ascii="Times New Roman" w:hAnsi="方正仿宋_GBK" w:eastAsia="方正仿宋_GBK" w:cs="方正仿宋_GBK"/>
          <w:sz w:val="28"/>
        </w:rPr>
        <w:t>、认真开展化解信访积案专项行动。</w:t>
      </w:r>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4</w:t>
      </w:r>
      <w:r>
        <w:rPr>
          <w:rFonts w:hint="eastAsia" w:ascii="Times New Roman" w:hAnsi="方正仿宋_GBK" w:eastAsia="方正仿宋_GBK" w:cs="方正仿宋_GBK"/>
          <w:sz w:val="28"/>
        </w:rPr>
        <w:t>、加大工作力度，保障“三率”指标提升。</w:t>
      </w:r>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5</w:t>
      </w:r>
      <w:r>
        <w:rPr>
          <w:rFonts w:hint="eastAsia" w:ascii="Times New Roman" w:hAnsi="方正仿宋_GBK" w:eastAsia="方正仿宋_GBK" w:cs="方正仿宋_GBK"/>
          <w:sz w:val="28"/>
        </w:rPr>
        <w:t>、进一步健全完善信访工作制度。</w:t>
      </w:r>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6</w:t>
      </w:r>
      <w:r>
        <w:rPr>
          <w:rFonts w:hint="eastAsia" w:ascii="Times New Roman" w:hAnsi="方正仿宋_GBK" w:eastAsia="方正仿宋_GBK" w:cs="方正仿宋_GBK"/>
          <w:sz w:val="28"/>
        </w:rPr>
        <w:t>、加大对进京“非访”违法行为打击力度。</w:t>
      </w:r>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7</w:t>
      </w:r>
      <w:r>
        <w:rPr>
          <w:rFonts w:hint="eastAsia" w:ascii="Times New Roman" w:hAnsi="方正仿宋_GBK" w:eastAsia="方正仿宋_GBK" w:cs="方正仿宋_GBK"/>
          <w:sz w:val="28"/>
        </w:rPr>
        <w:t>、圆满完成重大敏感时期的信访维稳值班工作。</w:t>
      </w:r>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8</w:t>
      </w:r>
      <w:r>
        <w:rPr>
          <w:rFonts w:hint="eastAsia" w:ascii="Times New Roman" w:hAnsi="方正仿宋_GBK" w:eastAsia="方正仿宋_GBK" w:cs="方正仿宋_GBK"/>
          <w:sz w:val="28"/>
        </w:rPr>
        <w:t>、精心谋划群众工作中心建设。</w:t>
      </w:r>
    </w:p>
    <w:p>
      <w:pPr>
        <w:spacing w:line="500" w:lineRule="exact"/>
        <w:ind w:firstLine="560" w:firstLineChars="200"/>
        <w:jc w:val="left"/>
        <w:rPr>
          <w:rFonts w:ascii="Times New Roman" w:hAnsi="方正仿宋_GBK" w:eastAsia="方正仿宋_GBK" w:cs="方正仿宋_GBK"/>
          <w:sz w:val="28"/>
        </w:rPr>
      </w:pPr>
      <w:r>
        <w:rPr>
          <w:rFonts w:ascii="Times New Roman" w:hAnsi="方正仿宋_GBK" w:eastAsia="方正仿宋_GBK" w:cs="方正仿宋_GBK"/>
          <w:sz w:val="28"/>
        </w:rPr>
        <w:t>9</w:t>
      </w:r>
      <w:r>
        <w:rPr>
          <w:rFonts w:hint="eastAsia" w:ascii="Times New Roman" w:hAnsi="方正仿宋_GBK" w:eastAsia="方正仿宋_GBK" w:cs="方正仿宋_GBK"/>
          <w:sz w:val="28"/>
        </w:rPr>
        <w:t>、积极建言献策，提供合理化建议。</w:t>
      </w:r>
    </w:p>
    <w:p>
      <w:pPr>
        <w:spacing w:line="500" w:lineRule="exact"/>
        <w:ind w:firstLine="560" w:firstLineChars="200"/>
        <w:jc w:val="left"/>
        <w:rPr>
          <w:rFonts w:ascii="Times New Roman" w:hAnsi="方正仿宋_GBK" w:eastAsia="方正仿宋_GBK" w:cs="方正仿宋_GBK"/>
          <w:sz w:val="28"/>
        </w:rPr>
      </w:pPr>
    </w:p>
    <w:p>
      <w:pPr>
        <w:spacing w:line="500" w:lineRule="exact"/>
        <w:ind w:firstLine="560" w:firstLineChars="200"/>
        <w:jc w:val="left"/>
        <w:outlineLvl w:val="1"/>
        <w:rPr>
          <w:rFonts w:ascii="Times New Roman" w:hAnsi="宋体" w:cs="宋体"/>
          <w:sz w:val="28"/>
        </w:rPr>
      </w:pPr>
      <w:r>
        <w:rPr>
          <w:rFonts w:hint="eastAsia" w:ascii="方正黑体_GBK" w:hAnsi="方正黑体_GBK" w:eastAsia="方正黑体_GBK" w:cs="方正黑体_GBK"/>
          <w:sz w:val="28"/>
        </w:rPr>
        <w:t>三、工作保障措施</w:t>
      </w:r>
      <w:bookmarkStart w:id="4" w:name="_Toc6110"/>
      <w:bookmarkStart w:id="5" w:name="_Toc32271"/>
      <w:r>
        <w:rPr>
          <w:rFonts w:ascii="方正黑体_GBK" w:hAnsi="方正黑体_GBK" w:eastAsia="方正黑体_GBK" w:cs="方正黑体_GBK"/>
          <w:sz w:val="28"/>
        </w:rPr>
        <w:fldChar w:fldCharType="begin"/>
      </w:r>
      <w:r>
        <w:rPr>
          <w:rFonts w:ascii="方正黑体_GBK" w:hAnsi="方正黑体_GBK" w:eastAsia="方正黑体_GBK" w:cs="方正黑体_GBK"/>
          <w:sz w:val="28"/>
        </w:rPr>
        <w:instrText xml:space="preserve">tc "</w:instrText>
      </w:r>
      <w:r>
        <w:rPr>
          <w:rFonts w:hint="eastAsia" w:ascii="方正黑体_GBK" w:hAnsi="方正黑体_GBK" w:eastAsia="方正黑体_GBK" w:cs="方正黑体_GBK"/>
          <w:sz w:val="28"/>
        </w:rPr>
        <w:instrText xml:space="preserve">工作保障措施</w:instrText>
      </w:r>
      <w:r>
        <w:rPr>
          <w:rFonts w:ascii="方正黑体_GBK" w:hAnsi="方正黑体_GBK" w:eastAsia="方正黑体_GBK" w:cs="方正黑体_GBK"/>
          <w:sz w:val="28"/>
        </w:rPr>
        <w:instrText xml:space="preserve">" \f A \l 01</w:instrText>
      </w:r>
      <w:r>
        <w:rPr>
          <w:rFonts w:ascii="方正黑体_GBK" w:hAnsi="方正黑体_GBK" w:eastAsia="方正黑体_GBK" w:cs="方正黑体_GBK"/>
          <w:sz w:val="28"/>
        </w:rPr>
        <w:fldChar w:fldCharType="end"/>
      </w:r>
      <w:bookmarkEnd w:id="4"/>
      <w:bookmarkEnd w:id="5"/>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一、理论上。坚持以马克思列宁主义、毛泽东思想、邓小平理论、“三个代表”重要思想、科学发展观和习近平新时代中国特色社会主义思想为指导，深入学习贯彻党的十九大精神等，认真学习贯彻《信访条例》《中国共产党党内监督条例》等，坚定不移地推进全面从严治党，不断强化问题导向，从严从实抓基层信访稳定工作，为建设经济强市、美丽沙河提供坚强的社会稳定保证。</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二、自身建设上。按照</w:t>
      </w:r>
      <w:r>
        <w:rPr>
          <w:rFonts w:hint="eastAsia" w:ascii="Times New Roman" w:hAnsi="方正仿宋_GBK" w:eastAsia="方正仿宋_GBK" w:cs="方正仿宋_GBK"/>
          <w:sz w:val="28"/>
          <w:lang w:val="en-US" w:eastAsia="zh-CN"/>
        </w:rPr>
        <w:t>习近平</w:t>
      </w:r>
      <w:bookmarkStart w:id="8" w:name="_GoBack"/>
      <w:bookmarkEnd w:id="8"/>
      <w:r>
        <w:rPr>
          <w:rFonts w:hint="eastAsia" w:ascii="Times New Roman" w:hAnsi="方正仿宋_GBK" w:eastAsia="方正仿宋_GBK" w:cs="方正仿宋_GBK"/>
          <w:sz w:val="28"/>
        </w:rPr>
        <w:t>总书记提出的“讲政治、重公道、业务精、作风好”要求，始终坚定“信仰、忠诚、纪律、责任、荣誉”五个信念，努力以高标准、严要求、硬措施建设模范部门、打造过硬队伍。</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强化党性教育，坚定理想信念。通过集中学习、个人自学、座谈交流等形式，认真组织学习习近平总书记系列重要讲话精神及治国理政新理念新思想新战略等，坚持用党的最新理论成果武装头脑、指导实践、推动工作；坚持好例会学习制度，引导信访干部进一步锤炼党性、坚定信念、改进作风、提升素质，促使信访工作更好地服务全市经济社会发展大局。</w:t>
      </w:r>
    </w:p>
    <w:p>
      <w:pPr>
        <w:spacing w:line="500" w:lineRule="exact"/>
        <w:ind w:firstLine="560" w:firstLineChars="20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三、强化从严管理，加强作风建设。坚持从严治局、从严律己、从严带队伍，认真执行相关规章制度，教育引导信访干部严守政治、廉洁、群众、工作和生活纪律。认真开展“三严三实”专题教育，充分发挥机关党支部的作用，积极组织开展党内政治生活。进一步健全完善财务管理、请销假等制度，保障局内各项工作规范有序运行。</w:t>
      </w:r>
    </w:p>
    <w:p>
      <w:pPr>
        <w:spacing w:line="500" w:lineRule="exact"/>
        <w:ind w:firstLine="560" w:firstLineChars="200"/>
        <w:jc w:val="left"/>
        <w:rPr>
          <w:rFonts w:ascii="Times New Roman" w:hAnsi="方正仿宋_GBK" w:eastAsia="方正仿宋_GBK" w:cs="方正仿宋_GBK"/>
          <w:sz w:val="28"/>
        </w:rPr>
      </w:pPr>
    </w:p>
    <w:p>
      <w:pPr>
        <w:ind w:firstLine="420" w:firstLineChars="200"/>
        <w:jc w:val="center"/>
        <w:rPr>
          <w:rFonts w:ascii="Times New Roman" w:hAnsi="宋体" w:cs="宋体"/>
        </w:rPr>
      </w:pPr>
      <w:r>
        <w:rPr>
          <w:rFonts w:ascii="方正书宋_GBK" w:hAnsi="方正书宋_GBK" w:eastAsia="方正书宋_GBK" w:cs="方正书宋_GBK"/>
        </w:rPr>
        <w:t xml:space="preserve"> </w:t>
      </w:r>
    </w:p>
    <w:p>
      <w:pPr>
        <w:ind w:firstLine="420" w:firstLineChars="200"/>
        <w:jc w:val="center"/>
        <w:rPr>
          <w:rFonts w:ascii="方正书宋_GBK" w:hAnsi="方正书宋_GBK" w:eastAsia="方正书宋_GBK" w:cs="方正书宋_GBK"/>
        </w:rPr>
        <w:sectPr>
          <w:footerReference r:id="rId3" w:type="default"/>
          <w:pgSz w:w="11906" w:h="16838"/>
          <w:pgMar w:top="1984" w:right="1304" w:bottom="1134" w:left="1304" w:header="851" w:footer="992" w:gutter="0"/>
          <w:pgNumType w:start="1"/>
          <w:cols w:space="720" w:num="1"/>
          <w:docGrid w:type="lines" w:linePitch="312" w:charSpace="0"/>
        </w:sectPr>
      </w:pPr>
    </w:p>
    <w:p>
      <w:pPr>
        <w:rPr>
          <w:rFonts w:ascii="Times New Roman" w:hAnsi="宋体" w:cs="宋体"/>
          <w:sz w:val="52"/>
        </w:rPr>
      </w:pPr>
      <w:r>
        <w:rPr>
          <w:rFonts w:ascii="方正小标宋_GBK" w:hAnsi="方正小标宋_GBK" w:eastAsia="方正小标宋_GBK" w:cs="方正小标宋_GBK"/>
          <w:sz w:val="52"/>
        </w:rPr>
        <w:t xml:space="preserve"> </w:t>
      </w:r>
    </w:p>
    <w:p>
      <w:pPr>
        <w:rPr>
          <w:rFonts w:ascii="Times New Roman" w:hAnsi="宋体" w:cs="宋体"/>
          <w:sz w:val="52"/>
        </w:rPr>
      </w:pPr>
      <w:r>
        <w:rPr>
          <w:rFonts w:ascii="方正小标宋_GBK" w:hAnsi="方正小标宋_GBK" w:eastAsia="方正小标宋_GBK" w:cs="方正小标宋_GBK"/>
          <w:sz w:val="52"/>
        </w:rPr>
        <w:t xml:space="preserve"> </w:t>
      </w:r>
    </w:p>
    <w:p>
      <w:pPr>
        <w:rPr>
          <w:rFonts w:ascii="Times New Roman" w:hAnsi="宋体" w:cs="宋体"/>
          <w:sz w:val="52"/>
        </w:rPr>
      </w:pPr>
      <w:r>
        <w:rPr>
          <w:rFonts w:ascii="方正小标宋_GBK" w:hAnsi="方正小标宋_GBK" w:eastAsia="方正小标宋_GBK" w:cs="方正小标宋_GBK"/>
          <w:sz w:val="52"/>
        </w:rPr>
        <w:t xml:space="preserve"> </w:t>
      </w:r>
    </w:p>
    <w:p>
      <w:pPr>
        <w:jc w:val="center"/>
        <w:rPr>
          <w:rFonts w:ascii="Times New Roman" w:hAnsi="宋体" w:cs="宋体"/>
          <w:sz w:val="44"/>
        </w:rPr>
      </w:pPr>
      <w:r>
        <w:rPr>
          <w:rFonts w:hint="eastAsia" w:ascii="方正小标宋_GBK" w:hAnsi="方正小标宋_GBK" w:eastAsia="方正小标宋_GBK" w:cs="方正小标宋_GBK"/>
          <w:sz w:val="44"/>
        </w:rPr>
        <w:t>第二部分</w:t>
      </w:r>
    </w:p>
    <w:p>
      <w:pPr>
        <w:jc w:val="center"/>
        <w:rPr>
          <w:rFonts w:ascii="Times New Roman" w:hAnsi="宋体" w:cs="宋体"/>
          <w:sz w:val="44"/>
        </w:rPr>
      </w:pPr>
      <w:r>
        <w:rPr>
          <w:rFonts w:ascii="方正小标宋_GBK" w:hAnsi="方正小标宋_GBK" w:eastAsia="方正小标宋_GBK" w:cs="方正小标宋_GBK"/>
          <w:sz w:val="44"/>
        </w:rPr>
        <w:t xml:space="preserve"> </w:t>
      </w:r>
    </w:p>
    <w:p>
      <w:pPr>
        <w:jc w:val="center"/>
        <w:outlineLvl w:val="0"/>
        <w:rPr>
          <w:rFonts w:ascii="Times New Roman" w:hAnsi="宋体" w:cs="宋体"/>
          <w:sz w:val="44"/>
        </w:rPr>
      </w:pPr>
      <w:r>
        <w:rPr>
          <w:rFonts w:hint="eastAsia" w:ascii="方正小标宋_GBK" w:hAnsi="方正小标宋_GBK" w:eastAsia="方正小标宋_GBK" w:cs="方正小标宋_GBK"/>
          <w:sz w:val="44"/>
        </w:rPr>
        <w:t>预算项目绩效目标</w:t>
      </w:r>
    </w:p>
    <w:p>
      <w:pPr>
        <w:jc w:val="center"/>
        <w:rPr>
          <w:rFonts w:ascii="Times New Roman" w:hAnsi="宋体" w:cs="宋体"/>
        </w:rPr>
      </w:pPr>
      <w:r>
        <w:rPr>
          <w:rFonts w:ascii="方正书宋_GBK" w:hAnsi="方正书宋_GBK" w:eastAsia="方正书宋_GBK" w:cs="方正书宋_GBK"/>
        </w:rPr>
        <w:t xml:space="preserve"> </w:t>
      </w:r>
    </w:p>
    <w:p>
      <w:pPr>
        <w:jc w:val="center"/>
        <w:rPr>
          <w:rFonts w:ascii="方正书宋_GBK" w:hAnsi="方正书宋_GBK" w:eastAsia="方正书宋_GBK" w:cs="方正书宋_GBK"/>
        </w:rPr>
        <w:sectPr>
          <w:pgSz w:w="11906" w:h="16838"/>
          <w:pgMar w:top="1984" w:right="1304" w:bottom="1134" w:left="1304" w:header="851" w:footer="992" w:gutter="0"/>
          <w:cols w:space="720" w:num="1"/>
          <w:docGrid w:type="lines" w:linePitch="312" w:charSpace="0"/>
        </w:sectPr>
      </w:pPr>
    </w:p>
    <w:p>
      <w:pPr>
        <w:jc w:val="center"/>
        <w:rPr>
          <w:rFonts w:ascii="方正书宋_GBK" w:hAnsi="方正书宋_GBK" w:eastAsia="方正书宋_GBK" w:cs="方正书宋_GBK"/>
        </w:rPr>
      </w:pPr>
    </w:p>
    <w:p>
      <w:pPr>
        <w:ind w:firstLine="560" w:firstLineChars="200"/>
        <w:jc w:val="left"/>
        <w:outlineLvl w:val="1"/>
        <w:rPr>
          <w:rFonts w:ascii="Times New Roman" w:hAnsi="宋体" w:cs="宋体"/>
          <w:b/>
          <w:sz w:val="28"/>
        </w:rPr>
      </w:pPr>
      <w:r>
        <w:rPr>
          <w:rFonts w:ascii="方正仿宋_GBK" w:hAnsi="方正仿宋_GBK" w:eastAsia="方正仿宋_GBK" w:cs="方正仿宋_GBK"/>
          <w:b/>
          <w:sz w:val="28"/>
        </w:rPr>
        <w:t>1</w:t>
      </w:r>
      <w:r>
        <w:rPr>
          <w:rFonts w:hint="eastAsia" w:ascii="方正仿宋_GBK" w:hAnsi="方正仿宋_GBK" w:eastAsia="方正仿宋_GBK" w:cs="方正仿宋_GBK"/>
          <w:b/>
          <w:sz w:val="28"/>
        </w:rPr>
        <w:t>、处理信访事件补助经费绩效目标表</w:t>
      </w:r>
      <w:bookmarkStart w:id="6" w:name="_Toc19622"/>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"1</w:instrText>
      </w:r>
      <w:r>
        <w:rPr>
          <w:rFonts w:hint="eastAsia" w:ascii="方正仿宋_GBK" w:hAnsi="方正仿宋_GBK" w:eastAsia="方正仿宋_GBK" w:cs="方正仿宋_GBK"/>
          <w:b/>
          <w:sz w:val="28"/>
        </w:rPr>
        <w:instrText xml:space="preserve">、处理信访事件补助经费绩效目标表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199002</w:t>
            </w:r>
            <w:r>
              <w:rPr>
                <w:rFonts w:hint="eastAsia" w:ascii="方正书宋_GBK" w:hAnsi="方正书宋_GBK" w:eastAsia="方正书宋_GBK" w:cs="方正书宋_GBK"/>
                <w:b/>
              </w:rPr>
              <w:t>沙河市信访局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199-0402-JXN-SD1V</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处理信访事件补助经费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144.00</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144.00</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8279" w:type="dxa"/>
            <w:gridSpan w:val="6"/>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处置好影响社会政治稳定的各类越级访、越级集体访、非访、突发性、群体性事件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资金支出计划（</w:t>
            </w:r>
            <w:r>
              <w:rPr>
                <w:rFonts w:ascii="方正书宋_GBK" w:hAnsi="方正书宋_GBK" w:eastAsia="方正书宋_GBK" w:cs="方正书宋_GBK"/>
                <w:b/>
              </w:rPr>
              <w:t>%</w:t>
            </w:r>
            <w:r>
              <w:rPr>
                <w:rFonts w:hint="eastAsia" w:ascii="方正书宋_GBK" w:hAnsi="方正书宋_GBK" w:eastAsia="方正书宋_GBK" w:cs="方正书宋_GBK"/>
                <w:b/>
              </w:rPr>
              <w:t>）</w:t>
            </w: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3</w:t>
            </w:r>
            <w:r>
              <w:rPr>
                <w:rFonts w:hint="eastAsia" w:ascii="方正书宋_GBK" w:hAnsi="方正书宋_GBK" w:eastAsia="方正书宋_GBK" w:cs="方正书宋_GBK"/>
                <w:b/>
              </w:rPr>
              <w:t>月底</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6</w:t>
            </w:r>
            <w:r>
              <w:rPr>
                <w:rFonts w:hint="eastAsia" w:ascii="方正书宋_GBK" w:hAnsi="方正书宋_GBK" w:eastAsia="方正书宋_GBK" w:cs="方正书宋_GBK"/>
                <w:b/>
              </w:rPr>
              <w:t>月底</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10</w:t>
            </w:r>
            <w:r>
              <w:rPr>
                <w:rFonts w:hint="eastAsia" w:ascii="方正书宋_GBK" w:hAnsi="方正书宋_GBK" w:eastAsia="方正书宋_GBK" w:cs="方正书宋_GBK"/>
                <w:b/>
              </w:rPr>
              <w:t>月底</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12</w:t>
            </w:r>
            <w:r>
              <w:rPr>
                <w:rFonts w:hint="eastAsia" w:ascii="方正书宋_GBK" w:hAnsi="方正书宋_GBK" w:eastAsia="方正书宋_GBK" w:cs="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w:t>
            </w:r>
            <w:r>
              <w:rPr>
                <w:rFonts w:hint="eastAsia" w:ascii="方正书宋_GBK" w:hAnsi="方正书宋_GBK" w:eastAsia="方正书宋_GBK" w:cs="方正书宋_GBK"/>
                <w:b/>
              </w:rPr>
              <w:t>、处置好影响社会政治稳定的各类越级访、越级集体访、非访</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w:t>
            </w:r>
            <w:r>
              <w:rPr>
                <w:rFonts w:hint="eastAsia" w:ascii="方正书宋_GBK" w:hAnsi="方正书宋_GBK" w:eastAsia="方正书宋_GBK" w:cs="方正书宋_GBK"/>
                <w:b/>
              </w:rPr>
              <w:t>、处置好影响社会政治稳定的各类突发性、群体性事件</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妥善处置非访率</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成功处置非访率占全部信访案件的比例</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90</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妥善处置进京集体访率</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成功处置进京集体访率占全部信访案件的比例</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90</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妥善处置赴省集体访率</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成功处置赴省集体访率占全部信访案件的比例</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90</w:t>
            </w:r>
          </w:p>
        </w:tc>
        <w:tc>
          <w:tcPr>
            <w:tcW w:w="1701" w:type="dxa"/>
            <w:vAlign w:val="center"/>
          </w:tcPr>
          <w:p>
            <w:pPr>
              <w:spacing w:line="300" w:lineRule="exact"/>
              <w:jc w:val="left"/>
              <w:rPr>
                <w:rFonts w:ascii="方正书宋_GBK" w:hAnsi="方正书宋_GBK" w:eastAsia="方正书宋_GBK" w:cs="方正书宋_GBK"/>
                <w:b/>
              </w:rPr>
            </w:pPr>
          </w:p>
        </w:tc>
      </w:tr>
    </w:tbl>
    <w:p>
      <w:pPr>
        <w:spacing w:line="300" w:lineRule="exact"/>
        <w:ind w:firstLine="420" w:firstLineChars="200"/>
        <w:jc w:val="left"/>
        <w:rPr>
          <w:rFonts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spacing w:line="300" w:lineRule="exact"/>
        <w:ind w:firstLine="420" w:firstLineChars="200"/>
        <w:jc w:val="left"/>
        <w:rPr>
          <w:rFonts w:ascii="方正书宋_GBK" w:hAnsi="方正书宋_GBK" w:eastAsia="方正书宋_GBK" w:cs="方正书宋_GBK"/>
          <w:b/>
        </w:rPr>
      </w:pPr>
    </w:p>
    <w:p>
      <w:pPr>
        <w:ind w:firstLine="560" w:firstLineChars="200"/>
        <w:jc w:val="left"/>
        <w:outlineLvl w:val="1"/>
        <w:rPr>
          <w:rFonts w:ascii="Times New Roman" w:hAnsi="宋体" w:cs="宋体"/>
          <w:b/>
          <w:sz w:val="28"/>
        </w:rPr>
      </w:pPr>
      <w:r>
        <w:rPr>
          <w:rFonts w:ascii="方正仿宋_GBK" w:hAnsi="方正仿宋_GBK" w:eastAsia="方正仿宋_GBK" w:cs="方正仿宋_GBK"/>
          <w:b/>
          <w:sz w:val="28"/>
        </w:rPr>
        <w:t>2</w:t>
      </w:r>
      <w:r>
        <w:rPr>
          <w:rFonts w:hint="eastAsia" w:ascii="方正仿宋_GBK" w:hAnsi="方正仿宋_GBK" w:eastAsia="方正仿宋_GBK" w:cs="方正仿宋_GBK"/>
          <w:b/>
          <w:sz w:val="28"/>
        </w:rPr>
        <w:t>、信访办公楼运转费用绩效目标表</w:t>
      </w:r>
      <w:bookmarkStart w:id="7" w:name="_Toc24047"/>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"2</w:instrText>
      </w:r>
      <w:r>
        <w:rPr>
          <w:rFonts w:hint="eastAsia" w:ascii="方正仿宋_GBK" w:hAnsi="方正仿宋_GBK" w:eastAsia="方正仿宋_GBK" w:cs="方正仿宋_GBK"/>
          <w:b/>
          <w:sz w:val="28"/>
        </w:rPr>
        <w:instrText xml:space="preserve">、信访办公楼运转费用绩效目标表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199002</w:t>
            </w:r>
            <w:r>
              <w:rPr>
                <w:rFonts w:hint="eastAsia" w:ascii="方正书宋_GBK" w:hAnsi="方正书宋_GBK" w:eastAsia="方正书宋_GBK" w:cs="方正书宋_GBK"/>
                <w:b/>
              </w:rPr>
              <w:t>沙河市信访局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199-0501-JXN-T16I</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信访办公楼运转费用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90.00</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90.00</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8279" w:type="dxa"/>
            <w:gridSpan w:val="6"/>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保障机关正常运转。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资金支出计划（</w:t>
            </w:r>
            <w:r>
              <w:rPr>
                <w:rFonts w:ascii="方正书宋_GBK" w:hAnsi="方正书宋_GBK" w:eastAsia="方正书宋_GBK" w:cs="方正书宋_GBK"/>
                <w:b/>
              </w:rPr>
              <w:t>%</w:t>
            </w:r>
            <w:r>
              <w:rPr>
                <w:rFonts w:hint="eastAsia" w:ascii="方正书宋_GBK" w:hAnsi="方正书宋_GBK" w:eastAsia="方正书宋_GBK" w:cs="方正书宋_GBK"/>
                <w:b/>
              </w:rPr>
              <w:t>）</w:t>
            </w: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3</w:t>
            </w:r>
            <w:r>
              <w:rPr>
                <w:rFonts w:hint="eastAsia" w:ascii="方正书宋_GBK" w:hAnsi="方正书宋_GBK" w:eastAsia="方正书宋_GBK" w:cs="方正书宋_GBK"/>
                <w:b/>
              </w:rPr>
              <w:t>月底</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6</w:t>
            </w:r>
            <w:r>
              <w:rPr>
                <w:rFonts w:hint="eastAsia" w:ascii="方正书宋_GBK" w:hAnsi="方正书宋_GBK" w:eastAsia="方正书宋_GBK" w:cs="方正书宋_GBK"/>
                <w:b/>
              </w:rPr>
              <w:t>月底</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10</w:t>
            </w:r>
            <w:r>
              <w:rPr>
                <w:rFonts w:hint="eastAsia" w:ascii="方正书宋_GBK" w:hAnsi="方正书宋_GBK" w:eastAsia="方正书宋_GBK" w:cs="方正书宋_GBK"/>
                <w:b/>
              </w:rPr>
              <w:t>月底</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12</w:t>
            </w:r>
            <w:r>
              <w:rPr>
                <w:rFonts w:hint="eastAsia" w:ascii="方正书宋_GBK" w:hAnsi="方正书宋_GBK" w:eastAsia="方正书宋_GBK" w:cs="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w:t>
            </w:r>
            <w:r>
              <w:rPr>
                <w:rFonts w:hint="eastAsia" w:ascii="方正书宋_GBK" w:hAnsi="方正书宋_GBK" w:eastAsia="方正书宋_GBK" w:cs="方正书宋_GBK"/>
                <w:b/>
              </w:rPr>
              <w:t>、保障机关正常运转</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w:t>
            </w:r>
            <w:r>
              <w:rPr>
                <w:rFonts w:hint="eastAsia" w:ascii="方正书宋_GBK" w:hAnsi="方正书宋_GBK" w:eastAsia="方正书宋_GBK" w:cs="方正书宋_GBK"/>
                <w:b/>
              </w:rPr>
              <w:t>、提高信访事项办理质量</w:t>
            </w:r>
          </w:p>
        </w:tc>
      </w:tr>
    </w:tbl>
    <w:p>
      <w:pPr>
        <w:spacing w:line="14" w:lineRule="exact"/>
        <w:ind w:firstLine="420" w:firstLineChars="200"/>
        <w:jc w:val="center"/>
        <w:rPr>
          <w:rFonts w:ascii="Times New Roman" w:hAnsi="宋体" w:cs="宋体"/>
          <w:b/>
        </w:rPr>
      </w:pPr>
      <w:r>
        <w:rPr>
          <w:rFonts w:ascii="方正书宋_GBK" w:hAnsi="方正书宋_GBK" w:eastAsia="方正书宋_GBK" w:cs="方正书宋_GBK"/>
          <w:b/>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信访事项及时受理率</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信访事项及时受理率占全部案件比例</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90</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信访事项按期答复率</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信访事项按期答复率占全部案件比例</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90</w:t>
            </w:r>
          </w:p>
        </w:tc>
        <w:tc>
          <w:tcPr>
            <w:tcW w:w="1701" w:type="dxa"/>
            <w:vAlign w:val="center"/>
          </w:tcPr>
          <w:p>
            <w:pPr>
              <w:spacing w:line="300" w:lineRule="exact"/>
              <w:jc w:val="left"/>
              <w:rPr>
                <w:rFonts w:ascii="方正书宋_GBK" w:hAnsi="方正书宋_GBK" w:eastAsia="方正书宋_GBK" w:cs="方正书宋_GBK"/>
                <w:b/>
              </w:rPr>
            </w:pPr>
          </w:p>
        </w:tc>
      </w:tr>
    </w:tbl>
    <w:p>
      <w:pPr>
        <w:spacing w:line="300" w:lineRule="exact"/>
        <w:ind w:firstLine="420" w:firstLineChars="200"/>
        <w:jc w:val="left"/>
        <w:rPr>
          <w:rFonts w:ascii="方正书宋_GBK" w:hAnsi="方正书宋_GBK" w:eastAsia="方正书宋_GBK" w:cs="方正书宋_GBK"/>
          <w:b/>
        </w:rPr>
        <w:sectPr>
          <w:pgSz w:w="11906" w:h="16838"/>
          <w:pgMar w:top="1984" w:right="1304" w:bottom="1134" w:left="1304" w:header="851" w:footer="992" w:gutter="0"/>
          <w:cols w:space="720" w:num="1"/>
          <w:docGrid w:type="lines" w:linePitch="312" w:charSpace="0"/>
        </w:sectPr>
      </w:pPr>
    </w:p>
    <w:p>
      <w:pPr>
        <w:numPr>
          <w:ilvl w:val="0"/>
          <w:numId w:val="1"/>
        </w:num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本年度我部门未安排政府采购预算。</w:t>
      </w:r>
    </w:p>
    <w:p>
      <w:pPr>
        <w:numPr>
          <w:ilvl w:val="0"/>
          <w:numId w:val="1"/>
        </w:numPr>
        <w:autoSpaceDE w:val="0"/>
        <w:autoSpaceDN w:val="0"/>
        <w:adjustRightInd w:val="0"/>
        <w:ind w:left="18" w:firstLine="620" w:firstLineChars="194"/>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沙河市信访局上年末固定资产金额为</w:t>
      </w:r>
      <w:r>
        <w:rPr>
          <w:rFonts w:ascii="仿宋_GB2312" w:hAnsi="仿宋_GB2312" w:eastAsia="仿宋_GB2312" w:cs="仿宋_GB2312"/>
          <w:sz w:val="32"/>
          <w:szCs w:val="32"/>
        </w:rPr>
        <w:t>54.9659</w:t>
      </w:r>
      <w:r>
        <w:rPr>
          <w:rFonts w:hint="eastAsia" w:ascii="仿宋_GB2312" w:hAnsi="仿宋_GB2312" w:eastAsia="仿宋_GB2312" w:cs="仿宋_GB2312"/>
          <w:sz w:val="32"/>
          <w:szCs w:val="32"/>
        </w:rPr>
        <w:t>万元，其中房屋面积</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平方米，价值</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万元；车辆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辆，价值</w:t>
      </w:r>
      <w:r>
        <w:rPr>
          <w:rFonts w:ascii="仿宋_GB2312" w:hAnsi="仿宋_GB2312" w:eastAsia="仿宋_GB2312" w:cs="仿宋_GB2312"/>
          <w:sz w:val="32"/>
          <w:szCs w:val="32"/>
        </w:rPr>
        <w:t>14.5</w:t>
      </w:r>
      <w:r>
        <w:rPr>
          <w:rFonts w:hint="eastAsia" w:ascii="仿宋_GB2312" w:hAnsi="仿宋_GB2312" w:eastAsia="仿宋_GB2312" w:cs="仿宋_GB2312"/>
          <w:sz w:val="32"/>
          <w:szCs w:val="32"/>
        </w:rPr>
        <w:t>万元，其他固定资产价值</w:t>
      </w:r>
      <w:r>
        <w:rPr>
          <w:rFonts w:ascii="仿宋_GB2312" w:hAnsi="仿宋_GB2312" w:eastAsia="仿宋_GB2312" w:cs="仿宋_GB2312"/>
          <w:sz w:val="32"/>
          <w:szCs w:val="32"/>
        </w:rPr>
        <w:t>40.4659</w:t>
      </w:r>
      <w:r>
        <w:rPr>
          <w:rFonts w:hint="eastAsia" w:ascii="仿宋_GB2312" w:hAnsi="仿宋_GB2312" w:eastAsia="仿宋_GB2312" w:cs="仿宋_GB2312"/>
          <w:sz w:val="32"/>
          <w:szCs w:val="32"/>
        </w:rPr>
        <w:t>万元。详见下表：</w:t>
      </w:r>
    </w:p>
    <w:p>
      <w:pPr>
        <w:spacing w:line="610" w:lineRule="exact"/>
        <w:ind w:firstLine="640"/>
        <w:rPr>
          <w:rFonts w:ascii="仿宋_GB2312" w:hAnsi="仿宋_GB2312" w:eastAsia="仿宋_GB2312" w:cs="仿宋_GB2312"/>
          <w:sz w:val="32"/>
          <w:szCs w:val="32"/>
        </w:rPr>
      </w:pPr>
    </w:p>
    <w:p>
      <w:pPr>
        <w:spacing w:line="610" w:lineRule="exact"/>
        <w:ind w:firstLine="640"/>
        <w:rPr>
          <w:rFonts w:ascii="仿宋_GB2312" w:hAnsi="仿宋_GB2312" w:eastAsia="仿宋_GB2312" w:cs="仿宋_GB2312"/>
          <w:sz w:val="32"/>
          <w:szCs w:val="32"/>
        </w:rPr>
      </w:pPr>
    </w:p>
    <w:p>
      <w:pPr>
        <w:spacing w:line="610" w:lineRule="exact"/>
        <w:ind w:firstLine="640"/>
        <w:rPr>
          <w:rFonts w:ascii="仿宋_GB2312" w:hAnsi="仿宋_GB2312" w:eastAsia="仿宋_GB2312" w:cs="仿宋_GB2312"/>
          <w:sz w:val="32"/>
          <w:szCs w:val="32"/>
        </w:rPr>
      </w:pPr>
    </w:p>
    <w:p>
      <w:pPr>
        <w:spacing w:line="610" w:lineRule="exact"/>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国有资产情况表</w:t>
      </w:r>
    </w:p>
    <w:tbl>
      <w:tblPr>
        <w:tblStyle w:val="6"/>
        <w:tblW w:w="9346" w:type="dxa"/>
        <w:jc w:val="center"/>
        <w:tblLayout w:type="fixed"/>
        <w:tblCellMar>
          <w:top w:w="15" w:type="dxa"/>
          <w:left w:w="15" w:type="dxa"/>
          <w:bottom w:w="15" w:type="dxa"/>
          <w:right w:w="15" w:type="dxa"/>
        </w:tblCellMar>
      </w:tblPr>
      <w:tblGrid>
        <w:gridCol w:w="5858"/>
        <w:gridCol w:w="562"/>
        <w:gridCol w:w="1643"/>
        <w:gridCol w:w="1283"/>
      </w:tblGrid>
      <w:tr>
        <w:tblPrEx>
          <w:tblCellMar>
            <w:top w:w="15" w:type="dxa"/>
            <w:left w:w="15" w:type="dxa"/>
            <w:bottom w:w="15" w:type="dxa"/>
            <w:right w:w="15" w:type="dxa"/>
          </w:tblCellMar>
        </w:tblPrEx>
        <w:trPr>
          <w:trHeight w:val="390" w:hRule="atLeast"/>
          <w:jc w:val="center"/>
        </w:trPr>
        <w:tc>
          <w:tcPr>
            <w:tcW w:w="585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562" w:type="dxa"/>
            <w:vMerge w:val="restart"/>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hint="eastAsia" w:ascii="宋体" w:hAnsi="宋体" w:cs="宋体"/>
                <w:color w:val="000000"/>
                <w:kern w:val="0"/>
                <w:sz w:val="22"/>
              </w:rPr>
              <w:t>行次</w:t>
            </w:r>
          </w:p>
        </w:tc>
        <w:tc>
          <w:tcPr>
            <w:tcW w:w="1643" w:type="dxa"/>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1283" w:type="dxa"/>
            <w:tcBorders>
              <w:top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2"/>
              </w:rPr>
            </w:pPr>
          </w:p>
        </w:tc>
        <w:tc>
          <w:tcPr>
            <w:tcW w:w="562" w:type="dxa"/>
            <w:vMerge w:val="continue"/>
            <w:tcBorders>
              <w:top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2"/>
              </w:rPr>
            </w:pPr>
          </w:p>
        </w:tc>
        <w:tc>
          <w:tcPr>
            <w:tcW w:w="1643"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283"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hint="eastAsia" w:ascii="宋体" w:hAnsi="宋体" w:cs="宋体"/>
                <w:color w:val="000000"/>
                <w:kern w:val="0"/>
                <w:sz w:val="22"/>
              </w:rPr>
              <w:t>固定资产</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3</w:t>
            </w:r>
          </w:p>
        </w:tc>
        <w:tc>
          <w:tcPr>
            <w:tcW w:w="1643" w:type="dxa"/>
            <w:tcBorders>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283" w:type="dxa"/>
            <w:tcBorders>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ascii="宋体" w:hAnsi="宋体" w:cs="宋体"/>
                <w:color w:val="000000"/>
                <w:kern w:val="0"/>
                <w:sz w:val="22"/>
              </w:rPr>
              <w:t>549</w:t>
            </w:r>
            <w:r>
              <w:rPr>
                <w:rFonts w:hint="eastAsia" w:ascii="宋体" w:hAnsi="宋体" w:cs="宋体"/>
                <w:color w:val="000000"/>
                <w:kern w:val="0"/>
                <w:sz w:val="22"/>
              </w:rPr>
              <w:t>，</w:t>
            </w:r>
            <w:r>
              <w:rPr>
                <w:rFonts w:ascii="宋体" w:hAnsi="宋体" w:cs="宋体"/>
                <w:color w:val="000000"/>
                <w:kern w:val="0"/>
                <w:sz w:val="22"/>
              </w:rPr>
              <w:t>659.00</w:t>
            </w: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（一）房屋（平方米）</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4</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5</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6</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w:t>
            </w: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7</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（二）车辆（台、辆）</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8</w:t>
            </w:r>
          </w:p>
        </w:tc>
        <w:tc>
          <w:tcPr>
            <w:tcW w:w="1643" w:type="dxa"/>
            <w:tcBorders>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ascii="宋体" w:hAnsi="宋体" w:cs="宋体"/>
                <w:color w:val="000000"/>
                <w:kern w:val="0"/>
                <w:sz w:val="22"/>
              </w:rPr>
              <w:t>1</w:t>
            </w:r>
          </w:p>
        </w:tc>
        <w:tc>
          <w:tcPr>
            <w:tcW w:w="1283" w:type="dxa"/>
            <w:tcBorders>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ascii="宋体" w:hAnsi="宋体" w:cs="宋体"/>
                <w:color w:val="000000"/>
                <w:kern w:val="0"/>
                <w:sz w:val="22"/>
              </w:rPr>
              <w:t>145,000.00</w:t>
            </w: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轿车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9</w:t>
            </w:r>
          </w:p>
        </w:tc>
        <w:tc>
          <w:tcPr>
            <w:tcW w:w="1643" w:type="dxa"/>
            <w:tcBorders>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ascii="宋体" w:hAnsi="宋体" w:cs="宋体"/>
                <w:color w:val="000000"/>
                <w:kern w:val="0"/>
                <w:sz w:val="22"/>
              </w:rPr>
              <w:t>1</w:t>
            </w:r>
          </w:p>
        </w:tc>
        <w:tc>
          <w:tcPr>
            <w:tcW w:w="1283" w:type="dxa"/>
            <w:tcBorders>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ascii="宋体" w:hAnsi="宋体" w:cs="宋体"/>
                <w:color w:val="000000"/>
                <w:kern w:val="0"/>
                <w:sz w:val="22"/>
              </w:rPr>
              <w:t>145,000.00</w:t>
            </w: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越野车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10</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小型载客汽车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11</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大中型载客汽车</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12</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其他车型</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13</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（三）单价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14</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（四）单价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15</w:t>
            </w:r>
          </w:p>
        </w:tc>
        <w:tc>
          <w:tcPr>
            <w:tcW w:w="1643" w:type="dxa"/>
            <w:tcBorders>
              <w:bottom w:val="single" w:color="000000" w:sz="4" w:space="0"/>
              <w:right w:val="single" w:color="000000" w:sz="4" w:space="0"/>
            </w:tcBorders>
            <w:vAlign w:val="center"/>
          </w:tcPr>
          <w:p>
            <w:pPr>
              <w:jc w:val="right"/>
              <w:rPr>
                <w:rFonts w:ascii="宋体" w:cs="宋体"/>
                <w:color w:val="000000"/>
                <w:sz w:val="22"/>
              </w:rPr>
            </w:pPr>
          </w:p>
        </w:tc>
        <w:tc>
          <w:tcPr>
            <w:tcW w:w="1283" w:type="dxa"/>
            <w:tcBorders>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5858"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w:t>
            </w:r>
            <w:r>
              <w:rPr>
                <w:rFonts w:hint="eastAsia" w:ascii="宋体" w:hAnsi="宋体" w:cs="宋体"/>
                <w:color w:val="000000"/>
                <w:kern w:val="0"/>
                <w:sz w:val="22"/>
              </w:rPr>
              <w:t>（五）其他固定资产</w:t>
            </w:r>
          </w:p>
        </w:tc>
        <w:tc>
          <w:tcPr>
            <w:tcW w:w="562" w:type="dxa"/>
            <w:tcBorders>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2"/>
              </w:rPr>
            </w:pPr>
            <w:r>
              <w:rPr>
                <w:rFonts w:ascii="宋体" w:hAnsi="宋体" w:cs="宋体"/>
                <w:color w:val="000000"/>
                <w:kern w:val="0"/>
                <w:sz w:val="22"/>
              </w:rPr>
              <w:t>16</w:t>
            </w:r>
          </w:p>
        </w:tc>
        <w:tc>
          <w:tcPr>
            <w:tcW w:w="1643" w:type="dxa"/>
            <w:tcBorders>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283" w:type="dxa"/>
            <w:tcBorders>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ascii="宋体" w:hAnsi="宋体" w:cs="宋体"/>
                <w:color w:val="000000"/>
                <w:kern w:val="0"/>
                <w:sz w:val="22"/>
              </w:rPr>
              <w:t>404,,659.00</w:t>
            </w:r>
          </w:p>
        </w:tc>
      </w:tr>
    </w:tbl>
    <w:p>
      <w:pPr>
        <w:spacing w:line="610" w:lineRule="exact"/>
        <w:ind w:firstLine="640"/>
        <w:rPr>
          <w:rFonts w:ascii="仿宋_GB2312" w:hAnsi="仿宋_GB2312" w:eastAsia="仿宋_GB2312" w:cs="仿宋_GB2312"/>
          <w:sz w:val="32"/>
          <w:szCs w:val="32"/>
        </w:rPr>
      </w:pP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本年度无拟购置固定资产。</w:t>
      </w:r>
    </w:p>
    <w:p>
      <w:pPr>
        <w:numPr>
          <w:ilvl w:val="0"/>
          <w:numId w:val="1"/>
        </w:numPr>
        <w:autoSpaceDE w:val="0"/>
        <w:autoSpaceDN w:val="0"/>
        <w:adjustRightInd w:val="0"/>
        <w:ind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名词解释</w:t>
      </w:r>
    </w:p>
    <w:p>
      <w:pPr>
        <w:spacing w:line="61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指从本级财政当年拨付给部门的资金。</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指政府部门用财政拨款安排的因公出国（境）费，公务用车购置及运行费和公务接待费。</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Times New Roman" w:hAnsi="Times New Roman" w:eastAsia="仿宋" w:cs="Times New Roman"/>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numPr>
          <w:ilvl w:val="0"/>
          <w:numId w:val="1"/>
        </w:numPr>
        <w:autoSpaceDE w:val="0"/>
        <w:autoSpaceDN w:val="0"/>
        <w:adjustRightInd w:val="0"/>
        <w:ind w:left="18" w:firstLine="620" w:firstLineChars="194"/>
        <w:jc w:val="left"/>
        <w:rPr>
          <w:rFonts w:ascii="Times New Roman" w:hAnsi="Times New Roman" w:eastAsia="仿宋" w:cs="Times New Roman"/>
          <w:sz w:val="32"/>
          <w:szCs w:val="32"/>
        </w:rPr>
      </w:pPr>
      <w:r>
        <w:rPr>
          <w:rFonts w:hint="eastAsia" w:ascii="黑体" w:hAnsi="黑体" w:eastAsia="黑体" w:cs="Times New Roman"/>
          <w:sz w:val="32"/>
          <w:szCs w:val="32"/>
        </w:rPr>
        <w:t>其他需要说明的事项</w:t>
      </w:r>
    </w:p>
    <w:p>
      <w:pPr>
        <w:spacing w:line="610" w:lineRule="exact"/>
        <w:ind w:left="640"/>
        <w:rPr>
          <w:rFonts w:ascii="Times New Roman" w:hAnsi="Times New Roman" w:eastAsia="仿宋" w:cs="Times New Roman"/>
          <w:sz w:val="32"/>
          <w:szCs w:val="32"/>
        </w:rPr>
      </w:pPr>
      <w:r>
        <w:rPr>
          <w:rFonts w:hint="eastAsia" w:ascii="仿宋_GB2312" w:hAnsi="仿宋_GB2312" w:eastAsia="仿宋_GB2312" w:cs="仿宋_GB2312"/>
          <w:color w:val="000000"/>
          <w:sz w:val="32"/>
          <w:szCs w:val="32"/>
        </w:rPr>
        <w:t>无其他需说明事项</w:t>
      </w:r>
    </w:p>
    <w:sectPr>
      <w:pgSz w:w="16838" w:h="11906" w:orient="landscape"/>
      <w:pgMar w:top="1797" w:right="1440" w:bottom="179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Microsoft YaHei UI"/>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黑体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Pr>
    <w:r>
      <w:rPr>
        <w:rStyle w:val="8"/>
      </w:rPr>
      <w:fldChar w:fldCharType="begin"/>
    </w:r>
    <w:r>
      <w:rPr>
        <w:rStyle w:val="8"/>
      </w:rPr>
      <w:instrText xml:space="preserve"> PAGE  </w:instrText>
    </w:r>
    <w:r>
      <w:rPr>
        <w:rStyle w:val="8"/>
      </w:rPr>
      <w:fldChar w:fldCharType="separate"/>
    </w:r>
    <w:r>
      <w:rPr>
        <w:rStyle w:val="8"/>
      </w:rPr>
      <w:t>11</w:t>
    </w:r>
    <w:r>
      <w:rPr>
        <w:rStyle w:val="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B288"/>
    <w:multiLevelType w:val="singleLevel"/>
    <w:tmpl w:val="5A94B288"/>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07569"/>
    <w:rsid w:val="00031F42"/>
    <w:rsid w:val="00040FBA"/>
    <w:rsid w:val="0004490B"/>
    <w:rsid w:val="000604DF"/>
    <w:rsid w:val="000B6658"/>
    <w:rsid w:val="0013228E"/>
    <w:rsid w:val="0026529B"/>
    <w:rsid w:val="0027733F"/>
    <w:rsid w:val="002E4731"/>
    <w:rsid w:val="003277EC"/>
    <w:rsid w:val="003975F2"/>
    <w:rsid w:val="003B2FEA"/>
    <w:rsid w:val="00456D84"/>
    <w:rsid w:val="005F0536"/>
    <w:rsid w:val="0062408E"/>
    <w:rsid w:val="006400DD"/>
    <w:rsid w:val="006D7083"/>
    <w:rsid w:val="007234C9"/>
    <w:rsid w:val="008003BA"/>
    <w:rsid w:val="00817B30"/>
    <w:rsid w:val="0094358A"/>
    <w:rsid w:val="00956750"/>
    <w:rsid w:val="00AA3E6C"/>
    <w:rsid w:val="00AB2481"/>
    <w:rsid w:val="00D325C0"/>
    <w:rsid w:val="00F171F2"/>
    <w:rsid w:val="02F7255C"/>
    <w:rsid w:val="030A4EB9"/>
    <w:rsid w:val="05E6755E"/>
    <w:rsid w:val="0EED0002"/>
    <w:rsid w:val="15454E77"/>
    <w:rsid w:val="17384E65"/>
    <w:rsid w:val="291C4CC9"/>
    <w:rsid w:val="39FA016C"/>
    <w:rsid w:val="3BB904B7"/>
    <w:rsid w:val="52432A65"/>
    <w:rsid w:val="6A7F0FE5"/>
    <w:rsid w:val="6C14059D"/>
    <w:rsid w:val="750512C1"/>
    <w:rsid w:val="76EC7F1E"/>
    <w:rsid w:val="7B556E47"/>
    <w:rsid w:val="7D7141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toc 2"/>
    <w:basedOn w:val="1"/>
    <w:next w:val="1"/>
    <w:uiPriority w:val="99"/>
    <w:pPr>
      <w:ind w:left="420" w:leftChars="200"/>
    </w:pPr>
    <w:rPr>
      <w:rFonts w:ascii="Times New Roman" w:hAnsi="Times New Roman" w:cs="Times New Roman"/>
      <w:szCs w:val="24"/>
    </w:rPr>
  </w:style>
  <w:style w:type="character" w:styleId="8">
    <w:name w:val="page number"/>
    <w:basedOn w:val="7"/>
    <w:uiPriority w:val="99"/>
    <w:rPr>
      <w:rFonts w:cs="Times New Roman"/>
    </w:rPr>
  </w:style>
  <w:style w:type="character" w:customStyle="1" w:styleId="9">
    <w:name w:val="Footer Char"/>
    <w:basedOn w:val="7"/>
    <w:link w:val="2"/>
    <w:semiHidden/>
    <w:locked/>
    <w:uiPriority w:val="99"/>
    <w:rPr>
      <w:rFonts w:ascii="Times New Roman" w:hAnsi="Times New Roman" w:eastAsia="宋体"/>
      <w:sz w:val="18"/>
    </w:rPr>
  </w:style>
  <w:style w:type="character" w:customStyle="1" w:styleId="10">
    <w:name w:val="Header Char"/>
    <w:basedOn w:val="7"/>
    <w:link w:val="3"/>
    <w:semiHidden/>
    <w:qFormat/>
    <w:locked/>
    <w:uiPriority w:val="99"/>
    <w:rPr>
      <w:rFonts w:ascii="Times New Roman" w:hAnsi="Times New Roman" w:eastAsia="宋体"/>
      <w:sz w:val="18"/>
    </w:rPr>
  </w:style>
  <w:style w:type="paragraph" w:customStyle="1" w:styleId="11">
    <w:name w:val="Char"/>
    <w:basedOn w:val="1"/>
    <w:qFormat/>
    <w:uiPriority w:val="99"/>
    <w:rPr>
      <w:rFonts w:ascii="Times New Roman" w:hAnsi="Times New Roman" w:cs="Times New Roman"/>
      <w:szCs w:val="24"/>
    </w:rPr>
  </w:style>
  <w:style w:type="character" w:customStyle="1" w:styleId="12">
    <w:name w:val="font21"/>
    <w:basedOn w:val="7"/>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3219</Words>
  <Characters>3456</Characters>
  <Lines>0</Lines>
  <Paragraphs>0</Paragraphs>
  <TotalTime>0</TotalTime>
  <ScaleCrop>false</ScaleCrop>
  <LinksUpToDate>false</LinksUpToDate>
  <CharactersWithSpaces>3549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空城</cp:lastModifiedBy>
  <cp:lastPrinted>2017-02-09T01:57:00Z</cp:lastPrinted>
  <dcterms:modified xsi:type="dcterms:W3CDTF">2022-03-24T01:45:30Z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7D3E77327FD64DD7908C24B1A4335A7A</vt:lpwstr>
  </property>
</Properties>
</file>