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0"/>
            </w:pPr>
            <w:r>
              <w:t>138沙河市交通运输局</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1"/>
            </w:pPr>
            <w:r>
              <w:t>序号</w:t>
            </w:r>
          </w:p>
        </w:tc>
        <w:tc>
          <w:tcPr>
            <w:tcW w:w="1999"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tc>
        <w:tc>
          <w:tcPr>
            <w:tcW w:w="999"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1"/>
            </w:pPr>
            <w:r>
              <w:t>栏次</w:t>
            </w:r>
          </w:p>
        </w:tc>
        <w:tc>
          <w:tcPr>
            <w:tcW w:w="999"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w:t>
            </w:r>
          </w:p>
        </w:tc>
        <w:tc>
          <w:tcPr>
            <w:tcW w:w="999" w:type="pct"/>
            <w:vAlign w:val="center"/>
          </w:tcPr>
          <w:p>
            <w:pPr>
              <w:pStyle w:val="13"/>
            </w:pPr>
            <w:r>
              <w:t>一、一般公共预算拨款收入</w:t>
            </w:r>
          </w:p>
        </w:tc>
        <w:tc>
          <w:tcPr>
            <w:tcW w:w="1000"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2733.22</w:t>
            </w:r>
          </w:p>
        </w:tc>
        <w:tc>
          <w:tcPr>
            <w:tcW w:w="1000" w:type="pct"/>
            <w:vAlign w:val="center"/>
          </w:tcPr>
          <w:p>
            <w:pPr>
              <w:pStyle w:val="13"/>
            </w:pPr>
            <w:r>
              <w:t>一、一般公共服务支出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w:t>
            </w:r>
          </w:p>
        </w:tc>
        <w:tc>
          <w:tcPr>
            <w:tcW w:w="999" w:type="pct"/>
            <w:vAlign w:val="center"/>
          </w:tcPr>
          <w:p>
            <w:pPr>
              <w:pStyle w:val="13"/>
            </w:pPr>
            <w:r>
              <w:t>二、政府性基金预算拨款收入</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二、外交支出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3</w:t>
            </w:r>
          </w:p>
        </w:tc>
        <w:tc>
          <w:tcPr>
            <w:tcW w:w="999" w:type="pct"/>
            <w:vAlign w:val="center"/>
          </w:tcPr>
          <w:p>
            <w:pPr>
              <w:pStyle w:val="13"/>
            </w:pPr>
            <w:r>
              <w:t>三、国有资本经营预算拨款收入</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三、国防支出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4</w:t>
            </w:r>
          </w:p>
        </w:tc>
        <w:tc>
          <w:tcPr>
            <w:tcW w:w="999" w:type="pct"/>
            <w:vAlign w:val="center"/>
          </w:tcPr>
          <w:p>
            <w:pPr>
              <w:pStyle w:val="13"/>
            </w:pPr>
            <w:r>
              <w:t>四、财政专户管理资金收入</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四、公共安全支出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5</w:t>
            </w:r>
          </w:p>
        </w:tc>
        <w:tc>
          <w:tcPr>
            <w:tcW w:w="999" w:type="pct"/>
            <w:vAlign w:val="center"/>
          </w:tcPr>
          <w:p>
            <w:pPr>
              <w:pStyle w:val="13"/>
            </w:pPr>
            <w:r>
              <w:t>五、</w:t>
            </w:r>
            <w:r>
              <w:rPr>
                <w:rFonts w:hint="eastAsia"/>
                <w:lang w:eastAsia="zh-CN"/>
              </w:rPr>
              <w:t>部门</w:t>
            </w:r>
            <w:r>
              <w:t>资金</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五、教育支出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6</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六、科学技术支出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7</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七、文化旅游体育与传媒支出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8</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八、社会保障和就业支出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9</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九、社会保险基金支出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10</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十、卫生健康支出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11</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十一、节能环保支出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12</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十二、城乡社区支出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13</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十三、农林水支出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14</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十四、交通运输支出</w:t>
            </w:r>
          </w:p>
        </w:tc>
        <w:tc>
          <w:tcPr>
            <w:tcW w:w="1000"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2679.01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15</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十五、资源勘探工业信息等支出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16</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十六、商业服务业等支出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17</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十七、金融支出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18</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十八、援助其他地区支出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19</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十九、自然资源海洋气象等支出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20</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二十、住房保障支出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21</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二十一、粮油物资储备支出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22</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二十二、国有资本经营预算支出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23</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二十三、灾害防治及应急管理支出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24</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二十四、预备费</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25</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二十五、其他支出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26</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二十六、转移性支出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27</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二十七、债务还本支出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28</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二十八、债务付息支出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29</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二十九、债务发行费用支出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30</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三十、抗疫特别国债安排的支出</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31</w:t>
            </w:r>
          </w:p>
        </w:tc>
        <w:tc>
          <w:tcPr>
            <w:tcW w:w="999" w:type="pct"/>
            <w:vAlign w:val="center"/>
          </w:tcPr>
          <w:p>
            <w:pPr>
              <w:pStyle w:val="13"/>
            </w:pP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三十一、人行科目</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32</w:t>
            </w:r>
          </w:p>
        </w:tc>
        <w:tc>
          <w:tcPr>
            <w:tcW w:w="999" w:type="pct"/>
            <w:vAlign w:val="center"/>
          </w:tcPr>
          <w:p>
            <w:pPr>
              <w:pStyle w:val="15"/>
            </w:pPr>
            <w:r>
              <w:t>本年收入合计</w:t>
            </w:r>
          </w:p>
        </w:tc>
        <w:tc>
          <w:tcPr>
            <w:tcW w:w="1000"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2733.22</w:t>
            </w:r>
          </w:p>
        </w:tc>
        <w:tc>
          <w:tcPr>
            <w:tcW w:w="1000" w:type="pct"/>
            <w:vAlign w:val="center"/>
          </w:tcPr>
          <w:p>
            <w:pPr>
              <w:pStyle w:val="15"/>
            </w:pPr>
            <w:r>
              <w:t>本年支出合计</w:t>
            </w:r>
          </w:p>
        </w:tc>
        <w:tc>
          <w:tcPr>
            <w:tcW w:w="1000"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2733.22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33</w:t>
            </w:r>
          </w:p>
        </w:tc>
        <w:tc>
          <w:tcPr>
            <w:tcW w:w="999" w:type="pct"/>
            <w:vAlign w:val="center"/>
          </w:tcPr>
          <w:p>
            <w:pPr>
              <w:pStyle w:val="13"/>
            </w:pPr>
            <w:r>
              <w:t>上年结转结余</w:t>
            </w:r>
          </w:p>
        </w:tc>
        <w:tc>
          <w:tcPr>
            <w:tcW w:w="100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4"/>
            </w:pPr>
            <w:r>
              <w:t>34</w:t>
            </w:r>
          </w:p>
        </w:tc>
        <w:tc>
          <w:tcPr>
            <w:tcW w:w="999" w:type="pct"/>
            <w:vAlign w:val="center"/>
          </w:tcPr>
          <w:p>
            <w:pPr>
              <w:pStyle w:val="15"/>
            </w:pPr>
            <w:r>
              <w:t>收入总计</w:t>
            </w:r>
          </w:p>
        </w:tc>
        <w:tc>
          <w:tcPr>
            <w:tcW w:w="1000"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2733.22</w:t>
            </w:r>
          </w:p>
        </w:tc>
        <w:tc>
          <w:tcPr>
            <w:tcW w:w="1000" w:type="pct"/>
            <w:vAlign w:val="center"/>
          </w:tcPr>
          <w:p>
            <w:pPr>
              <w:pStyle w:val="15"/>
            </w:pPr>
            <w:r>
              <w:t>支出总计</w:t>
            </w:r>
          </w:p>
        </w:tc>
        <w:tc>
          <w:tcPr>
            <w:tcW w:w="1000" w:type="pct"/>
            <w:vAlign w:val="center"/>
          </w:tcPr>
          <w:p>
            <w:pPr>
              <w:pStyle w:val="16"/>
              <w:rPr>
                <w:rFonts w:hint="default" w:eastAsia="方正书宋_GBK"/>
                <w:lang w:val="en-US" w:eastAsia="zh-CN"/>
              </w:rPr>
            </w:pPr>
            <w:r>
              <w:rPr>
                <w:rFonts w:hint="eastAsia"/>
                <w:lang w:val="en-US" w:eastAsia="zh-CN"/>
              </w:rPr>
              <w:t>2733.22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pPr w:leftFromText="180" w:rightFromText="180" w:vertAnchor="text" w:horzAnchor="page" w:tblpX="1044" w:tblpY="100"/>
        <w:tblOverlap w:val="never"/>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8"/>
        <w:gridCol w:w="1087"/>
        <w:gridCol w:w="1733"/>
        <w:gridCol w:w="1159"/>
        <w:gridCol w:w="1117"/>
        <w:gridCol w:w="1087"/>
        <w:gridCol w:w="1087"/>
        <w:gridCol w:w="1096"/>
        <w:gridCol w:w="1087"/>
        <w:gridCol w:w="1087"/>
        <w:gridCol w:w="1087"/>
        <w:gridCol w:w="1102"/>
        <w:gridCol w:w="1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0" w:type="pct"/>
            <w:gridSpan w:val="13"/>
            <w:tcBorders>
              <w:top w:val="single" w:color="FFFFFF" w:sz="6" w:space="0"/>
              <w:left w:val="single" w:color="FFFFFF" w:sz="6" w:space="0"/>
              <w:right w:val="single" w:color="FFFFFF" w:sz="6" w:space="0"/>
            </w:tcBorders>
            <w:vAlign w:val="center"/>
          </w:tcPr>
          <w:p>
            <w:pPr>
              <w:pStyle w:val="11"/>
              <w:bidi w:val="0"/>
              <w:jc w:val="both"/>
            </w:pPr>
          </w:p>
          <w:p>
            <w:pPr>
              <w:pStyle w:val="8"/>
              <w:jc w:val="both"/>
            </w:pPr>
            <w:r>
              <w:t>138001沙河市交通运输局本级</w:t>
            </w:r>
            <w:r>
              <w:rPr>
                <w:rFonts w:hint="eastAsia"/>
                <w:lang w:val="en-US" w:eastAsia="zh-CN"/>
              </w:rPr>
              <w:t xml:space="preserve">                                                    2024年度                                                                            部门：万元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 w:type="pct"/>
            <w:vMerge w:val="restart"/>
            <w:vAlign w:val="center"/>
          </w:tcPr>
          <w:p>
            <w:pPr>
              <w:pStyle w:val="11"/>
            </w:pPr>
            <w:r>
              <w:t>序号</w:t>
            </w:r>
          </w:p>
        </w:tc>
        <w:tc>
          <w:tcPr>
            <w:tcW w:w="939" w:type="pct"/>
            <w:gridSpan w:val="2"/>
            <w:vAlign w:val="center"/>
          </w:tcPr>
          <w:p>
            <w:pPr>
              <w:pStyle w:val="11"/>
            </w:pPr>
            <w:r>
              <w:t>功能分类科目</w:t>
            </w:r>
          </w:p>
        </w:tc>
        <w:tc>
          <w:tcPr>
            <w:tcW w:w="386" w:type="pct"/>
            <w:vMerge w:val="restart"/>
            <w:vAlign w:val="center"/>
          </w:tcPr>
          <w:p>
            <w:pPr>
              <w:pStyle w:val="11"/>
            </w:pPr>
            <w:r>
              <w:t>合计</w:t>
            </w:r>
          </w:p>
        </w:tc>
        <w:tc>
          <w:tcPr>
            <w:tcW w:w="2914" w:type="pct"/>
            <w:gridSpan w:val="8"/>
            <w:vAlign w:val="center"/>
          </w:tcPr>
          <w:p>
            <w:pPr>
              <w:pStyle w:val="11"/>
            </w:pPr>
            <w:r>
              <w:t>本年收入</w:t>
            </w:r>
          </w:p>
        </w:tc>
        <w:tc>
          <w:tcPr>
            <w:tcW w:w="402"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 w:type="pct"/>
            <w:vMerge w:val="continue"/>
          </w:tcPr>
          <w:p/>
        </w:tc>
        <w:tc>
          <w:tcPr>
            <w:tcW w:w="362" w:type="pct"/>
            <w:vAlign w:val="center"/>
          </w:tcPr>
          <w:p>
            <w:pPr>
              <w:pStyle w:val="11"/>
            </w:pPr>
            <w:r>
              <w:t>科目    编码</w:t>
            </w:r>
          </w:p>
        </w:tc>
        <w:tc>
          <w:tcPr>
            <w:tcW w:w="577" w:type="pct"/>
            <w:vAlign w:val="center"/>
          </w:tcPr>
          <w:p>
            <w:pPr>
              <w:pStyle w:val="11"/>
            </w:pPr>
            <w:r>
              <w:t>科目名称</w:t>
            </w:r>
          </w:p>
        </w:tc>
        <w:tc>
          <w:tcPr>
            <w:tcW w:w="386" w:type="pct"/>
            <w:vMerge w:val="continue"/>
          </w:tcPr>
          <w:p/>
        </w:tc>
        <w:tc>
          <w:tcPr>
            <w:tcW w:w="372" w:type="pct"/>
            <w:vAlign w:val="center"/>
          </w:tcPr>
          <w:p>
            <w:pPr>
              <w:pStyle w:val="11"/>
            </w:pPr>
            <w:r>
              <w:t>小计</w:t>
            </w:r>
          </w:p>
        </w:tc>
        <w:tc>
          <w:tcPr>
            <w:tcW w:w="362" w:type="pct"/>
            <w:vAlign w:val="center"/>
          </w:tcPr>
          <w:p>
            <w:pPr>
              <w:pStyle w:val="11"/>
            </w:pPr>
            <w:r>
              <w:t>财政拨款 收入</w:t>
            </w:r>
          </w:p>
        </w:tc>
        <w:tc>
          <w:tcPr>
            <w:tcW w:w="362" w:type="pct"/>
            <w:vAlign w:val="center"/>
          </w:tcPr>
          <w:p>
            <w:pPr>
              <w:pStyle w:val="11"/>
            </w:pPr>
            <w:r>
              <w:t>财政专户 收入</w:t>
            </w:r>
          </w:p>
        </w:tc>
        <w:tc>
          <w:tcPr>
            <w:tcW w:w="365" w:type="pct"/>
            <w:vAlign w:val="center"/>
          </w:tcPr>
          <w:p>
            <w:pPr>
              <w:pStyle w:val="11"/>
            </w:pPr>
            <w:r>
              <w:t>事业收入</w:t>
            </w:r>
          </w:p>
        </w:tc>
        <w:tc>
          <w:tcPr>
            <w:tcW w:w="362" w:type="pct"/>
            <w:vAlign w:val="center"/>
          </w:tcPr>
          <w:p>
            <w:pPr>
              <w:pStyle w:val="11"/>
            </w:pPr>
            <w:r>
              <w:t>经营收入</w:t>
            </w:r>
          </w:p>
        </w:tc>
        <w:tc>
          <w:tcPr>
            <w:tcW w:w="362" w:type="pct"/>
            <w:vAlign w:val="center"/>
          </w:tcPr>
          <w:p>
            <w:pPr>
              <w:pStyle w:val="11"/>
            </w:pPr>
            <w:r>
              <w:t>上级补助收入</w:t>
            </w:r>
          </w:p>
        </w:tc>
        <w:tc>
          <w:tcPr>
            <w:tcW w:w="362" w:type="pct"/>
            <w:vAlign w:val="center"/>
          </w:tcPr>
          <w:p>
            <w:pPr>
              <w:pStyle w:val="11"/>
            </w:pPr>
            <w:r>
              <w:t>附属</w:t>
            </w:r>
            <w:r>
              <w:rPr>
                <w:rFonts w:hint="eastAsia"/>
                <w:lang w:eastAsia="zh-CN"/>
              </w:rPr>
              <w:t>部门</w:t>
            </w:r>
            <w:r>
              <w:t>上缴收入</w:t>
            </w:r>
          </w:p>
        </w:tc>
        <w:tc>
          <w:tcPr>
            <w:tcW w:w="367" w:type="pct"/>
            <w:vAlign w:val="center"/>
          </w:tcPr>
          <w:p>
            <w:pPr>
              <w:pStyle w:val="11"/>
            </w:pPr>
            <w:r>
              <w:t>其他收入</w:t>
            </w:r>
          </w:p>
        </w:tc>
        <w:tc>
          <w:tcPr>
            <w:tcW w:w="40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 w:type="pct"/>
            <w:vAlign w:val="center"/>
          </w:tcPr>
          <w:p>
            <w:pPr>
              <w:pStyle w:val="11"/>
            </w:pPr>
            <w:r>
              <w:t>栏次</w:t>
            </w:r>
          </w:p>
        </w:tc>
        <w:tc>
          <w:tcPr>
            <w:tcW w:w="362" w:type="pct"/>
            <w:vAlign w:val="center"/>
          </w:tcPr>
          <w:p>
            <w:pPr>
              <w:pStyle w:val="11"/>
            </w:pPr>
            <w:r>
              <w:t>1</w:t>
            </w:r>
          </w:p>
        </w:tc>
        <w:tc>
          <w:tcPr>
            <w:tcW w:w="577" w:type="pct"/>
            <w:vAlign w:val="center"/>
          </w:tcPr>
          <w:p>
            <w:pPr>
              <w:pStyle w:val="11"/>
            </w:pPr>
            <w:r>
              <w:t>2</w:t>
            </w:r>
          </w:p>
        </w:tc>
        <w:tc>
          <w:tcPr>
            <w:tcW w:w="386" w:type="pct"/>
            <w:vAlign w:val="center"/>
          </w:tcPr>
          <w:p>
            <w:pPr>
              <w:pStyle w:val="11"/>
            </w:pPr>
            <w:r>
              <w:t>3</w:t>
            </w:r>
          </w:p>
        </w:tc>
        <w:tc>
          <w:tcPr>
            <w:tcW w:w="372" w:type="pct"/>
            <w:vAlign w:val="center"/>
          </w:tcPr>
          <w:p>
            <w:pPr>
              <w:pStyle w:val="11"/>
            </w:pPr>
            <w:r>
              <w:t>4</w:t>
            </w:r>
          </w:p>
        </w:tc>
        <w:tc>
          <w:tcPr>
            <w:tcW w:w="362" w:type="pct"/>
            <w:vAlign w:val="center"/>
          </w:tcPr>
          <w:p>
            <w:pPr>
              <w:pStyle w:val="11"/>
            </w:pPr>
            <w:r>
              <w:t>5</w:t>
            </w:r>
          </w:p>
        </w:tc>
        <w:tc>
          <w:tcPr>
            <w:tcW w:w="362" w:type="pct"/>
            <w:vAlign w:val="center"/>
          </w:tcPr>
          <w:p>
            <w:pPr>
              <w:pStyle w:val="11"/>
            </w:pPr>
            <w:r>
              <w:t>6</w:t>
            </w:r>
          </w:p>
        </w:tc>
        <w:tc>
          <w:tcPr>
            <w:tcW w:w="365" w:type="pct"/>
            <w:vAlign w:val="center"/>
          </w:tcPr>
          <w:p>
            <w:pPr>
              <w:pStyle w:val="11"/>
            </w:pPr>
            <w:r>
              <w:t>7</w:t>
            </w:r>
          </w:p>
        </w:tc>
        <w:tc>
          <w:tcPr>
            <w:tcW w:w="362" w:type="pct"/>
            <w:vAlign w:val="center"/>
          </w:tcPr>
          <w:p>
            <w:pPr>
              <w:pStyle w:val="11"/>
            </w:pPr>
            <w:r>
              <w:t>8</w:t>
            </w:r>
          </w:p>
        </w:tc>
        <w:tc>
          <w:tcPr>
            <w:tcW w:w="362" w:type="pct"/>
            <w:vAlign w:val="center"/>
          </w:tcPr>
          <w:p>
            <w:pPr>
              <w:pStyle w:val="11"/>
            </w:pPr>
            <w:r>
              <w:t>9</w:t>
            </w:r>
          </w:p>
        </w:tc>
        <w:tc>
          <w:tcPr>
            <w:tcW w:w="362" w:type="pct"/>
            <w:vAlign w:val="center"/>
          </w:tcPr>
          <w:p>
            <w:pPr>
              <w:pStyle w:val="11"/>
            </w:pPr>
            <w:r>
              <w:t>10</w:t>
            </w:r>
          </w:p>
        </w:tc>
        <w:tc>
          <w:tcPr>
            <w:tcW w:w="367" w:type="pct"/>
            <w:vAlign w:val="center"/>
          </w:tcPr>
          <w:p>
            <w:pPr>
              <w:pStyle w:val="11"/>
            </w:pPr>
            <w:r>
              <w:t>11</w:t>
            </w:r>
          </w:p>
        </w:tc>
        <w:tc>
          <w:tcPr>
            <w:tcW w:w="402"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1</w:t>
            </w:r>
          </w:p>
        </w:tc>
        <w:tc>
          <w:tcPr>
            <w:tcW w:w="362" w:type="pct"/>
            <w:vAlign w:val="center"/>
          </w:tcPr>
          <w:p>
            <w:pPr>
              <w:pStyle w:val="17"/>
            </w:pPr>
          </w:p>
        </w:tc>
        <w:tc>
          <w:tcPr>
            <w:tcW w:w="577" w:type="pct"/>
            <w:vAlign w:val="center"/>
          </w:tcPr>
          <w:p>
            <w:pPr>
              <w:pStyle w:val="15"/>
            </w:pPr>
            <w:r>
              <w:t>合计</w:t>
            </w:r>
          </w:p>
        </w:tc>
        <w:tc>
          <w:tcPr>
            <w:tcW w:w="386" w:type="pct"/>
            <w:vAlign w:val="center"/>
          </w:tcPr>
          <w:p>
            <w:pPr>
              <w:pStyle w:val="16"/>
              <w:rPr>
                <w:rFonts w:hint="default" w:eastAsia="方正书宋_GBK"/>
                <w:lang w:val="en-US" w:eastAsia="zh-CN"/>
              </w:rPr>
            </w:pPr>
            <w:r>
              <w:rPr>
                <w:rFonts w:hint="eastAsia"/>
                <w:lang w:val="en-US" w:eastAsia="zh-CN"/>
              </w:rPr>
              <w:t>2733.22</w:t>
            </w:r>
          </w:p>
        </w:tc>
        <w:tc>
          <w:tcPr>
            <w:tcW w:w="372" w:type="pct"/>
            <w:vAlign w:val="center"/>
          </w:tcPr>
          <w:p>
            <w:pPr>
              <w:pStyle w:val="16"/>
              <w:rPr>
                <w:rFonts w:hint="default" w:eastAsia="方正书宋_GBK"/>
                <w:lang w:val="en-US" w:eastAsia="zh-CN"/>
              </w:rPr>
            </w:pPr>
            <w:r>
              <w:rPr>
                <w:rFonts w:hint="eastAsia"/>
                <w:lang w:val="en-US" w:eastAsia="zh-CN"/>
              </w:rPr>
              <w:t>2733.22</w:t>
            </w:r>
          </w:p>
        </w:tc>
        <w:tc>
          <w:tcPr>
            <w:tcW w:w="362" w:type="pct"/>
            <w:vAlign w:val="center"/>
          </w:tcPr>
          <w:p>
            <w:pPr>
              <w:pStyle w:val="16"/>
              <w:rPr>
                <w:rFonts w:hint="default" w:eastAsia="方正书宋_GBK"/>
                <w:lang w:val="en-US" w:eastAsia="zh-CN"/>
              </w:rPr>
            </w:pPr>
            <w:r>
              <w:rPr>
                <w:rFonts w:hint="eastAsia"/>
                <w:lang w:val="en-US" w:eastAsia="zh-CN"/>
              </w:rPr>
              <w:t>2733.22</w:t>
            </w:r>
          </w:p>
        </w:tc>
        <w:tc>
          <w:tcPr>
            <w:tcW w:w="362" w:type="pct"/>
            <w:vAlign w:val="center"/>
          </w:tcPr>
          <w:p>
            <w:pPr>
              <w:pStyle w:val="16"/>
            </w:pPr>
          </w:p>
        </w:tc>
        <w:tc>
          <w:tcPr>
            <w:tcW w:w="365" w:type="pct"/>
            <w:vAlign w:val="center"/>
          </w:tcPr>
          <w:p>
            <w:pPr>
              <w:pStyle w:val="16"/>
            </w:pPr>
          </w:p>
        </w:tc>
        <w:tc>
          <w:tcPr>
            <w:tcW w:w="362" w:type="pct"/>
            <w:vAlign w:val="center"/>
          </w:tcPr>
          <w:p>
            <w:pPr>
              <w:pStyle w:val="16"/>
            </w:pPr>
          </w:p>
        </w:tc>
        <w:tc>
          <w:tcPr>
            <w:tcW w:w="362" w:type="pct"/>
            <w:vAlign w:val="center"/>
          </w:tcPr>
          <w:p>
            <w:pPr>
              <w:pStyle w:val="16"/>
            </w:pPr>
          </w:p>
        </w:tc>
        <w:tc>
          <w:tcPr>
            <w:tcW w:w="362" w:type="pct"/>
            <w:vAlign w:val="center"/>
          </w:tcPr>
          <w:p>
            <w:pPr>
              <w:pStyle w:val="16"/>
            </w:pPr>
          </w:p>
        </w:tc>
        <w:tc>
          <w:tcPr>
            <w:tcW w:w="367" w:type="pct"/>
            <w:vAlign w:val="center"/>
          </w:tcPr>
          <w:p>
            <w:pPr>
              <w:pStyle w:val="16"/>
            </w:pPr>
          </w:p>
        </w:tc>
        <w:tc>
          <w:tcPr>
            <w:tcW w:w="4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2</w:t>
            </w:r>
          </w:p>
        </w:tc>
        <w:tc>
          <w:tcPr>
            <w:tcW w:w="362" w:type="pct"/>
            <w:vAlign w:val="center"/>
          </w:tcPr>
          <w:p>
            <w:pPr>
              <w:pStyle w:val="13"/>
            </w:pPr>
            <w:r>
              <w:t>208</w:t>
            </w:r>
          </w:p>
        </w:tc>
        <w:tc>
          <w:tcPr>
            <w:tcW w:w="577" w:type="pct"/>
            <w:vAlign w:val="center"/>
          </w:tcPr>
          <w:p>
            <w:pPr>
              <w:pStyle w:val="13"/>
            </w:pPr>
            <w:r>
              <w:t>社会保障和就业支出</w:t>
            </w:r>
          </w:p>
        </w:tc>
        <w:tc>
          <w:tcPr>
            <w:tcW w:w="386" w:type="pct"/>
            <w:vAlign w:val="center"/>
          </w:tcPr>
          <w:p>
            <w:pPr>
              <w:pStyle w:val="12"/>
            </w:pPr>
            <w:r>
              <w:t>24.26</w:t>
            </w:r>
          </w:p>
        </w:tc>
        <w:tc>
          <w:tcPr>
            <w:tcW w:w="372" w:type="pct"/>
            <w:vAlign w:val="center"/>
          </w:tcPr>
          <w:p>
            <w:pPr>
              <w:pStyle w:val="12"/>
            </w:pPr>
            <w:r>
              <w:t>24.26</w:t>
            </w:r>
          </w:p>
        </w:tc>
        <w:tc>
          <w:tcPr>
            <w:tcW w:w="362" w:type="pct"/>
            <w:vAlign w:val="center"/>
          </w:tcPr>
          <w:p>
            <w:pPr>
              <w:pStyle w:val="12"/>
            </w:pPr>
            <w:r>
              <w:t>24.26</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3</w:t>
            </w:r>
          </w:p>
        </w:tc>
        <w:tc>
          <w:tcPr>
            <w:tcW w:w="362" w:type="pct"/>
            <w:vAlign w:val="center"/>
          </w:tcPr>
          <w:p>
            <w:pPr>
              <w:pStyle w:val="13"/>
            </w:pPr>
            <w:r>
              <w:t>20805</w:t>
            </w:r>
          </w:p>
        </w:tc>
        <w:tc>
          <w:tcPr>
            <w:tcW w:w="577" w:type="pct"/>
            <w:vAlign w:val="center"/>
          </w:tcPr>
          <w:p>
            <w:pPr>
              <w:pStyle w:val="13"/>
            </w:pPr>
            <w:r>
              <w:t>行政事业</w:t>
            </w:r>
            <w:r>
              <w:rPr>
                <w:rFonts w:hint="eastAsia"/>
                <w:lang w:eastAsia="zh-CN"/>
              </w:rPr>
              <w:t>部门</w:t>
            </w:r>
            <w:r>
              <w:t>养老支出</w:t>
            </w:r>
          </w:p>
        </w:tc>
        <w:tc>
          <w:tcPr>
            <w:tcW w:w="386" w:type="pct"/>
            <w:vAlign w:val="center"/>
          </w:tcPr>
          <w:p>
            <w:pPr>
              <w:pStyle w:val="12"/>
            </w:pPr>
            <w:r>
              <w:t>24.26</w:t>
            </w:r>
          </w:p>
        </w:tc>
        <w:tc>
          <w:tcPr>
            <w:tcW w:w="372" w:type="pct"/>
            <w:vAlign w:val="center"/>
          </w:tcPr>
          <w:p>
            <w:pPr>
              <w:pStyle w:val="12"/>
            </w:pPr>
            <w:r>
              <w:t>24.26</w:t>
            </w:r>
          </w:p>
        </w:tc>
        <w:tc>
          <w:tcPr>
            <w:tcW w:w="362" w:type="pct"/>
            <w:vAlign w:val="center"/>
          </w:tcPr>
          <w:p>
            <w:pPr>
              <w:pStyle w:val="12"/>
            </w:pPr>
            <w:r>
              <w:t>24.26</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4</w:t>
            </w:r>
          </w:p>
        </w:tc>
        <w:tc>
          <w:tcPr>
            <w:tcW w:w="362" w:type="pct"/>
            <w:vAlign w:val="center"/>
          </w:tcPr>
          <w:p>
            <w:pPr>
              <w:pStyle w:val="13"/>
            </w:pPr>
            <w:r>
              <w:t>2080505</w:t>
            </w:r>
          </w:p>
        </w:tc>
        <w:tc>
          <w:tcPr>
            <w:tcW w:w="577" w:type="pct"/>
            <w:vAlign w:val="center"/>
          </w:tcPr>
          <w:p>
            <w:pPr>
              <w:pStyle w:val="13"/>
            </w:pPr>
            <w:r>
              <w:t>机关事业</w:t>
            </w:r>
            <w:r>
              <w:rPr>
                <w:rFonts w:hint="eastAsia"/>
                <w:lang w:eastAsia="zh-CN"/>
              </w:rPr>
              <w:t>部门</w:t>
            </w:r>
            <w:r>
              <w:t>基本养老保险缴费支出</w:t>
            </w:r>
          </w:p>
        </w:tc>
        <w:tc>
          <w:tcPr>
            <w:tcW w:w="386" w:type="pct"/>
            <w:vAlign w:val="center"/>
          </w:tcPr>
          <w:p>
            <w:pPr>
              <w:pStyle w:val="12"/>
            </w:pPr>
            <w:r>
              <w:t>24.26</w:t>
            </w:r>
          </w:p>
        </w:tc>
        <w:tc>
          <w:tcPr>
            <w:tcW w:w="372" w:type="pct"/>
            <w:vAlign w:val="center"/>
          </w:tcPr>
          <w:p>
            <w:pPr>
              <w:pStyle w:val="12"/>
            </w:pPr>
            <w:r>
              <w:t>24.26</w:t>
            </w:r>
          </w:p>
        </w:tc>
        <w:tc>
          <w:tcPr>
            <w:tcW w:w="362" w:type="pct"/>
            <w:vAlign w:val="center"/>
          </w:tcPr>
          <w:p>
            <w:pPr>
              <w:pStyle w:val="12"/>
            </w:pPr>
            <w:r>
              <w:t>24.26</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5</w:t>
            </w:r>
          </w:p>
        </w:tc>
        <w:tc>
          <w:tcPr>
            <w:tcW w:w="362" w:type="pct"/>
            <w:vAlign w:val="center"/>
          </w:tcPr>
          <w:p>
            <w:pPr>
              <w:pStyle w:val="13"/>
            </w:pPr>
            <w:r>
              <w:t>210</w:t>
            </w:r>
          </w:p>
        </w:tc>
        <w:tc>
          <w:tcPr>
            <w:tcW w:w="577" w:type="pct"/>
            <w:vAlign w:val="center"/>
          </w:tcPr>
          <w:p>
            <w:pPr>
              <w:pStyle w:val="13"/>
            </w:pPr>
            <w:r>
              <w:t>卫生健康支出</w:t>
            </w:r>
          </w:p>
        </w:tc>
        <w:tc>
          <w:tcPr>
            <w:tcW w:w="386" w:type="pct"/>
            <w:vAlign w:val="center"/>
          </w:tcPr>
          <w:p>
            <w:pPr>
              <w:pStyle w:val="12"/>
            </w:pPr>
            <w:r>
              <w:t>10.13</w:t>
            </w:r>
          </w:p>
        </w:tc>
        <w:tc>
          <w:tcPr>
            <w:tcW w:w="372" w:type="pct"/>
            <w:vAlign w:val="center"/>
          </w:tcPr>
          <w:p>
            <w:pPr>
              <w:pStyle w:val="12"/>
            </w:pPr>
            <w:r>
              <w:t>10.13</w:t>
            </w:r>
          </w:p>
        </w:tc>
        <w:tc>
          <w:tcPr>
            <w:tcW w:w="362" w:type="pct"/>
            <w:vAlign w:val="center"/>
          </w:tcPr>
          <w:p>
            <w:pPr>
              <w:pStyle w:val="12"/>
            </w:pPr>
            <w:r>
              <w:t>10.13</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6</w:t>
            </w:r>
          </w:p>
        </w:tc>
        <w:tc>
          <w:tcPr>
            <w:tcW w:w="362" w:type="pct"/>
            <w:vAlign w:val="center"/>
          </w:tcPr>
          <w:p>
            <w:pPr>
              <w:pStyle w:val="13"/>
            </w:pPr>
            <w:r>
              <w:t>21011</w:t>
            </w:r>
          </w:p>
        </w:tc>
        <w:tc>
          <w:tcPr>
            <w:tcW w:w="577" w:type="pct"/>
            <w:vAlign w:val="center"/>
          </w:tcPr>
          <w:p>
            <w:pPr>
              <w:pStyle w:val="13"/>
            </w:pPr>
            <w:r>
              <w:t>行政事业</w:t>
            </w:r>
            <w:r>
              <w:rPr>
                <w:rFonts w:hint="eastAsia"/>
                <w:lang w:eastAsia="zh-CN"/>
              </w:rPr>
              <w:t>部门</w:t>
            </w:r>
            <w:r>
              <w:t>医疗</w:t>
            </w:r>
          </w:p>
        </w:tc>
        <w:tc>
          <w:tcPr>
            <w:tcW w:w="386" w:type="pct"/>
            <w:vAlign w:val="center"/>
          </w:tcPr>
          <w:p>
            <w:pPr>
              <w:pStyle w:val="12"/>
            </w:pPr>
            <w:r>
              <w:t>10.13</w:t>
            </w:r>
          </w:p>
        </w:tc>
        <w:tc>
          <w:tcPr>
            <w:tcW w:w="372" w:type="pct"/>
            <w:vAlign w:val="center"/>
          </w:tcPr>
          <w:p>
            <w:pPr>
              <w:pStyle w:val="12"/>
            </w:pPr>
            <w:r>
              <w:t>10.13</w:t>
            </w:r>
          </w:p>
        </w:tc>
        <w:tc>
          <w:tcPr>
            <w:tcW w:w="362" w:type="pct"/>
            <w:vAlign w:val="center"/>
          </w:tcPr>
          <w:p>
            <w:pPr>
              <w:pStyle w:val="12"/>
            </w:pPr>
            <w:r>
              <w:t>10.13</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7</w:t>
            </w:r>
          </w:p>
        </w:tc>
        <w:tc>
          <w:tcPr>
            <w:tcW w:w="362" w:type="pct"/>
            <w:vAlign w:val="center"/>
          </w:tcPr>
          <w:p>
            <w:pPr>
              <w:pStyle w:val="13"/>
            </w:pPr>
            <w:r>
              <w:t>2101199</w:t>
            </w:r>
          </w:p>
        </w:tc>
        <w:tc>
          <w:tcPr>
            <w:tcW w:w="577" w:type="pct"/>
            <w:vAlign w:val="center"/>
          </w:tcPr>
          <w:p>
            <w:pPr>
              <w:pStyle w:val="13"/>
            </w:pPr>
            <w:r>
              <w:t>其他行政事业</w:t>
            </w:r>
            <w:r>
              <w:rPr>
                <w:rFonts w:hint="eastAsia"/>
                <w:lang w:eastAsia="zh-CN"/>
              </w:rPr>
              <w:t>部门</w:t>
            </w:r>
            <w:r>
              <w:t>医疗支出</w:t>
            </w:r>
          </w:p>
        </w:tc>
        <w:tc>
          <w:tcPr>
            <w:tcW w:w="386" w:type="pct"/>
            <w:vAlign w:val="center"/>
          </w:tcPr>
          <w:p>
            <w:pPr>
              <w:pStyle w:val="12"/>
            </w:pPr>
            <w:r>
              <w:t>10.13</w:t>
            </w:r>
          </w:p>
        </w:tc>
        <w:tc>
          <w:tcPr>
            <w:tcW w:w="372" w:type="pct"/>
            <w:vAlign w:val="center"/>
          </w:tcPr>
          <w:p>
            <w:pPr>
              <w:pStyle w:val="12"/>
            </w:pPr>
            <w:r>
              <w:t>10.13</w:t>
            </w:r>
          </w:p>
        </w:tc>
        <w:tc>
          <w:tcPr>
            <w:tcW w:w="362" w:type="pct"/>
            <w:vAlign w:val="center"/>
          </w:tcPr>
          <w:p>
            <w:pPr>
              <w:pStyle w:val="12"/>
            </w:pPr>
            <w:r>
              <w:t>10.13</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8</w:t>
            </w:r>
          </w:p>
        </w:tc>
        <w:tc>
          <w:tcPr>
            <w:tcW w:w="362" w:type="pct"/>
            <w:vAlign w:val="center"/>
          </w:tcPr>
          <w:p>
            <w:pPr>
              <w:pStyle w:val="13"/>
            </w:pPr>
            <w:r>
              <w:t>214</w:t>
            </w:r>
          </w:p>
        </w:tc>
        <w:tc>
          <w:tcPr>
            <w:tcW w:w="577" w:type="pct"/>
            <w:vAlign w:val="center"/>
          </w:tcPr>
          <w:p>
            <w:pPr>
              <w:pStyle w:val="13"/>
            </w:pPr>
            <w:r>
              <w:t>交通运输支出</w:t>
            </w:r>
          </w:p>
        </w:tc>
        <w:tc>
          <w:tcPr>
            <w:tcW w:w="386" w:type="pct"/>
            <w:vAlign w:val="center"/>
          </w:tcPr>
          <w:p>
            <w:pPr>
              <w:pStyle w:val="12"/>
            </w:pPr>
            <w:r>
              <w:rPr>
                <w:rFonts w:hint="eastAsia"/>
                <w:lang w:val="en-US" w:eastAsia="zh-CN"/>
              </w:rPr>
              <w:t>2679.01</w:t>
            </w:r>
          </w:p>
        </w:tc>
        <w:tc>
          <w:tcPr>
            <w:tcW w:w="372" w:type="pct"/>
            <w:vAlign w:val="center"/>
          </w:tcPr>
          <w:p>
            <w:pPr>
              <w:pStyle w:val="12"/>
              <w:rPr>
                <w:rFonts w:hint="eastAsia" w:eastAsia="方正书宋_GBK"/>
                <w:lang w:eastAsia="zh-CN"/>
              </w:rPr>
            </w:pPr>
            <w:r>
              <w:rPr>
                <w:rFonts w:hint="eastAsia"/>
                <w:lang w:val="en-US" w:eastAsia="zh-CN"/>
              </w:rPr>
              <w:t>2679.01</w:t>
            </w:r>
          </w:p>
        </w:tc>
        <w:tc>
          <w:tcPr>
            <w:tcW w:w="362" w:type="pct"/>
            <w:vAlign w:val="center"/>
          </w:tcPr>
          <w:p>
            <w:pPr>
              <w:pStyle w:val="12"/>
            </w:pPr>
            <w:r>
              <w:rPr>
                <w:rFonts w:hint="eastAsia"/>
                <w:lang w:val="en-US" w:eastAsia="zh-CN"/>
              </w:rPr>
              <w:t>2679.01</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9</w:t>
            </w:r>
          </w:p>
        </w:tc>
        <w:tc>
          <w:tcPr>
            <w:tcW w:w="362" w:type="pct"/>
            <w:vAlign w:val="center"/>
          </w:tcPr>
          <w:p>
            <w:pPr>
              <w:pStyle w:val="13"/>
            </w:pPr>
            <w:r>
              <w:t>21401</w:t>
            </w:r>
          </w:p>
        </w:tc>
        <w:tc>
          <w:tcPr>
            <w:tcW w:w="577" w:type="pct"/>
            <w:vAlign w:val="center"/>
          </w:tcPr>
          <w:p>
            <w:pPr>
              <w:pStyle w:val="13"/>
            </w:pPr>
            <w:r>
              <w:t>公路水路运输</w:t>
            </w:r>
          </w:p>
        </w:tc>
        <w:tc>
          <w:tcPr>
            <w:tcW w:w="386" w:type="pct"/>
            <w:vAlign w:val="center"/>
          </w:tcPr>
          <w:p>
            <w:pPr>
              <w:pStyle w:val="12"/>
            </w:pPr>
            <w:r>
              <w:rPr>
                <w:rFonts w:hint="eastAsia"/>
                <w:lang w:val="en-US" w:eastAsia="zh-CN"/>
              </w:rPr>
              <w:t>2679.01</w:t>
            </w:r>
          </w:p>
        </w:tc>
        <w:tc>
          <w:tcPr>
            <w:tcW w:w="372" w:type="pct"/>
            <w:vAlign w:val="center"/>
          </w:tcPr>
          <w:p>
            <w:pPr>
              <w:pStyle w:val="12"/>
            </w:pPr>
            <w:r>
              <w:rPr>
                <w:rFonts w:hint="eastAsia"/>
                <w:lang w:val="en-US" w:eastAsia="zh-CN"/>
              </w:rPr>
              <w:t>2679.01</w:t>
            </w:r>
          </w:p>
        </w:tc>
        <w:tc>
          <w:tcPr>
            <w:tcW w:w="362" w:type="pct"/>
            <w:vAlign w:val="center"/>
          </w:tcPr>
          <w:p>
            <w:pPr>
              <w:pStyle w:val="12"/>
            </w:pPr>
            <w:r>
              <w:rPr>
                <w:rFonts w:hint="eastAsia"/>
                <w:lang w:val="en-US" w:eastAsia="zh-CN"/>
              </w:rPr>
              <w:t>2679.01</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pPr>
            <w:r>
              <w:t>10</w:t>
            </w:r>
          </w:p>
        </w:tc>
        <w:tc>
          <w:tcPr>
            <w:tcW w:w="362" w:type="pct"/>
            <w:vAlign w:val="center"/>
          </w:tcPr>
          <w:p>
            <w:pPr>
              <w:pStyle w:val="13"/>
            </w:pPr>
            <w:r>
              <w:t>2140101</w:t>
            </w:r>
          </w:p>
        </w:tc>
        <w:tc>
          <w:tcPr>
            <w:tcW w:w="577" w:type="pct"/>
            <w:vAlign w:val="center"/>
          </w:tcPr>
          <w:p>
            <w:pPr>
              <w:pStyle w:val="13"/>
            </w:pPr>
            <w:r>
              <w:t>行政运行</w:t>
            </w:r>
          </w:p>
        </w:tc>
        <w:tc>
          <w:tcPr>
            <w:tcW w:w="386" w:type="pct"/>
            <w:vAlign w:val="center"/>
          </w:tcPr>
          <w:p>
            <w:pPr>
              <w:pStyle w:val="12"/>
            </w:pPr>
            <w:r>
              <w:t>1</w:t>
            </w:r>
            <w:r>
              <w:rPr>
                <w:rFonts w:hint="eastAsia"/>
                <w:lang w:val="en-US" w:eastAsia="zh-CN"/>
              </w:rPr>
              <w:t>7</w:t>
            </w:r>
            <w:r>
              <w:t>58.13</w:t>
            </w:r>
          </w:p>
        </w:tc>
        <w:tc>
          <w:tcPr>
            <w:tcW w:w="372" w:type="pct"/>
            <w:vAlign w:val="center"/>
          </w:tcPr>
          <w:p>
            <w:pPr>
              <w:pStyle w:val="12"/>
            </w:pPr>
            <w:r>
              <w:t>1</w:t>
            </w:r>
            <w:r>
              <w:rPr>
                <w:rFonts w:hint="eastAsia"/>
                <w:lang w:val="en-US" w:eastAsia="zh-CN"/>
              </w:rPr>
              <w:t>7</w:t>
            </w:r>
            <w:r>
              <w:t>58.13</w:t>
            </w:r>
          </w:p>
        </w:tc>
        <w:tc>
          <w:tcPr>
            <w:tcW w:w="362" w:type="pct"/>
            <w:vAlign w:val="center"/>
          </w:tcPr>
          <w:p>
            <w:pPr>
              <w:pStyle w:val="12"/>
            </w:pPr>
            <w:r>
              <w:t>1</w:t>
            </w:r>
            <w:r>
              <w:rPr>
                <w:rFonts w:hint="eastAsia"/>
                <w:lang w:val="en-US" w:eastAsia="zh-CN"/>
              </w:rPr>
              <w:t>7</w:t>
            </w:r>
            <w:r>
              <w:t>58.13</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rPr>
                <w:rFonts w:hint="default" w:eastAsia="方正书宋_GBK"/>
                <w:lang w:val="en-US" w:eastAsia="zh-CN"/>
              </w:rPr>
            </w:pPr>
            <w:r>
              <w:rPr>
                <w:rFonts w:hint="eastAsia"/>
                <w:lang w:val="en-US" w:eastAsia="zh-CN"/>
              </w:rPr>
              <w:t>10</w:t>
            </w:r>
          </w:p>
        </w:tc>
        <w:tc>
          <w:tcPr>
            <w:tcW w:w="362" w:type="pct"/>
            <w:vAlign w:val="center"/>
          </w:tcPr>
          <w:p>
            <w:pPr>
              <w:pStyle w:val="13"/>
            </w:pPr>
            <w:r>
              <w:t>2140106</w:t>
            </w:r>
          </w:p>
        </w:tc>
        <w:tc>
          <w:tcPr>
            <w:tcW w:w="577" w:type="pct"/>
            <w:vAlign w:val="center"/>
          </w:tcPr>
          <w:p>
            <w:pPr>
              <w:pStyle w:val="13"/>
            </w:pPr>
            <w:r>
              <w:t>公路养护</w:t>
            </w:r>
          </w:p>
        </w:tc>
        <w:tc>
          <w:tcPr>
            <w:tcW w:w="386" w:type="pct"/>
            <w:vAlign w:val="center"/>
          </w:tcPr>
          <w:p>
            <w:pPr>
              <w:pStyle w:val="12"/>
              <w:rPr>
                <w:rFonts w:hint="default" w:eastAsia="方正书宋_GBK"/>
                <w:lang w:val="en-US" w:eastAsia="zh-CN"/>
              </w:rPr>
            </w:pPr>
            <w:r>
              <w:rPr>
                <w:rFonts w:hint="eastAsia"/>
                <w:lang w:val="en-US" w:eastAsia="zh-CN"/>
              </w:rPr>
              <w:t>910.88</w:t>
            </w:r>
          </w:p>
        </w:tc>
        <w:tc>
          <w:tcPr>
            <w:tcW w:w="372" w:type="pct"/>
            <w:vAlign w:val="center"/>
          </w:tcPr>
          <w:p>
            <w:pPr>
              <w:pStyle w:val="12"/>
              <w:rPr>
                <w:rFonts w:hint="default" w:eastAsia="方正书宋_GBK"/>
                <w:lang w:val="en-US" w:eastAsia="zh-CN"/>
              </w:rPr>
            </w:pPr>
            <w:r>
              <w:rPr>
                <w:rFonts w:hint="eastAsia"/>
                <w:lang w:val="en-US" w:eastAsia="zh-CN"/>
              </w:rPr>
              <w:t>910.88</w:t>
            </w:r>
          </w:p>
        </w:tc>
        <w:tc>
          <w:tcPr>
            <w:tcW w:w="362" w:type="pct"/>
            <w:vAlign w:val="center"/>
          </w:tcPr>
          <w:p>
            <w:pPr>
              <w:pStyle w:val="12"/>
            </w:pPr>
            <w:r>
              <w:rPr>
                <w:rFonts w:hint="eastAsia"/>
                <w:lang w:val="en-US" w:eastAsia="zh-CN"/>
              </w:rPr>
              <w:t>910</w:t>
            </w:r>
            <w:r>
              <w:t>.88</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rPr>
                <w:rFonts w:hint="eastAsia" w:eastAsia="方正书宋_GBK"/>
                <w:lang w:eastAsia="zh-CN"/>
              </w:rPr>
            </w:pPr>
            <w:r>
              <w:t>1</w:t>
            </w:r>
            <w:r>
              <w:rPr>
                <w:rFonts w:hint="eastAsia"/>
                <w:lang w:val="en-US" w:eastAsia="zh-CN"/>
              </w:rPr>
              <w:t>1</w:t>
            </w:r>
          </w:p>
        </w:tc>
        <w:tc>
          <w:tcPr>
            <w:tcW w:w="362" w:type="pct"/>
            <w:vAlign w:val="center"/>
          </w:tcPr>
          <w:p>
            <w:pPr>
              <w:pStyle w:val="13"/>
            </w:pPr>
            <w:r>
              <w:t>2140199</w:t>
            </w:r>
          </w:p>
        </w:tc>
        <w:tc>
          <w:tcPr>
            <w:tcW w:w="577" w:type="pct"/>
            <w:vAlign w:val="center"/>
          </w:tcPr>
          <w:p>
            <w:pPr>
              <w:pStyle w:val="13"/>
            </w:pPr>
            <w:r>
              <w:t>其他公路水路运输支出</w:t>
            </w:r>
          </w:p>
        </w:tc>
        <w:tc>
          <w:tcPr>
            <w:tcW w:w="386" w:type="pct"/>
            <w:vAlign w:val="center"/>
          </w:tcPr>
          <w:p>
            <w:pPr>
              <w:pStyle w:val="12"/>
            </w:pPr>
            <w:r>
              <w:rPr>
                <w:rFonts w:hint="eastAsia"/>
                <w:lang w:val="en-US" w:eastAsia="zh-CN"/>
              </w:rPr>
              <w:t>10.0</w:t>
            </w:r>
            <w:r>
              <w:t>0</w:t>
            </w:r>
          </w:p>
        </w:tc>
        <w:tc>
          <w:tcPr>
            <w:tcW w:w="372" w:type="pct"/>
            <w:vAlign w:val="center"/>
          </w:tcPr>
          <w:p>
            <w:pPr>
              <w:pStyle w:val="12"/>
            </w:pPr>
            <w:r>
              <w:t>10.00</w:t>
            </w:r>
          </w:p>
        </w:tc>
        <w:tc>
          <w:tcPr>
            <w:tcW w:w="362" w:type="pct"/>
            <w:vAlign w:val="center"/>
          </w:tcPr>
          <w:p>
            <w:pPr>
              <w:pStyle w:val="12"/>
            </w:pPr>
            <w:r>
              <w:t>10.00</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rPr>
                <w:rFonts w:hint="default" w:eastAsia="方正书宋_GBK"/>
                <w:lang w:val="en-US" w:eastAsia="zh-CN"/>
              </w:rPr>
            </w:pPr>
            <w:r>
              <w:rPr>
                <w:rFonts w:hint="eastAsia"/>
                <w:lang w:val="en-US" w:eastAsia="zh-CN"/>
              </w:rPr>
              <w:t>12</w:t>
            </w:r>
          </w:p>
        </w:tc>
        <w:tc>
          <w:tcPr>
            <w:tcW w:w="362" w:type="pct"/>
            <w:vAlign w:val="center"/>
          </w:tcPr>
          <w:p>
            <w:pPr>
              <w:pStyle w:val="13"/>
            </w:pPr>
            <w:r>
              <w:t>221</w:t>
            </w:r>
          </w:p>
        </w:tc>
        <w:tc>
          <w:tcPr>
            <w:tcW w:w="577" w:type="pct"/>
            <w:vAlign w:val="center"/>
          </w:tcPr>
          <w:p>
            <w:pPr>
              <w:pStyle w:val="13"/>
            </w:pPr>
            <w:r>
              <w:t>住房保障支出</w:t>
            </w:r>
          </w:p>
        </w:tc>
        <w:tc>
          <w:tcPr>
            <w:tcW w:w="386" w:type="pct"/>
            <w:vAlign w:val="center"/>
          </w:tcPr>
          <w:p>
            <w:pPr>
              <w:pStyle w:val="12"/>
            </w:pPr>
            <w:r>
              <w:t>19.82</w:t>
            </w:r>
          </w:p>
        </w:tc>
        <w:tc>
          <w:tcPr>
            <w:tcW w:w="372" w:type="pct"/>
            <w:vAlign w:val="center"/>
          </w:tcPr>
          <w:p>
            <w:pPr>
              <w:pStyle w:val="12"/>
            </w:pPr>
            <w:r>
              <w:t>19.82</w:t>
            </w:r>
          </w:p>
        </w:tc>
        <w:tc>
          <w:tcPr>
            <w:tcW w:w="362" w:type="pct"/>
            <w:vAlign w:val="center"/>
          </w:tcPr>
          <w:p>
            <w:pPr>
              <w:pStyle w:val="12"/>
            </w:pPr>
            <w:r>
              <w:t>19.82</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rPr>
                <w:rFonts w:hint="default" w:eastAsia="方正书宋_GBK"/>
                <w:lang w:val="en-US" w:eastAsia="zh-CN"/>
              </w:rPr>
            </w:pPr>
            <w:r>
              <w:rPr>
                <w:rFonts w:hint="eastAsia"/>
                <w:lang w:val="en-US" w:eastAsia="zh-CN"/>
              </w:rPr>
              <w:t>13</w:t>
            </w:r>
          </w:p>
        </w:tc>
        <w:tc>
          <w:tcPr>
            <w:tcW w:w="362" w:type="pct"/>
            <w:vAlign w:val="center"/>
          </w:tcPr>
          <w:p>
            <w:pPr>
              <w:pStyle w:val="13"/>
            </w:pPr>
            <w:r>
              <w:t>22102</w:t>
            </w:r>
          </w:p>
        </w:tc>
        <w:tc>
          <w:tcPr>
            <w:tcW w:w="577" w:type="pct"/>
            <w:vAlign w:val="center"/>
          </w:tcPr>
          <w:p>
            <w:pPr>
              <w:pStyle w:val="13"/>
            </w:pPr>
            <w:r>
              <w:t>住房改革支出</w:t>
            </w:r>
          </w:p>
        </w:tc>
        <w:tc>
          <w:tcPr>
            <w:tcW w:w="386" w:type="pct"/>
            <w:vAlign w:val="center"/>
          </w:tcPr>
          <w:p>
            <w:pPr>
              <w:pStyle w:val="12"/>
            </w:pPr>
            <w:r>
              <w:t>19.82</w:t>
            </w:r>
          </w:p>
        </w:tc>
        <w:tc>
          <w:tcPr>
            <w:tcW w:w="372" w:type="pct"/>
            <w:vAlign w:val="center"/>
          </w:tcPr>
          <w:p>
            <w:pPr>
              <w:pStyle w:val="12"/>
            </w:pPr>
            <w:r>
              <w:t>19.82</w:t>
            </w:r>
          </w:p>
        </w:tc>
        <w:tc>
          <w:tcPr>
            <w:tcW w:w="362" w:type="pct"/>
            <w:vAlign w:val="center"/>
          </w:tcPr>
          <w:p>
            <w:pPr>
              <w:pStyle w:val="12"/>
            </w:pPr>
            <w:r>
              <w:t>19.82</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4"/>
              <w:rPr>
                <w:rFonts w:hint="default" w:eastAsia="方正书宋_GBK"/>
                <w:lang w:val="en-US" w:eastAsia="zh-CN"/>
              </w:rPr>
            </w:pPr>
            <w:r>
              <w:rPr>
                <w:rFonts w:hint="eastAsia"/>
                <w:lang w:val="en-US" w:eastAsia="zh-CN"/>
              </w:rPr>
              <w:t>14</w:t>
            </w:r>
          </w:p>
        </w:tc>
        <w:tc>
          <w:tcPr>
            <w:tcW w:w="362" w:type="pct"/>
            <w:vAlign w:val="center"/>
          </w:tcPr>
          <w:p>
            <w:pPr>
              <w:pStyle w:val="13"/>
            </w:pPr>
            <w:r>
              <w:t>2210201</w:t>
            </w:r>
          </w:p>
        </w:tc>
        <w:tc>
          <w:tcPr>
            <w:tcW w:w="577" w:type="pct"/>
            <w:vAlign w:val="center"/>
          </w:tcPr>
          <w:p>
            <w:pPr>
              <w:pStyle w:val="13"/>
            </w:pPr>
            <w:r>
              <w:t>住房公积金</w:t>
            </w:r>
          </w:p>
        </w:tc>
        <w:tc>
          <w:tcPr>
            <w:tcW w:w="386" w:type="pct"/>
            <w:vAlign w:val="center"/>
          </w:tcPr>
          <w:p>
            <w:pPr>
              <w:pStyle w:val="12"/>
            </w:pPr>
            <w:r>
              <w:t>19.82</w:t>
            </w:r>
          </w:p>
        </w:tc>
        <w:tc>
          <w:tcPr>
            <w:tcW w:w="372" w:type="pct"/>
            <w:vAlign w:val="center"/>
          </w:tcPr>
          <w:p>
            <w:pPr>
              <w:pStyle w:val="12"/>
            </w:pPr>
            <w:r>
              <w:t>19.82</w:t>
            </w:r>
          </w:p>
        </w:tc>
        <w:tc>
          <w:tcPr>
            <w:tcW w:w="362" w:type="pct"/>
            <w:vAlign w:val="center"/>
          </w:tcPr>
          <w:p>
            <w:pPr>
              <w:pStyle w:val="12"/>
            </w:pPr>
            <w:r>
              <w:t>19.82</w:t>
            </w:r>
          </w:p>
        </w:tc>
        <w:tc>
          <w:tcPr>
            <w:tcW w:w="362" w:type="pct"/>
            <w:vAlign w:val="center"/>
          </w:tcPr>
          <w:p>
            <w:pPr>
              <w:pStyle w:val="12"/>
            </w:pPr>
          </w:p>
        </w:tc>
        <w:tc>
          <w:tcPr>
            <w:tcW w:w="365" w:type="pct"/>
            <w:vAlign w:val="center"/>
          </w:tcPr>
          <w:p>
            <w:pPr>
              <w:pStyle w:val="12"/>
            </w:pPr>
          </w:p>
        </w:tc>
        <w:tc>
          <w:tcPr>
            <w:tcW w:w="362" w:type="pct"/>
            <w:vAlign w:val="center"/>
          </w:tcPr>
          <w:p>
            <w:pPr>
              <w:pStyle w:val="12"/>
            </w:pPr>
          </w:p>
        </w:tc>
        <w:tc>
          <w:tcPr>
            <w:tcW w:w="362" w:type="pct"/>
            <w:vAlign w:val="center"/>
          </w:tcPr>
          <w:p>
            <w:pPr>
              <w:pStyle w:val="12"/>
            </w:pPr>
          </w:p>
        </w:tc>
        <w:tc>
          <w:tcPr>
            <w:tcW w:w="362" w:type="pct"/>
            <w:vAlign w:val="center"/>
          </w:tcPr>
          <w:p>
            <w:pPr>
              <w:pStyle w:val="12"/>
            </w:pPr>
          </w:p>
        </w:tc>
        <w:tc>
          <w:tcPr>
            <w:tcW w:w="367" w:type="pct"/>
            <w:vAlign w:val="center"/>
          </w:tcPr>
          <w:p>
            <w:pPr>
              <w:pStyle w:val="12"/>
            </w:pPr>
          </w:p>
        </w:tc>
        <w:tc>
          <w:tcPr>
            <w:tcW w:w="402" w:type="pct"/>
            <w:vAlign w:val="center"/>
          </w:tcPr>
          <w:p>
            <w:pPr>
              <w:pStyle w:val="12"/>
            </w:pPr>
          </w:p>
        </w:tc>
      </w:tr>
    </w:tbl>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3"/>
        <w:gridCol w:w="1664"/>
        <w:gridCol w:w="1937"/>
        <w:gridCol w:w="1402"/>
        <w:gridCol w:w="1667"/>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3"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1022"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pPr>
              <w:pStyle w:val="11"/>
            </w:pPr>
            <w:r>
              <w:t>序号</w:t>
            </w:r>
          </w:p>
        </w:tc>
        <w:tc>
          <w:tcPr>
            <w:tcW w:w="1199" w:type="pct"/>
            <w:gridSpan w:val="2"/>
            <w:vAlign w:val="center"/>
          </w:tcPr>
          <w:p>
            <w:pPr>
              <w:pStyle w:val="11"/>
            </w:pPr>
            <w:r>
              <w:t>功能分类科目</w:t>
            </w:r>
          </w:p>
        </w:tc>
        <w:tc>
          <w:tcPr>
            <w:tcW w:w="467"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8" w:type="pct"/>
            <w:vMerge w:val="restart"/>
            <w:vAlign w:val="center"/>
          </w:tcPr>
          <w:p>
            <w:pPr>
              <w:pStyle w:val="11"/>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tc>
        <w:tc>
          <w:tcPr>
            <w:tcW w:w="554" w:type="pct"/>
            <w:vAlign w:val="center"/>
          </w:tcPr>
          <w:p>
            <w:pPr>
              <w:pStyle w:val="11"/>
            </w:pPr>
            <w:r>
              <w:t>科目    编码</w:t>
            </w:r>
          </w:p>
        </w:tc>
        <w:tc>
          <w:tcPr>
            <w:tcW w:w="645" w:type="pct"/>
            <w:vAlign w:val="center"/>
          </w:tcPr>
          <w:p>
            <w:pPr>
              <w:pStyle w:val="11"/>
            </w:pPr>
            <w:r>
              <w:t>科目名称</w:t>
            </w:r>
          </w:p>
        </w:tc>
        <w:tc>
          <w:tcPr>
            <w:tcW w:w="467"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pPr>
              <w:pStyle w:val="11"/>
            </w:pPr>
            <w:r>
              <w:t>栏次</w:t>
            </w:r>
          </w:p>
        </w:tc>
        <w:tc>
          <w:tcPr>
            <w:tcW w:w="554" w:type="pct"/>
            <w:vAlign w:val="center"/>
          </w:tcPr>
          <w:p>
            <w:pPr>
              <w:pStyle w:val="11"/>
            </w:pPr>
            <w:r>
              <w:t>1</w:t>
            </w:r>
          </w:p>
        </w:tc>
        <w:tc>
          <w:tcPr>
            <w:tcW w:w="645" w:type="pct"/>
            <w:vAlign w:val="center"/>
          </w:tcPr>
          <w:p>
            <w:pPr>
              <w:pStyle w:val="11"/>
            </w:pPr>
            <w:r>
              <w:t>2</w:t>
            </w:r>
          </w:p>
        </w:tc>
        <w:tc>
          <w:tcPr>
            <w:tcW w:w="467"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8"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554" w:type="pct"/>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645" w:type="pct"/>
            <w:vAlign w:val="center"/>
          </w:tcPr>
          <w:p>
            <w:pPr>
              <w:pStyle w:val="15"/>
              <w:ind w:firstLine="0" w:firstLineChars="0"/>
              <w:rPr>
                <w:rFonts w:ascii="方正书宋_GBK" w:hAnsi="方正书宋_GBK" w:eastAsia="方正书宋_GBK" w:cs="方正书宋_GBK"/>
                <w:b/>
                <w:sz w:val="21"/>
                <w:szCs w:val="24"/>
                <w:lang w:val="en-US" w:eastAsia="uk-UA" w:bidi="ar-SA"/>
              </w:rPr>
            </w:pPr>
            <w:r>
              <w:t>合计</w:t>
            </w:r>
          </w:p>
        </w:tc>
        <w:tc>
          <w:tcPr>
            <w:tcW w:w="467"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2733.22</w:t>
            </w:r>
          </w:p>
        </w:tc>
        <w:tc>
          <w:tcPr>
            <w:tcW w:w="555" w:type="pct"/>
            <w:vAlign w:val="center"/>
          </w:tcPr>
          <w:p>
            <w:pPr>
              <w:pStyle w:val="16"/>
              <w:ind w:firstLine="0" w:firstLineChars="0"/>
              <w:rPr>
                <w:rFonts w:ascii="方正书宋_GBK" w:hAnsi="方正书宋_GBK" w:eastAsia="方正书宋_GBK" w:cs="方正书宋_GBK"/>
                <w:b/>
                <w:sz w:val="21"/>
                <w:szCs w:val="24"/>
                <w:lang w:val="en-US" w:eastAsia="uk-UA" w:bidi="ar-SA"/>
              </w:rPr>
            </w:pPr>
            <w:r>
              <w:t>315.84</w:t>
            </w:r>
          </w:p>
        </w:tc>
        <w:tc>
          <w:tcPr>
            <w:tcW w:w="555"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2417.38</w:t>
            </w:r>
          </w:p>
        </w:tc>
        <w:tc>
          <w:tcPr>
            <w:tcW w:w="555" w:type="pct"/>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555" w:type="pct"/>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558" w:type="pct"/>
            <w:vAlign w:val="center"/>
          </w:tcPr>
          <w:p>
            <w:pPr>
              <w:pStyle w:val="16"/>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208</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社会保障和就业支出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20805</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行政事业</w:t>
            </w:r>
            <w:r>
              <w:rPr>
                <w:rFonts w:hint="eastAsia"/>
                <w:lang w:eastAsia="zh-CN"/>
              </w:rPr>
              <w:t>部门</w:t>
            </w:r>
            <w:r>
              <w:t>养老支出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2080505</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机关事业</w:t>
            </w:r>
            <w:r>
              <w:rPr>
                <w:rFonts w:hint="eastAsia"/>
                <w:lang w:eastAsia="zh-CN"/>
              </w:rPr>
              <w:t>部门</w:t>
            </w:r>
            <w:r>
              <w:t>基本养老保险缴费支出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210</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卫生健康支出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21011</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行政事业</w:t>
            </w:r>
            <w:r>
              <w:rPr>
                <w:rFonts w:hint="eastAsia"/>
                <w:lang w:eastAsia="zh-CN"/>
              </w:rPr>
              <w:t>部门</w:t>
            </w:r>
            <w:r>
              <w:t>医疗</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7</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2101199</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其他行政事业</w:t>
            </w:r>
            <w:r>
              <w:rPr>
                <w:rFonts w:hint="eastAsia"/>
                <w:lang w:eastAsia="zh-CN"/>
              </w:rPr>
              <w:t>部门</w:t>
            </w:r>
            <w:r>
              <w:t>医疗支出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8</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214</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交通运输支出</w:t>
            </w:r>
          </w:p>
        </w:tc>
        <w:tc>
          <w:tcPr>
            <w:tcW w:w="467"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2679.01</w:t>
            </w:r>
          </w:p>
        </w:tc>
        <w:tc>
          <w:tcPr>
            <w:tcW w:w="555"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261.63</w:t>
            </w:r>
          </w:p>
        </w:tc>
        <w:tc>
          <w:tcPr>
            <w:tcW w:w="555"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2417.38</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9</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公路水路运输</w:t>
            </w:r>
          </w:p>
        </w:tc>
        <w:tc>
          <w:tcPr>
            <w:tcW w:w="467"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2679.01</w:t>
            </w:r>
          </w:p>
        </w:tc>
        <w:tc>
          <w:tcPr>
            <w:tcW w:w="555"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261.63</w:t>
            </w:r>
          </w:p>
        </w:tc>
        <w:tc>
          <w:tcPr>
            <w:tcW w:w="555"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2417.38</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ascii="方正书宋_GBK" w:hAnsi="方正书宋_GBK" w:eastAsia="方正书宋_GBK" w:cs="方正书宋_GBK"/>
                <w:sz w:val="21"/>
                <w:szCs w:val="24"/>
                <w:lang w:val="en-US" w:eastAsia="uk-UA" w:bidi="ar-SA"/>
              </w:rPr>
            </w:pPr>
            <w:r>
              <w:t>10</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2140101</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行政运行</w:t>
            </w:r>
          </w:p>
        </w:tc>
        <w:tc>
          <w:tcPr>
            <w:tcW w:w="467"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1758.13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261.63</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96.50</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1</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2140106</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公路养护</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910</w:t>
            </w:r>
            <w:r>
              <w:t>.88</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910</w:t>
            </w:r>
            <w:r>
              <w:t>.88</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2</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2140199</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其他公路水路运输支出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10.00</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10.00</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221</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住房保障支出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22102</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住房改革支出</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554" w:type="pct"/>
            <w:vAlign w:val="center"/>
          </w:tcPr>
          <w:p>
            <w:pPr>
              <w:pStyle w:val="13"/>
              <w:ind w:firstLine="0" w:firstLineChars="0"/>
              <w:rPr>
                <w:rFonts w:ascii="方正书宋_GBK" w:hAnsi="方正书宋_GBK" w:eastAsia="方正书宋_GBK" w:cs="方正书宋_GBK"/>
                <w:sz w:val="21"/>
                <w:szCs w:val="24"/>
                <w:lang w:val="en-US" w:eastAsia="uk-UA" w:bidi="ar-SA"/>
              </w:rPr>
            </w:pPr>
            <w:r>
              <w:t>2210201</w:t>
            </w:r>
          </w:p>
        </w:tc>
        <w:tc>
          <w:tcPr>
            <w:tcW w:w="645" w:type="pct"/>
            <w:vAlign w:val="center"/>
          </w:tcPr>
          <w:p>
            <w:pPr>
              <w:pStyle w:val="13"/>
              <w:ind w:firstLine="0" w:firstLineChars="0"/>
              <w:rPr>
                <w:rFonts w:ascii="方正书宋_GBK" w:hAnsi="方正书宋_GBK" w:eastAsia="方正书宋_GBK" w:cs="方正书宋_GBK"/>
                <w:sz w:val="21"/>
                <w:szCs w:val="24"/>
                <w:lang w:val="en-US" w:eastAsia="uk-UA" w:bidi="ar-SA"/>
              </w:rPr>
            </w:pPr>
            <w:r>
              <w:t>住房公积金</w:t>
            </w:r>
          </w:p>
        </w:tc>
        <w:tc>
          <w:tcPr>
            <w:tcW w:w="467"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5"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558"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1877" w:type="dxa"/>
            <w:vAlign w:val="center"/>
          </w:tcPr>
          <w:p>
            <w:pPr>
              <w:pStyle w:val="12"/>
              <w:ind w:firstLine="0" w:firstLineChars="0"/>
            </w:pPr>
            <w:r>
              <w:rPr>
                <w:rFonts w:hint="eastAsia"/>
                <w:lang w:val="en-US" w:eastAsia="zh-CN"/>
              </w:rPr>
              <w:t>2733.22</w:t>
            </w:r>
          </w:p>
        </w:tc>
        <w:tc>
          <w:tcPr>
            <w:tcW w:w="625" w:type="pct"/>
            <w:vAlign w:val="center"/>
          </w:tcPr>
          <w:p>
            <w:pPr>
              <w:pStyle w:val="13"/>
            </w:pPr>
            <w:r>
              <w:t>一、一般公共服务支出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1877" w:type="dxa"/>
            <w:vAlign w:val="center"/>
          </w:tcPr>
          <w:p>
            <w:pPr>
              <w:pStyle w:val="12"/>
              <w:ind w:firstLine="0" w:firstLineChars="0"/>
            </w:pPr>
          </w:p>
        </w:tc>
        <w:tc>
          <w:tcPr>
            <w:tcW w:w="625" w:type="pct"/>
            <w:vAlign w:val="center"/>
          </w:tcPr>
          <w:p>
            <w:pPr>
              <w:pStyle w:val="13"/>
            </w:pPr>
            <w:r>
              <w:t>二、外交支出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1877" w:type="dxa"/>
            <w:vAlign w:val="center"/>
          </w:tcPr>
          <w:p>
            <w:pPr>
              <w:pStyle w:val="12"/>
              <w:ind w:firstLine="0" w:firstLineChars="0"/>
            </w:pPr>
          </w:p>
        </w:tc>
        <w:tc>
          <w:tcPr>
            <w:tcW w:w="625" w:type="pct"/>
            <w:vAlign w:val="center"/>
          </w:tcPr>
          <w:p>
            <w:pPr>
              <w:pStyle w:val="13"/>
            </w:pPr>
            <w:r>
              <w:t>三、国防支出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四、公共安全支出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五、教育支出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六、科学技术支出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七、文化旅游体育与传媒支出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八、社会保障和就业支出</w:t>
            </w:r>
          </w:p>
        </w:tc>
        <w:tc>
          <w:tcPr>
            <w:tcW w:w="1877" w:type="dxa"/>
            <w:vAlign w:val="center"/>
          </w:tcPr>
          <w:p>
            <w:pPr>
              <w:pStyle w:val="12"/>
              <w:ind w:firstLine="0" w:firstLineChars="0"/>
            </w:pPr>
            <w:r>
              <w:t>24.26</w:t>
            </w:r>
          </w:p>
        </w:tc>
        <w:tc>
          <w:tcPr>
            <w:tcW w:w="1877" w:type="dxa"/>
            <w:vAlign w:val="center"/>
          </w:tcPr>
          <w:p>
            <w:pPr>
              <w:pStyle w:val="12"/>
              <w:ind w:firstLine="0" w:firstLineChars="0"/>
            </w:pPr>
            <w:r>
              <w:t>24.26</w:t>
            </w: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九、社会保险基金支出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十、卫生健康支出</w:t>
            </w:r>
          </w:p>
        </w:tc>
        <w:tc>
          <w:tcPr>
            <w:tcW w:w="1877" w:type="dxa"/>
            <w:vAlign w:val="center"/>
          </w:tcPr>
          <w:p>
            <w:pPr>
              <w:pStyle w:val="12"/>
              <w:ind w:firstLine="0" w:firstLineChars="0"/>
            </w:pPr>
            <w:r>
              <w:t>10.13</w:t>
            </w:r>
          </w:p>
        </w:tc>
        <w:tc>
          <w:tcPr>
            <w:tcW w:w="1877" w:type="dxa"/>
            <w:vAlign w:val="center"/>
          </w:tcPr>
          <w:p>
            <w:pPr>
              <w:pStyle w:val="12"/>
              <w:ind w:firstLine="0" w:firstLineChars="0"/>
            </w:pPr>
            <w:r>
              <w:t>10.13</w:t>
            </w: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十一、节能环保支出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十二、城乡社区支出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十三、农林水支出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十四、交通运输支出</w:t>
            </w:r>
          </w:p>
        </w:tc>
        <w:tc>
          <w:tcPr>
            <w:tcW w:w="1877" w:type="dxa"/>
            <w:vAlign w:val="center"/>
          </w:tcPr>
          <w:p>
            <w:pPr>
              <w:pStyle w:val="12"/>
              <w:ind w:firstLine="0" w:firstLineChars="0"/>
              <w:jc w:val="right"/>
            </w:pPr>
            <w:r>
              <w:rPr>
                <w:rFonts w:hint="default"/>
                <w:lang w:val="en-US" w:eastAsia="zh-CN"/>
              </w:rPr>
              <w:t>2679.01</w:t>
            </w:r>
          </w:p>
        </w:tc>
        <w:tc>
          <w:tcPr>
            <w:tcW w:w="1877" w:type="dxa"/>
            <w:vAlign w:val="center"/>
          </w:tcPr>
          <w:p>
            <w:pPr>
              <w:pStyle w:val="12"/>
              <w:ind w:firstLine="0" w:firstLineChars="0"/>
              <w:jc w:val="right"/>
            </w:pPr>
            <w:r>
              <w:rPr>
                <w:rFonts w:hint="default"/>
                <w:lang w:val="en-US" w:eastAsia="zh-CN"/>
              </w:rPr>
              <w:t>2679.01</w:t>
            </w: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十五、资源勘探工业信息等支出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十六、商业服务业等支出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十七、金融支出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十八、援助其他地区支出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十九、自然资源海洋气象等支出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二十、住房保障支出</w:t>
            </w:r>
          </w:p>
        </w:tc>
        <w:tc>
          <w:tcPr>
            <w:tcW w:w="1877" w:type="dxa"/>
            <w:vAlign w:val="center"/>
          </w:tcPr>
          <w:p>
            <w:pPr>
              <w:pStyle w:val="12"/>
              <w:ind w:firstLine="0" w:firstLineChars="0"/>
            </w:pPr>
            <w:r>
              <w:t>19.82</w:t>
            </w:r>
          </w:p>
        </w:tc>
        <w:tc>
          <w:tcPr>
            <w:tcW w:w="1877" w:type="dxa"/>
            <w:vAlign w:val="center"/>
          </w:tcPr>
          <w:p>
            <w:pPr>
              <w:pStyle w:val="12"/>
              <w:ind w:firstLine="0" w:firstLineChars="0"/>
            </w:pPr>
            <w:r>
              <w:t>19.82</w:t>
            </w: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二十一、粮油物资储备支出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二十二、国有资本经营预算支出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二十三、灾害防治及应急管理支出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二十四、预备费</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二十五、其他支出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二十六、转移性支出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二十七、债务还本支出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二十八、债务付息支出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二十九、债务发行费用支出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三十、抗疫特别国债安排的支出</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1877" w:type="dxa"/>
            <w:vAlign w:val="center"/>
          </w:tcPr>
          <w:p>
            <w:pPr>
              <w:pStyle w:val="12"/>
              <w:ind w:firstLine="0" w:firstLineChars="0"/>
            </w:pPr>
          </w:p>
        </w:tc>
        <w:tc>
          <w:tcPr>
            <w:tcW w:w="625" w:type="pct"/>
            <w:vAlign w:val="center"/>
          </w:tcPr>
          <w:p>
            <w:pPr>
              <w:pStyle w:val="13"/>
            </w:pPr>
            <w:r>
              <w:t>三十一、人行科目</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1877" w:type="dxa"/>
            <w:vAlign w:val="center"/>
          </w:tcPr>
          <w:p>
            <w:pPr>
              <w:pStyle w:val="16"/>
              <w:ind w:firstLine="0" w:firstLineChars="0"/>
            </w:pPr>
            <w:r>
              <w:rPr>
                <w:rFonts w:hint="eastAsia"/>
                <w:lang w:val="en-US" w:eastAsia="zh-CN"/>
              </w:rPr>
              <w:t>2733.22</w:t>
            </w:r>
          </w:p>
        </w:tc>
        <w:tc>
          <w:tcPr>
            <w:tcW w:w="625" w:type="pct"/>
            <w:vAlign w:val="center"/>
          </w:tcPr>
          <w:p>
            <w:pPr>
              <w:pStyle w:val="15"/>
            </w:pPr>
            <w:r>
              <w:t>本年支出合计</w:t>
            </w:r>
          </w:p>
        </w:tc>
        <w:tc>
          <w:tcPr>
            <w:tcW w:w="1877" w:type="dxa"/>
            <w:vAlign w:val="center"/>
          </w:tcPr>
          <w:p>
            <w:pPr>
              <w:pStyle w:val="16"/>
              <w:ind w:firstLine="0" w:firstLineChars="0"/>
            </w:pPr>
            <w:r>
              <w:rPr>
                <w:rFonts w:hint="eastAsia"/>
                <w:lang w:val="en-US" w:eastAsia="zh-CN"/>
              </w:rPr>
              <w:t>2733.22</w:t>
            </w:r>
          </w:p>
        </w:tc>
        <w:tc>
          <w:tcPr>
            <w:tcW w:w="1877" w:type="dxa"/>
            <w:vAlign w:val="center"/>
          </w:tcPr>
          <w:p>
            <w:pPr>
              <w:pStyle w:val="16"/>
              <w:ind w:firstLine="0" w:firstLineChars="0"/>
            </w:pPr>
            <w:r>
              <w:rPr>
                <w:rFonts w:hint="eastAsia"/>
                <w:lang w:val="en-US" w:eastAsia="zh-CN"/>
              </w:rPr>
              <w:t>2733.22</w:t>
            </w:r>
          </w:p>
        </w:tc>
        <w:tc>
          <w:tcPr>
            <w:tcW w:w="1877" w:type="dxa"/>
            <w:vAlign w:val="center"/>
          </w:tcPr>
          <w:p>
            <w:pPr>
              <w:pStyle w:val="16"/>
              <w:ind w:firstLine="0" w:firstLineChars="0"/>
            </w:pPr>
          </w:p>
        </w:tc>
        <w:tc>
          <w:tcPr>
            <w:tcW w:w="1877"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1877" w:type="dxa"/>
            <w:vAlign w:val="center"/>
          </w:tcPr>
          <w:p>
            <w:pPr>
              <w:pStyle w:val="12"/>
              <w:ind w:firstLine="0" w:firstLineChars="0"/>
            </w:pPr>
          </w:p>
        </w:tc>
        <w:tc>
          <w:tcPr>
            <w:tcW w:w="625" w:type="pct"/>
            <w:vAlign w:val="center"/>
          </w:tcPr>
          <w:p>
            <w:pPr>
              <w:pStyle w:val="13"/>
            </w:pPr>
            <w:r>
              <w:t>年末财政拨款结转和结余</w:t>
            </w: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1877" w:type="dxa"/>
            <w:vAlign w:val="center"/>
          </w:tcPr>
          <w:p>
            <w:pPr>
              <w:pStyle w:val="12"/>
              <w:ind w:firstLine="0" w:firstLineChars="0"/>
            </w:pPr>
          </w:p>
        </w:tc>
        <w:tc>
          <w:tcPr>
            <w:tcW w:w="625" w:type="pct"/>
            <w:vAlign w:val="center"/>
          </w:tcPr>
          <w:p>
            <w:pPr>
              <w:pStyle w:val="13"/>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1877" w:type="dxa"/>
            <w:vAlign w:val="center"/>
          </w:tcPr>
          <w:p>
            <w:pPr>
              <w:pStyle w:val="12"/>
              <w:ind w:firstLine="0" w:firstLineChars="0"/>
            </w:pPr>
          </w:p>
        </w:tc>
        <w:tc>
          <w:tcPr>
            <w:tcW w:w="625" w:type="pct"/>
            <w:vAlign w:val="center"/>
          </w:tcPr>
          <w:p>
            <w:pPr>
              <w:pStyle w:val="13"/>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1877" w:type="dxa"/>
            <w:vAlign w:val="center"/>
          </w:tcPr>
          <w:p>
            <w:pPr>
              <w:pStyle w:val="12"/>
              <w:ind w:firstLine="0" w:firstLineChars="0"/>
            </w:pPr>
          </w:p>
        </w:tc>
        <w:tc>
          <w:tcPr>
            <w:tcW w:w="625" w:type="pct"/>
            <w:vAlign w:val="center"/>
          </w:tcPr>
          <w:p>
            <w:pPr>
              <w:pStyle w:val="13"/>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c>
          <w:tcPr>
            <w:tcW w:w="187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1877" w:type="dxa"/>
            <w:vAlign w:val="center"/>
          </w:tcPr>
          <w:p>
            <w:pPr>
              <w:pStyle w:val="16"/>
              <w:ind w:firstLine="0" w:firstLineChars="0"/>
            </w:pPr>
            <w:r>
              <w:rPr>
                <w:rFonts w:hint="eastAsia"/>
                <w:lang w:val="en-US" w:eastAsia="zh-CN"/>
              </w:rPr>
              <w:t>2733.22</w:t>
            </w:r>
          </w:p>
        </w:tc>
        <w:tc>
          <w:tcPr>
            <w:tcW w:w="625" w:type="pct"/>
            <w:vAlign w:val="center"/>
          </w:tcPr>
          <w:p>
            <w:pPr>
              <w:pStyle w:val="15"/>
            </w:pPr>
            <w:r>
              <w:t>支出总计</w:t>
            </w:r>
          </w:p>
        </w:tc>
        <w:tc>
          <w:tcPr>
            <w:tcW w:w="1877" w:type="dxa"/>
            <w:vAlign w:val="center"/>
          </w:tcPr>
          <w:p>
            <w:pPr>
              <w:pStyle w:val="16"/>
              <w:ind w:firstLine="0" w:firstLineChars="0"/>
            </w:pPr>
            <w:r>
              <w:rPr>
                <w:rFonts w:hint="eastAsia"/>
                <w:lang w:val="en-US" w:eastAsia="zh-CN"/>
              </w:rPr>
              <w:t>2733.22</w:t>
            </w:r>
          </w:p>
        </w:tc>
        <w:tc>
          <w:tcPr>
            <w:tcW w:w="1877" w:type="dxa"/>
            <w:vAlign w:val="center"/>
          </w:tcPr>
          <w:p>
            <w:pPr>
              <w:pStyle w:val="16"/>
              <w:ind w:firstLine="0" w:firstLineChars="0"/>
            </w:pPr>
            <w:r>
              <w:rPr>
                <w:rFonts w:hint="eastAsia"/>
                <w:lang w:val="en-US" w:eastAsia="zh-CN"/>
              </w:rPr>
              <w:t>2733.22</w:t>
            </w:r>
          </w:p>
        </w:tc>
        <w:tc>
          <w:tcPr>
            <w:tcW w:w="1877" w:type="dxa"/>
            <w:vAlign w:val="center"/>
          </w:tcPr>
          <w:p>
            <w:pPr>
              <w:pStyle w:val="16"/>
              <w:ind w:firstLine="0" w:firstLineChars="0"/>
            </w:pPr>
          </w:p>
        </w:tc>
        <w:tc>
          <w:tcPr>
            <w:tcW w:w="1877" w:type="dxa"/>
            <w:vAlign w:val="center"/>
          </w:tcPr>
          <w:p>
            <w:pPr>
              <w:pStyle w:val="16"/>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2"/>
        <w:gridCol w:w="2492"/>
        <w:gridCol w:w="2523"/>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pPr>
              <w:pStyle w:val="11"/>
            </w:pPr>
            <w:r>
              <w:t>序号</w:t>
            </w:r>
          </w:p>
        </w:tc>
        <w:tc>
          <w:tcPr>
            <w:tcW w:w="1669"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continue"/>
          </w:tcPr>
          <w:p/>
        </w:tc>
        <w:tc>
          <w:tcPr>
            <w:tcW w:w="830" w:type="pct"/>
            <w:vAlign w:val="center"/>
          </w:tcPr>
          <w:p>
            <w:pPr>
              <w:pStyle w:val="11"/>
            </w:pPr>
            <w:r>
              <w:t>科目编码</w:t>
            </w:r>
          </w:p>
        </w:tc>
        <w:tc>
          <w:tcPr>
            <w:tcW w:w="838"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Align w:val="center"/>
          </w:tcPr>
          <w:p>
            <w:pPr>
              <w:pStyle w:val="11"/>
            </w:pPr>
            <w:r>
              <w:t>栏次</w:t>
            </w:r>
          </w:p>
        </w:tc>
        <w:tc>
          <w:tcPr>
            <w:tcW w:w="830" w:type="pct"/>
            <w:vAlign w:val="center"/>
          </w:tcPr>
          <w:p>
            <w:pPr>
              <w:pStyle w:val="11"/>
            </w:pPr>
            <w:r>
              <w:t>1</w:t>
            </w:r>
          </w:p>
        </w:tc>
        <w:tc>
          <w:tcPr>
            <w:tcW w:w="838"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830" w:type="pct"/>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838" w:type="pct"/>
            <w:vAlign w:val="center"/>
          </w:tcPr>
          <w:p>
            <w:pPr>
              <w:pStyle w:val="15"/>
              <w:ind w:firstLine="0" w:firstLineChars="0"/>
              <w:rPr>
                <w:rFonts w:ascii="方正书宋_GBK" w:hAnsi="方正书宋_GBK" w:eastAsia="方正书宋_GBK" w:cs="方正书宋_GBK"/>
                <w:b/>
                <w:sz w:val="21"/>
                <w:szCs w:val="24"/>
                <w:lang w:val="en-US" w:eastAsia="uk-UA" w:bidi="ar-SA"/>
              </w:rPr>
            </w:pPr>
            <w:r>
              <w:t>合计</w:t>
            </w:r>
          </w:p>
        </w:tc>
        <w:tc>
          <w:tcPr>
            <w:tcW w:w="833"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2733.22</w:t>
            </w:r>
          </w:p>
        </w:tc>
        <w:tc>
          <w:tcPr>
            <w:tcW w:w="833" w:type="pct"/>
            <w:vAlign w:val="center"/>
          </w:tcPr>
          <w:p>
            <w:pPr>
              <w:pStyle w:val="16"/>
              <w:ind w:firstLine="0" w:firstLineChars="0"/>
              <w:rPr>
                <w:rFonts w:ascii="方正书宋_GBK" w:hAnsi="方正书宋_GBK" w:eastAsia="方正书宋_GBK" w:cs="方正书宋_GBK"/>
                <w:b/>
                <w:sz w:val="21"/>
                <w:szCs w:val="24"/>
                <w:lang w:val="en-US" w:eastAsia="uk-UA" w:bidi="ar-SA"/>
              </w:rPr>
            </w:pPr>
            <w:r>
              <w:t>315.84</w:t>
            </w:r>
          </w:p>
        </w:tc>
        <w:tc>
          <w:tcPr>
            <w:tcW w:w="833"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2417.38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208</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社会保障和就业支出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20805</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行政事业</w:t>
            </w:r>
            <w:r>
              <w:rPr>
                <w:rFonts w:hint="eastAsia"/>
                <w:lang w:eastAsia="zh-CN"/>
              </w:rPr>
              <w:t>部门</w:t>
            </w:r>
            <w:r>
              <w:t>养老支出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2080505</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机关事业</w:t>
            </w:r>
            <w:r>
              <w:rPr>
                <w:rFonts w:hint="eastAsia"/>
                <w:lang w:eastAsia="zh-CN"/>
              </w:rPr>
              <w:t>部门</w:t>
            </w:r>
            <w:r>
              <w:t>基本养老保险缴费支出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24.26</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210</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卫生健康支出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21011</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行政事业</w:t>
            </w:r>
            <w:r>
              <w:rPr>
                <w:rFonts w:hint="eastAsia"/>
                <w:lang w:eastAsia="zh-CN"/>
              </w:rPr>
              <w:t>部门</w:t>
            </w:r>
            <w:r>
              <w:t>医疗</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10.13</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7</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2101199</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其他行政事业</w:t>
            </w:r>
            <w:r>
              <w:rPr>
                <w:rFonts w:hint="eastAsia"/>
                <w:lang w:eastAsia="zh-CN"/>
              </w:rPr>
              <w:t>部门</w:t>
            </w:r>
            <w:r>
              <w:t>医疗支出</w:t>
            </w:r>
          </w:p>
        </w:tc>
        <w:tc>
          <w:tcPr>
            <w:tcW w:w="833" w:type="pct"/>
            <w:vAlign w:val="center"/>
          </w:tcPr>
          <w:p>
            <w:pPr>
              <w:pStyle w:val="12"/>
              <w:ind w:firstLine="0" w:firstLineChars="0"/>
              <w:jc w:val="right"/>
              <w:rPr>
                <w:rFonts w:ascii="方正书宋_GBK" w:hAnsi="方正书宋_GBK" w:eastAsia="方正书宋_GBK" w:cs="方正书宋_GBK"/>
                <w:sz w:val="21"/>
                <w:szCs w:val="24"/>
                <w:lang w:val="en-US" w:eastAsia="uk-UA" w:bidi="ar-SA"/>
              </w:rPr>
            </w:pPr>
            <w:r>
              <w:t>10.13</w:t>
            </w:r>
          </w:p>
        </w:tc>
        <w:tc>
          <w:tcPr>
            <w:tcW w:w="833" w:type="pct"/>
            <w:vAlign w:val="center"/>
          </w:tcPr>
          <w:p>
            <w:pPr>
              <w:pStyle w:val="12"/>
              <w:ind w:firstLine="0" w:firstLineChars="0"/>
              <w:jc w:val="right"/>
              <w:rPr>
                <w:rFonts w:ascii="方正书宋_GBK" w:hAnsi="方正书宋_GBK" w:eastAsia="方正书宋_GBK" w:cs="方正书宋_GBK"/>
                <w:sz w:val="21"/>
                <w:szCs w:val="24"/>
                <w:lang w:val="en-US" w:eastAsia="uk-UA" w:bidi="ar-SA"/>
              </w:rPr>
            </w:pPr>
            <w:r>
              <w:t>10.13</w:t>
            </w:r>
          </w:p>
        </w:tc>
        <w:tc>
          <w:tcPr>
            <w:tcW w:w="833" w:type="pct"/>
            <w:vAlign w:val="center"/>
          </w:tcPr>
          <w:p>
            <w:pPr>
              <w:pStyle w:val="12"/>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8</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214</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交通运输支出</w:t>
            </w:r>
          </w:p>
        </w:tc>
        <w:tc>
          <w:tcPr>
            <w:tcW w:w="833" w:type="pct"/>
            <w:vAlign w:val="center"/>
          </w:tcPr>
          <w:p>
            <w:pPr>
              <w:keepNext w:val="0"/>
              <w:keepLines w:val="0"/>
              <w:widowControl/>
              <w:suppressLineNumbers w:val="0"/>
              <w:jc w:val="right"/>
              <w:textAlignment w:val="top"/>
              <w:rPr>
                <w:rFonts w:hint="default" w:ascii="Arial" w:hAnsi="Arial" w:eastAsia="Times New Roman" w:cs="Arial"/>
                <w:i w:val="0"/>
                <w:iCs w:val="0"/>
                <w:color w:val="000000"/>
                <w:sz w:val="22"/>
                <w:szCs w:val="22"/>
                <w:u w:val="none"/>
                <w:lang w:val="en-US" w:eastAsia="zh-CN" w:bidi="ar-SA"/>
              </w:rPr>
            </w:pPr>
            <w:r>
              <w:rPr>
                <w:rFonts w:hint="default" w:ascii="Arial" w:hAnsi="Arial" w:eastAsia="宋体" w:cs="Arial"/>
                <w:i w:val="0"/>
                <w:iCs w:val="0"/>
                <w:color w:val="000000"/>
                <w:kern w:val="0"/>
                <w:sz w:val="22"/>
                <w:szCs w:val="22"/>
                <w:u w:val="none"/>
                <w:lang w:val="en-US" w:eastAsia="zh-CN" w:bidi="ar"/>
              </w:rPr>
              <w:t>2679.01</w:t>
            </w:r>
          </w:p>
        </w:tc>
        <w:tc>
          <w:tcPr>
            <w:tcW w:w="833" w:type="pct"/>
            <w:vAlign w:val="center"/>
          </w:tcPr>
          <w:p>
            <w:pPr>
              <w:pStyle w:val="12"/>
              <w:ind w:firstLine="0" w:firstLineChars="0"/>
              <w:jc w:val="right"/>
              <w:rPr>
                <w:rFonts w:ascii="方正书宋_GBK" w:hAnsi="方正书宋_GBK" w:eastAsia="方正书宋_GBK" w:cs="方正书宋_GBK"/>
                <w:sz w:val="21"/>
                <w:szCs w:val="24"/>
                <w:lang w:val="en-US" w:eastAsia="uk-UA" w:bidi="ar-SA"/>
              </w:rPr>
            </w:pPr>
            <w:r>
              <w:t>261.63</w:t>
            </w:r>
          </w:p>
        </w:tc>
        <w:tc>
          <w:tcPr>
            <w:tcW w:w="833" w:type="pct"/>
            <w:vAlign w:val="center"/>
          </w:tcPr>
          <w:p>
            <w:pPr>
              <w:pStyle w:val="12"/>
              <w:ind w:firstLine="0" w:firstLineChars="0"/>
              <w:jc w:val="right"/>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2417.38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9</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公路水路运输</w:t>
            </w:r>
          </w:p>
        </w:tc>
        <w:tc>
          <w:tcPr>
            <w:tcW w:w="833" w:type="pct"/>
            <w:vAlign w:val="center"/>
          </w:tcPr>
          <w:p>
            <w:pPr>
              <w:pStyle w:val="12"/>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2679.01</w:t>
            </w:r>
          </w:p>
        </w:tc>
        <w:tc>
          <w:tcPr>
            <w:tcW w:w="833" w:type="pct"/>
            <w:vAlign w:val="center"/>
          </w:tcPr>
          <w:p>
            <w:pPr>
              <w:pStyle w:val="12"/>
              <w:ind w:firstLine="0" w:firstLineChars="0"/>
              <w:jc w:val="right"/>
              <w:rPr>
                <w:rFonts w:ascii="方正书宋_GBK" w:hAnsi="方正书宋_GBK" w:eastAsia="方正书宋_GBK" w:cs="方正书宋_GBK"/>
                <w:sz w:val="21"/>
                <w:szCs w:val="24"/>
                <w:lang w:val="en-US" w:eastAsia="uk-UA" w:bidi="ar-SA"/>
              </w:rPr>
            </w:pPr>
            <w:r>
              <w:t>261.63</w:t>
            </w:r>
          </w:p>
        </w:tc>
        <w:tc>
          <w:tcPr>
            <w:tcW w:w="833" w:type="pct"/>
            <w:vAlign w:val="center"/>
          </w:tcPr>
          <w:p>
            <w:pPr>
              <w:keepNext w:val="0"/>
              <w:keepLines w:val="0"/>
              <w:widowControl/>
              <w:suppressLineNumbers w:val="0"/>
              <w:jc w:val="right"/>
              <w:textAlignment w:val="top"/>
              <w:rPr>
                <w:rFonts w:ascii="Arial" w:hAnsi="Arial" w:eastAsia="Times New Roman" w:cs="Arial"/>
                <w:i w:val="0"/>
                <w:iCs w:val="0"/>
                <w:color w:val="000000"/>
                <w:sz w:val="22"/>
                <w:szCs w:val="22"/>
                <w:u w:val="none"/>
                <w:lang w:val="en-US" w:eastAsia="uk-UA" w:bidi="ar-SA"/>
              </w:rPr>
            </w:pPr>
            <w:r>
              <w:rPr>
                <w:rFonts w:hint="default" w:ascii="方正书宋_GBK" w:hAnsi="方正书宋_GBK" w:eastAsia="方正书宋_GBK" w:cs="方正书宋_GBK"/>
                <w:sz w:val="21"/>
                <w:szCs w:val="24"/>
                <w:lang w:val="en-US" w:eastAsia="zh-CN" w:bidi="ar-SA"/>
              </w:rPr>
              <w:t>2417.38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ascii="方正书宋_GBK" w:hAnsi="方正书宋_GBK" w:eastAsia="方正书宋_GBK" w:cs="方正书宋_GBK"/>
                <w:sz w:val="21"/>
                <w:szCs w:val="24"/>
                <w:lang w:val="en-US" w:eastAsia="uk-UA" w:bidi="ar-SA"/>
              </w:rPr>
            </w:pPr>
            <w:r>
              <w:t>10</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2140101</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行政运行</w:t>
            </w:r>
          </w:p>
        </w:tc>
        <w:tc>
          <w:tcPr>
            <w:tcW w:w="833"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1758.13</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261.63</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4</w:t>
            </w: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2140106</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公路养护</w:t>
            </w:r>
          </w:p>
        </w:tc>
        <w:tc>
          <w:tcPr>
            <w:tcW w:w="833"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910.88</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lang w:val="en-US" w:eastAsia="uk-UA" w:bidi="ar-SA"/>
              </w:rPr>
            </w:pPr>
            <w:r>
              <w:rPr>
                <w:rFonts w:hint="eastAsia" w:ascii="方正书宋_GBK" w:hAnsi="方正书宋_GBK" w:eastAsia="方正书宋_GBK" w:cs="方正书宋_GBK"/>
                <w:sz w:val="21"/>
                <w:szCs w:val="24"/>
                <w:lang w:val="en-US" w:eastAsia="zh-CN" w:bidi="ar-SA"/>
              </w:rPr>
              <w:t>910.88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2140199</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其他公路水路运输支出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10.00</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221</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住房保障支出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22102</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住房改革支出</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830" w:type="pct"/>
            <w:vAlign w:val="center"/>
          </w:tcPr>
          <w:p>
            <w:pPr>
              <w:pStyle w:val="13"/>
              <w:ind w:firstLine="0" w:firstLineChars="0"/>
              <w:rPr>
                <w:rFonts w:ascii="方正书宋_GBK" w:hAnsi="方正书宋_GBK" w:eastAsia="方正书宋_GBK" w:cs="方正书宋_GBK"/>
                <w:sz w:val="21"/>
                <w:szCs w:val="24"/>
                <w:lang w:val="en-US" w:eastAsia="uk-UA" w:bidi="ar-SA"/>
              </w:rPr>
            </w:pPr>
            <w:r>
              <w:t>2210201</w:t>
            </w:r>
          </w:p>
        </w:tc>
        <w:tc>
          <w:tcPr>
            <w:tcW w:w="838" w:type="pct"/>
            <w:vAlign w:val="center"/>
          </w:tcPr>
          <w:p>
            <w:pPr>
              <w:pStyle w:val="13"/>
              <w:ind w:firstLine="0" w:firstLineChars="0"/>
              <w:rPr>
                <w:rFonts w:ascii="方正书宋_GBK" w:hAnsi="方正书宋_GBK" w:eastAsia="方正书宋_GBK" w:cs="方正书宋_GBK"/>
                <w:sz w:val="21"/>
                <w:szCs w:val="24"/>
                <w:lang w:val="en-US" w:eastAsia="uk-UA" w:bidi="ar-SA"/>
              </w:rPr>
            </w:pPr>
            <w:r>
              <w:t>住房公积金</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r>
              <w:t>19.82</w:t>
            </w:r>
          </w:p>
        </w:tc>
        <w:tc>
          <w:tcPr>
            <w:tcW w:w="833" w:type="pct"/>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315.84</w:t>
            </w:r>
          </w:p>
        </w:tc>
        <w:tc>
          <w:tcPr>
            <w:tcW w:w="833" w:type="pct"/>
            <w:vAlign w:val="center"/>
          </w:tcPr>
          <w:p>
            <w:pPr>
              <w:pStyle w:val="16"/>
            </w:pPr>
            <w:r>
              <w:t>295.72</w:t>
            </w:r>
          </w:p>
        </w:tc>
        <w:tc>
          <w:tcPr>
            <w:tcW w:w="833" w:type="pct"/>
            <w:vAlign w:val="center"/>
          </w:tcPr>
          <w:p>
            <w:pPr>
              <w:pStyle w:val="16"/>
            </w:pPr>
            <w:r>
              <w:t>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262.72</w:t>
            </w:r>
          </w:p>
        </w:tc>
        <w:tc>
          <w:tcPr>
            <w:tcW w:w="833" w:type="pct"/>
            <w:vAlign w:val="center"/>
          </w:tcPr>
          <w:p>
            <w:pPr>
              <w:pStyle w:val="12"/>
            </w:pPr>
            <w:r>
              <w:t>262.72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114.15</w:t>
            </w:r>
          </w:p>
        </w:tc>
        <w:tc>
          <w:tcPr>
            <w:tcW w:w="833" w:type="pct"/>
            <w:vAlign w:val="center"/>
          </w:tcPr>
          <w:p>
            <w:pPr>
              <w:pStyle w:val="12"/>
            </w:pPr>
            <w:r>
              <w:t>114.15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31.41</w:t>
            </w:r>
          </w:p>
        </w:tc>
        <w:tc>
          <w:tcPr>
            <w:tcW w:w="833" w:type="pct"/>
            <w:vAlign w:val="center"/>
          </w:tcPr>
          <w:p>
            <w:pPr>
              <w:pStyle w:val="12"/>
            </w:pPr>
            <w:r>
              <w:t>31.41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20.60</w:t>
            </w:r>
          </w:p>
        </w:tc>
        <w:tc>
          <w:tcPr>
            <w:tcW w:w="833" w:type="pct"/>
            <w:vAlign w:val="center"/>
          </w:tcPr>
          <w:p>
            <w:pPr>
              <w:pStyle w:val="12"/>
            </w:pPr>
            <w:r>
              <w:t>20.60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23.35</w:t>
            </w:r>
          </w:p>
        </w:tc>
        <w:tc>
          <w:tcPr>
            <w:tcW w:w="833" w:type="pct"/>
            <w:vAlign w:val="center"/>
          </w:tcPr>
          <w:p>
            <w:pPr>
              <w:pStyle w:val="12"/>
            </w:pPr>
            <w:r>
              <w:t>23.35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w:t>
            </w:r>
            <w:r>
              <w:rPr>
                <w:rFonts w:hint="eastAsia"/>
                <w:lang w:eastAsia="zh-CN"/>
              </w:rPr>
              <w:t>部门</w:t>
            </w:r>
            <w:r>
              <w:t>基本养老保险缴费</w:t>
            </w:r>
          </w:p>
        </w:tc>
        <w:tc>
          <w:tcPr>
            <w:tcW w:w="833" w:type="pct"/>
            <w:vAlign w:val="center"/>
          </w:tcPr>
          <w:p>
            <w:pPr>
              <w:pStyle w:val="12"/>
            </w:pPr>
            <w:r>
              <w:t>24.26</w:t>
            </w:r>
          </w:p>
        </w:tc>
        <w:tc>
          <w:tcPr>
            <w:tcW w:w="833" w:type="pct"/>
            <w:vAlign w:val="center"/>
          </w:tcPr>
          <w:p>
            <w:pPr>
              <w:pStyle w:val="12"/>
            </w:pPr>
            <w:r>
              <w:t>24.26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10.13</w:t>
            </w:r>
          </w:p>
        </w:tc>
        <w:tc>
          <w:tcPr>
            <w:tcW w:w="833" w:type="pct"/>
            <w:vAlign w:val="center"/>
          </w:tcPr>
          <w:p>
            <w:pPr>
              <w:pStyle w:val="12"/>
            </w:pPr>
            <w:r>
              <w:t>10.13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19.82</w:t>
            </w:r>
          </w:p>
        </w:tc>
        <w:tc>
          <w:tcPr>
            <w:tcW w:w="833" w:type="pct"/>
            <w:vAlign w:val="center"/>
          </w:tcPr>
          <w:p>
            <w:pPr>
              <w:pStyle w:val="12"/>
            </w:pPr>
            <w:r>
              <w:t>19.82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30199</w:t>
            </w:r>
          </w:p>
        </w:tc>
        <w:tc>
          <w:tcPr>
            <w:tcW w:w="833" w:type="pct"/>
            <w:vAlign w:val="center"/>
          </w:tcPr>
          <w:p>
            <w:pPr>
              <w:pStyle w:val="13"/>
            </w:pPr>
            <w:r>
              <w:t>其他工资福利支出</w:t>
            </w:r>
          </w:p>
        </w:tc>
        <w:tc>
          <w:tcPr>
            <w:tcW w:w="833" w:type="pct"/>
            <w:vAlign w:val="center"/>
          </w:tcPr>
          <w:p>
            <w:pPr>
              <w:pStyle w:val="12"/>
            </w:pPr>
            <w:r>
              <w:t>19.00</w:t>
            </w:r>
          </w:p>
        </w:tc>
        <w:tc>
          <w:tcPr>
            <w:tcW w:w="833" w:type="pct"/>
            <w:vAlign w:val="center"/>
          </w:tcPr>
          <w:p>
            <w:pPr>
              <w:pStyle w:val="12"/>
            </w:pPr>
            <w:r>
              <w:t>19.00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20.12</w:t>
            </w:r>
          </w:p>
        </w:tc>
        <w:tc>
          <w:tcPr>
            <w:tcW w:w="833" w:type="pct"/>
            <w:vAlign w:val="center"/>
          </w:tcPr>
          <w:p>
            <w:pPr>
              <w:pStyle w:val="12"/>
            </w:pPr>
          </w:p>
        </w:tc>
        <w:tc>
          <w:tcPr>
            <w:tcW w:w="833" w:type="pct"/>
            <w:vAlign w:val="center"/>
          </w:tcPr>
          <w:p>
            <w:pPr>
              <w:pStyle w:val="12"/>
            </w:pPr>
            <w:r>
              <w:t>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1.52</w:t>
            </w:r>
          </w:p>
        </w:tc>
        <w:tc>
          <w:tcPr>
            <w:tcW w:w="833" w:type="pct"/>
            <w:vAlign w:val="center"/>
          </w:tcPr>
          <w:p>
            <w:pPr>
              <w:pStyle w:val="12"/>
            </w:pPr>
          </w:p>
        </w:tc>
        <w:tc>
          <w:tcPr>
            <w:tcW w:w="833" w:type="pct"/>
            <w:vAlign w:val="center"/>
          </w:tcPr>
          <w:p>
            <w:pPr>
              <w:pStyle w:val="12"/>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30207</w:t>
            </w:r>
          </w:p>
        </w:tc>
        <w:tc>
          <w:tcPr>
            <w:tcW w:w="833" w:type="pct"/>
            <w:vAlign w:val="center"/>
          </w:tcPr>
          <w:p>
            <w:pPr>
              <w:pStyle w:val="13"/>
            </w:pPr>
            <w:r>
              <w:t>邮电费</w:t>
            </w:r>
          </w:p>
        </w:tc>
        <w:tc>
          <w:tcPr>
            <w:tcW w:w="833" w:type="pct"/>
            <w:vAlign w:val="center"/>
          </w:tcPr>
          <w:p>
            <w:pPr>
              <w:pStyle w:val="12"/>
            </w:pPr>
            <w:r>
              <w:t>3.84</w:t>
            </w:r>
          </w:p>
        </w:tc>
        <w:tc>
          <w:tcPr>
            <w:tcW w:w="833" w:type="pct"/>
            <w:vAlign w:val="center"/>
          </w:tcPr>
          <w:p>
            <w:pPr>
              <w:pStyle w:val="12"/>
            </w:pPr>
          </w:p>
        </w:tc>
        <w:tc>
          <w:tcPr>
            <w:tcW w:w="833" w:type="pct"/>
            <w:vAlign w:val="center"/>
          </w:tcPr>
          <w:p>
            <w:pPr>
              <w:pStyle w:val="12"/>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30208</w:t>
            </w:r>
          </w:p>
        </w:tc>
        <w:tc>
          <w:tcPr>
            <w:tcW w:w="833" w:type="pct"/>
            <w:vAlign w:val="center"/>
          </w:tcPr>
          <w:p>
            <w:pPr>
              <w:pStyle w:val="13"/>
            </w:pPr>
            <w:r>
              <w:t>取暖费</w:t>
            </w:r>
          </w:p>
        </w:tc>
        <w:tc>
          <w:tcPr>
            <w:tcW w:w="833" w:type="pct"/>
            <w:vAlign w:val="center"/>
          </w:tcPr>
          <w:p>
            <w:pPr>
              <w:pStyle w:val="12"/>
            </w:pPr>
            <w:r>
              <w:t>0.72</w:t>
            </w:r>
          </w:p>
        </w:tc>
        <w:tc>
          <w:tcPr>
            <w:tcW w:w="833" w:type="pct"/>
            <w:vAlign w:val="center"/>
          </w:tcPr>
          <w:p>
            <w:pPr>
              <w:pStyle w:val="12"/>
            </w:pPr>
          </w:p>
        </w:tc>
        <w:tc>
          <w:tcPr>
            <w:tcW w:w="833" w:type="pct"/>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30228</w:t>
            </w:r>
          </w:p>
        </w:tc>
        <w:tc>
          <w:tcPr>
            <w:tcW w:w="833" w:type="pct"/>
            <w:vAlign w:val="center"/>
          </w:tcPr>
          <w:p>
            <w:pPr>
              <w:pStyle w:val="13"/>
            </w:pPr>
            <w:r>
              <w:t>工会经费</w:t>
            </w:r>
          </w:p>
        </w:tc>
        <w:tc>
          <w:tcPr>
            <w:tcW w:w="833" w:type="pct"/>
            <w:vAlign w:val="center"/>
          </w:tcPr>
          <w:p>
            <w:pPr>
              <w:pStyle w:val="12"/>
            </w:pPr>
            <w:r>
              <w:t>1.78</w:t>
            </w:r>
          </w:p>
        </w:tc>
        <w:tc>
          <w:tcPr>
            <w:tcW w:w="833" w:type="pct"/>
            <w:vAlign w:val="center"/>
          </w:tcPr>
          <w:p>
            <w:pPr>
              <w:pStyle w:val="12"/>
            </w:pPr>
          </w:p>
        </w:tc>
        <w:tc>
          <w:tcPr>
            <w:tcW w:w="833" w:type="pct"/>
            <w:vAlign w:val="center"/>
          </w:tcPr>
          <w:p>
            <w:pPr>
              <w:pStyle w:val="12"/>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30229</w:t>
            </w:r>
          </w:p>
        </w:tc>
        <w:tc>
          <w:tcPr>
            <w:tcW w:w="833" w:type="pct"/>
            <w:vAlign w:val="center"/>
          </w:tcPr>
          <w:p>
            <w:pPr>
              <w:pStyle w:val="13"/>
            </w:pPr>
            <w:r>
              <w:t>福利费</w:t>
            </w:r>
          </w:p>
        </w:tc>
        <w:tc>
          <w:tcPr>
            <w:tcW w:w="833" w:type="pct"/>
            <w:vAlign w:val="center"/>
          </w:tcPr>
          <w:p>
            <w:pPr>
              <w:pStyle w:val="12"/>
            </w:pPr>
            <w:r>
              <w:t>2.36</w:t>
            </w:r>
          </w:p>
        </w:tc>
        <w:tc>
          <w:tcPr>
            <w:tcW w:w="833" w:type="pct"/>
            <w:vAlign w:val="center"/>
          </w:tcPr>
          <w:p>
            <w:pPr>
              <w:pStyle w:val="12"/>
            </w:pPr>
          </w:p>
        </w:tc>
        <w:tc>
          <w:tcPr>
            <w:tcW w:w="833" w:type="pct"/>
            <w:vAlign w:val="center"/>
          </w:tcPr>
          <w:p>
            <w:pPr>
              <w:pStyle w:val="1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9.90</w:t>
            </w:r>
          </w:p>
        </w:tc>
        <w:tc>
          <w:tcPr>
            <w:tcW w:w="833" w:type="pct"/>
            <w:vAlign w:val="center"/>
          </w:tcPr>
          <w:p>
            <w:pPr>
              <w:pStyle w:val="12"/>
            </w:pPr>
          </w:p>
        </w:tc>
        <w:tc>
          <w:tcPr>
            <w:tcW w:w="833" w:type="pct"/>
            <w:vAlign w:val="center"/>
          </w:tcPr>
          <w:p>
            <w:pPr>
              <w:pStyle w:val="12"/>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33.00</w:t>
            </w:r>
          </w:p>
        </w:tc>
        <w:tc>
          <w:tcPr>
            <w:tcW w:w="833" w:type="pct"/>
            <w:vAlign w:val="center"/>
          </w:tcPr>
          <w:p>
            <w:pPr>
              <w:pStyle w:val="12"/>
            </w:pPr>
            <w:r>
              <w:t>33.00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30301</w:t>
            </w:r>
          </w:p>
        </w:tc>
        <w:tc>
          <w:tcPr>
            <w:tcW w:w="833" w:type="pct"/>
            <w:vAlign w:val="center"/>
          </w:tcPr>
          <w:p>
            <w:pPr>
              <w:pStyle w:val="13"/>
            </w:pPr>
            <w:r>
              <w:t>离休费</w:t>
            </w:r>
          </w:p>
        </w:tc>
        <w:tc>
          <w:tcPr>
            <w:tcW w:w="833" w:type="pct"/>
            <w:vAlign w:val="center"/>
          </w:tcPr>
          <w:p>
            <w:pPr>
              <w:pStyle w:val="12"/>
            </w:pPr>
            <w:r>
              <w:t>26.24</w:t>
            </w:r>
          </w:p>
        </w:tc>
        <w:tc>
          <w:tcPr>
            <w:tcW w:w="833" w:type="pct"/>
            <w:vAlign w:val="center"/>
          </w:tcPr>
          <w:p>
            <w:pPr>
              <w:pStyle w:val="12"/>
            </w:pPr>
            <w:r>
              <w:t>26.24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6.76</w:t>
            </w:r>
          </w:p>
        </w:tc>
        <w:tc>
          <w:tcPr>
            <w:tcW w:w="833" w:type="pct"/>
            <w:vAlign w:val="center"/>
          </w:tcPr>
          <w:p>
            <w:pPr>
              <w:pStyle w:val="12"/>
            </w:pPr>
            <w:r>
              <w:t>6.76</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138沙河市交通运输局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7"/>
        <w:ind w:firstLine="560" w:firstLineChars="200"/>
      </w:pPr>
      <w:r>
        <w:t>（一）贯彻实施国家和省、市有关交通运输法律法规、政府规章、政策和标准。根据我市实际，拟定全市公路、水路、城市客运等交通行业管理办法，经市政府批准后组织实施。</w:t>
      </w:r>
    </w:p>
    <w:p>
      <w:pPr>
        <w:pStyle w:val="27"/>
        <w:ind w:firstLine="560" w:firstLineChars="200"/>
      </w:pPr>
      <w: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pPr>
        <w:pStyle w:val="27"/>
        <w:ind w:firstLine="560" w:firstLineChars="200"/>
      </w:pPr>
      <w:r>
        <w:t>（三）承担全市综合运输体系的规划协调，会同有关部门组织编制全市综合运输体系规划，指导交通运输枢纽规划和管理。</w:t>
      </w:r>
    </w:p>
    <w:p>
      <w:pPr>
        <w:pStyle w:val="27"/>
        <w:ind w:firstLine="560" w:firstLineChars="200"/>
      </w:pPr>
      <w: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pStyle w:val="27"/>
        <w:ind w:firstLine="560" w:firstLineChars="200"/>
      </w:pPr>
      <w: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pPr>
        <w:pStyle w:val="27"/>
        <w:ind w:firstLine="560" w:firstLineChars="200"/>
      </w:pPr>
      <w:r>
        <w:t>（六）负责提出全市交通运输行业固定资产投资规模和方向；负责交通国有资产管理和交通专项资金的管理、使用；负责行业内部审计。</w:t>
      </w:r>
    </w:p>
    <w:p>
      <w:pPr>
        <w:pStyle w:val="27"/>
        <w:ind w:firstLine="560" w:firstLineChars="200"/>
      </w:pPr>
      <w: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pPr>
        <w:pStyle w:val="27"/>
        <w:ind w:firstLine="560" w:firstLineChars="200"/>
      </w:pPr>
      <w: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pPr>
        <w:pStyle w:val="27"/>
        <w:ind w:firstLine="560" w:firstLineChars="200"/>
      </w:pPr>
      <w:r>
        <w:t>（九）指导全市交通运输信息化建设，监测分析运行情况，开展相关统计，发布有关信息；组织指导公路、水路、城市客运行业环境保护和节能减排。</w:t>
      </w:r>
    </w:p>
    <w:p>
      <w:pPr>
        <w:pStyle w:val="27"/>
        <w:ind w:firstLine="560" w:firstLineChars="200"/>
      </w:pPr>
      <w:r>
        <w:t>（十）负责全市交通运输行业科技和教育工作，组织科技开发，推动行业技术进步；组织指导交通运输行业精神文明建设。</w:t>
      </w:r>
    </w:p>
    <w:p>
      <w:pPr>
        <w:pStyle w:val="27"/>
        <w:ind w:firstLine="560" w:firstLineChars="200"/>
      </w:pPr>
      <w:r>
        <w:t>（十一）负责全市交通运输行业涉外事宜，指导利用外资；管理公路、水路涉及国际组织的有关事宜；开展国际交通运输经济技术合作与交流。</w:t>
      </w:r>
    </w:p>
    <w:p>
      <w:pPr>
        <w:pStyle w:val="27"/>
        <w:ind w:firstLine="560" w:firstLineChars="200"/>
      </w:pPr>
      <w:r>
        <w:t>（十二）承办市政府交办的其他事项。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rPr>
                <w:rFonts w:hint="eastAsia"/>
                <w:lang w:eastAsia="zh-CN"/>
              </w:rPr>
              <w:t>部门</w:t>
            </w:r>
            <w:r>
              <w:t>名称</w:t>
            </w:r>
          </w:p>
        </w:tc>
        <w:tc>
          <w:tcPr>
            <w:tcW w:w="1250" w:type="pct"/>
            <w:vAlign w:val="center"/>
          </w:tcPr>
          <w:p>
            <w:pPr>
              <w:pStyle w:val="11"/>
            </w:pPr>
            <w:r>
              <w:rPr>
                <w:rFonts w:hint="eastAsia"/>
                <w:lang w:eastAsia="zh-CN"/>
              </w:rPr>
              <w:t>部门</w:t>
            </w:r>
            <w:r>
              <w:t>性质</w:t>
            </w:r>
          </w:p>
        </w:tc>
        <w:tc>
          <w:tcPr>
            <w:tcW w:w="1250" w:type="pct"/>
            <w:vAlign w:val="center"/>
          </w:tcPr>
          <w:p>
            <w:pPr>
              <w:pStyle w:val="11"/>
            </w:pPr>
            <w:r>
              <w:rPr>
                <w:rFonts w:hint="eastAsia"/>
                <w:lang w:eastAsia="zh-CN"/>
              </w:rPr>
              <w:t>部门</w:t>
            </w:r>
            <w:r>
              <w:t>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沙河市交通运输局本级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沙河市交通运输局运输管理站</w:t>
            </w:r>
          </w:p>
        </w:tc>
        <w:tc>
          <w:tcPr>
            <w:tcW w:w="1250" w:type="pct"/>
            <w:vAlign w:val="center"/>
          </w:tcPr>
          <w:p>
            <w:pPr>
              <w:pStyle w:val="14"/>
            </w:pPr>
            <w:r>
              <w:t>事业</w:t>
            </w:r>
          </w:p>
        </w:tc>
        <w:tc>
          <w:tcPr>
            <w:tcW w:w="1250" w:type="pct"/>
            <w:vAlign w:val="center"/>
          </w:tcPr>
          <w:p>
            <w:pPr>
              <w:pStyle w:val="14"/>
            </w:pPr>
          </w:p>
        </w:tc>
        <w:tc>
          <w:tcPr>
            <w:tcW w:w="1250" w:type="pct"/>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6"/>
        <w:ind w:firstLine="560" w:firstLineChars="200"/>
      </w:pPr>
      <w:r>
        <w:rPr>
          <w:rFonts w:hint="eastAsia"/>
          <w:lang w:val="en-US" w:eastAsia="zh-CN"/>
        </w:rPr>
        <w:t xml:space="preserve"> </w:t>
      </w:r>
      <w:r>
        <w:t>按照预算管理有关规定，目前</w:t>
      </w:r>
      <w:r>
        <w:rPr>
          <w:rFonts w:hint="eastAsia"/>
          <w:lang w:eastAsia="zh-CN"/>
        </w:rPr>
        <w:t>部门</w:t>
      </w:r>
      <w:r>
        <w:t>预算的编制实行综合预算管理，即</w:t>
      </w:r>
      <w:r>
        <w:rPr>
          <w:rFonts w:hint="eastAsia"/>
          <w:lang w:val="en-US" w:eastAsia="zh-CN"/>
        </w:rPr>
        <w:t>本级</w:t>
      </w:r>
      <w:r>
        <w:t>全部收入和支出都反映在预算中。</w:t>
      </w:r>
    </w:p>
    <w:p>
      <w:pPr>
        <w:pStyle w:val="26"/>
        <w:ind w:firstLine="560" w:firstLineChars="200"/>
      </w:pPr>
      <w:r>
        <w:t>1、收入说明</w:t>
      </w:r>
    </w:p>
    <w:p>
      <w:pPr>
        <w:pStyle w:val="26"/>
        <w:ind w:firstLine="560" w:firstLineChars="200"/>
      </w:pPr>
      <w:r>
        <w:t>反映本</w:t>
      </w:r>
      <w:r>
        <w:rPr>
          <w:rFonts w:hint="eastAsia"/>
          <w:lang w:eastAsia="zh-CN"/>
        </w:rPr>
        <w:t>部门</w:t>
      </w:r>
      <w:r>
        <w:rPr>
          <w:rFonts w:hint="eastAsia"/>
          <w:lang w:val="en-US" w:eastAsia="zh-CN"/>
        </w:rPr>
        <w:t>本级</w:t>
      </w:r>
      <w:r>
        <w:t>当年全部收入。2024年预算收入</w:t>
      </w:r>
      <w:r>
        <w:rPr>
          <w:rFonts w:hint="eastAsia"/>
          <w:lang w:val="en-US" w:eastAsia="zh-CN"/>
        </w:rPr>
        <w:t>2733.22</w:t>
      </w:r>
      <w:r>
        <w:t>万元，其中：一般公共预算收入</w:t>
      </w:r>
      <w:r>
        <w:rPr>
          <w:rFonts w:hint="eastAsia"/>
          <w:lang w:val="en-US" w:eastAsia="zh-CN"/>
        </w:rPr>
        <w:t>2733.22</w:t>
      </w:r>
      <w:r>
        <w:t>万元，基金预算收入0.00万元，国有资本经营预算收入0.00万元，财政专户核拨收入0.00万元，</w:t>
      </w:r>
      <w:r>
        <w:rPr>
          <w:rFonts w:hint="eastAsia"/>
          <w:lang w:eastAsia="zh-CN"/>
        </w:rPr>
        <w:t>部门</w:t>
      </w:r>
      <w:r>
        <w:t>资金收入0.00万元，上年结转结余</w:t>
      </w:r>
      <w:r>
        <w:rPr>
          <w:rFonts w:hint="eastAsia"/>
          <w:lang w:val="en-US" w:eastAsia="zh-CN"/>
        </w:rPr>
        <w:t>0</w:t>
      </w:r>
      <w:r>
        <w:t>万元。</w:t>
      </w:r>
    </w:p>
    <w:p>
      <w:pPr>
        <w:pStyle w:val="26"/>
        <w:ind w:firstLine="560" w:firstLineChars="200"/>
      </w:pPr>
      <w:r>
        <w:t>2、支出说明</w:t>
      </w:r>
    </w:p>
    <w:p>
      <w:pPr>
        <w:pStyle w:val="26"/>
        <w:ind w:firstLine="560" w:firstLineChars="200"/>
      </w:pPr>
      <w:r>
        <w:t>收支预算总表支出栏、基本支出表、项目支出表按经济分类和支出功能分类科目编制，反映沙河市交通运输局本级年度</w:t>
      </w:r>
      <w:r>
        <w:rPr>
          <w:rFonts w:hint="eastAsia"/>
          <w:lang w:eastAsia="zh-CN"/>
        </w:rPr>
        <w:t>部门</w:t>
      </w:r>
      <w:r>
        <w:t>预算中支出预算的总体情况。2024年支出预算</w:t>
      </w:r>
      <w:r>
        <w:rPr>
          <w:rFonts w:hint="eastAsia"/>
          <w:lang w:val="en-US" w:eastAsia="zh-CN"/>
        </w:rPr>
        <w:t>2733.22</w:t>
      </w:r>
      <w:r>
        <w:t>万元，其中基本支出315.84万元，包括人员经费295.72万元和日常公用经费20.12万元；项目支出</w:t>
      </w:r>
      <w:r>
        <w:rPr>
          <w:rFonts w:hint="eastAsia"/>
          <w:lang w:val="en-US" w:eastAsia="zh-CN"/>
        </w:rPr>
        <w:t>2417.38</w:t>
      </w:r>
      <w:r>
        <w:t>万元，主要为本级项目支出合计2417.38万元；上级专项资金支出合计</w:t>
      </w:r>
      <w:r>
        <w:rPr>
          <w:rFonts w:hint="eastAsia"/>
          <w:lang w:val="en-US" w:eastAsia="zh-CN"/>
        </w:rPr>
        <w:t>0</w:t>
      </w:r>
      <w:r>
        <w:t>万元，其中国债项目支出</w:t>
      </w:r>
      <w:r>
        <w:rPr>
          <w:rFonts w:hint="eastAsia"/>
          <w:lang w:val="en-US" w:eastAsia="zh-CN"/>
        </w:rPr>
        <w:t>0</w:t>
      </w:r>
      <w:r>
        <w:t>万元。</w:t>
      </w:r>
    </w:p>
    <w:p>
      <w:pPr>
        <w:pStyle w:val="26"/>
        <w:ind w:firstLine="560" w:firstLineChars="200"/>
      </w:pPr>
      <w:r>
        <w:t>3、比上年增减情况</w:t>
      </w:r>
    </w:p>
    <w:p>
      <w:pPr>
        <w:pStyle w:val="26"/>
        <w:ind w:firstLine="560" w:firstLineChars="200"/>
        <w:rPr>
          <w:rFonts w:hint="default" w:eastAsia="方正仿宋_GBK"/>
          <w:lang w:val="en-US" w:eastAsia="zh-CN"/>
        </w:rPr>
      </w:pPr>
      <w:r>
        <w:t>2024年预算收支安排</w:t>
      </w:r>
      <w:r>
        <w:rPr>
          <w:rFonts w:hint="eastAsia"/>
          <w:lang w:val="en-US" w:eastAsia="zh-CN"/>
        </w:rPr>
        <w:t>2733.22</w:t>
      </w:r>
      <w:r>
        <w:t>万元，较2023年预算</w:t>
      </w:r>
      <w:r>
        <w:rPr>
          <w:rFonts w:hint="eastAsia"/>
          <w:lang w:val="en-US" w:eastAsia="zh-CN"/>
        </w:rPr>
        <w:t>2857.52万元，减少124.3</w:t>
      </w:r>
      <w:r>
        <w:t>万元，其中：基本支出增加</w:t>
      </w:r>
      <w:r>
        <w:rPr>
          <w:rFonts w:hint="eastAsia"/>
          <w:lang w:val="en-US" w:eastAsia="zh-CN"/>
        </w:rPr>
        <w:t>59.76</w:t>
      </w:r>
      <w:r>
        <w:t>万元，主要为增加2名在职公务员的工资及社保，增加6名退休公务员的月生活补贴项目支出增加万元，</w:t>
      </w:r>
      <w:r>
        <w:rPr>
          <w:rFonts w:hint="eastAsia"/>
          <w:lang w:val="en-US" w:eastAsia="zh-CN"/>
        </w:rPr>
        <w:t>项目支出减少184.06</w:t>
      </w:r>
      <w:r>
        <w:t>万元</w:t>
      </w:r>
      <w:r>
        <w:rPr>
          <w:rFonts w:hint="eastAsia"/>
          <w:lang w:eastAsia="zh-CN"/>
        </w:rPr>
        <w:t>，</w:t>
      </w:r>
      <w:r>
        <w:rPr>
          <w:rFonts w:hint="eastAsia"/>
          <w:lang w:val="en-US" w:eastAsia="zh-CN"/>
        </w:rPr>
        <w:t>主要为减少划转人员经费及农村公路养护经费。</w:t>
      </w:r>
    </w:p>
    <w:p>
      <w:pPr>
        <w:pStyle w:val="19"/>
        <w:rPr>
          <w:rFonts w:hint="eastAsia" w:eastAsia="方正仿宋_GBK"/>
          <w:lang w:val="en-US" w:eastAsia="zh-CN"/>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840" w:firstLineChars="3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w:t>
      </w:r>
      <w:r>
        <w:rPr>
          <w:rFonts w:hint="eastAsia" w:ascii="Times New Roman" w:hAnsi="Times New Roman"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uk-UA" w:bidi="ar-SA"/>
        </w:rPr>
        <w:t>机关运行经费共计安排20.12万元，主要用于日常维修、办公用房水电费、办公用房取暖费、办公用房物业管理费等日常运行支出。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9"/>
        <w:ind w:firstLine="560" w:firstLineChars="200"/>
      </w:pPr>
      <w:r>
        <w:t>2024年，我</w:t>
      </w:r>
      <w:r>
        <w:rPr>
          <w:rFonts w:hint="eastAsia"/>
          <w:lang w:val="en-US" w:eastAsia="zh-CN"/>
        </w:rPr>
        <w:t>部门</w:t>
      </w:r>
      <w:r>
        <w:t>财政拨款“三公”经费预算安排0.00万元，其中因公出国（境）费0.00万元；公务用车购置及运维费0.00万元（其中：公务用车购置费为0.00万元，公务用车运维费0.00万元)；公务接待费0.00万元。与2023年相比</w:t>
      </w:r>
      <w:r>
        <w:rPr>
          <w:rFonts w:hint="eastAsia"/>
          <w:lang w:val="en-US" w:eastAsia="zh-CN"/>
        </w:rPr>
        <w:t>持平</w:t>
      </w:r>
      <w:r>
        <w:t>万元，增减变化的主要原因是我单位本年未安排三公经费预算</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目标：2023年是贯彻落实党的二十大决策部署的开局之年，也是落实“十四五”规划的重要之年，我们要把“建设交通强国”和“当好开路先锋”这两个重要指示结合起来学，坚持做到学以致用、指导实践，推动工作，下一步我们将围绕建设中国式现代化沙河交通实践场景，围绕建设现代化交通强市开展工作</w:t>
      </w:r>
    </w:p>
    <w:p>
      <w:pPr>
        <w:pStyle w:val="22"/>
      </w:pPr>
      <w:r>
        <w:t>分项绩效目标：</w:t>
      </w:r>
    </w:p>
    <w:p>
      <w:pPr>
        <w:pStyle w:val="22"/>
      </w:pPr>
      <w:r>
        <w:t>1、农村公路建养方面。一是建设改造农村公路150公里，预计完成投资1.5亿元。让“四好农村路”全国示范作用得到持续彰显，同时积极申报，争取建成一条全国十佳最美农村公路。二是加快实施灾后重建工程。抓安全、保质量、赶进度，确保灾毁项目按时按质高标准完工，并按工程进度及时将上级补助资金拨付到位。三是启动实施我市通景公路项目，进一步改善节假日期间景区车辆拥堵、通行难问题，提升我市景区公路通行能力和水平。四是紧盯项目进展情况，安排专人继续跑省进京，进一步加强与邢台交通运输局、省交通运输厅以及交通运输部的沟通，全力以赴争取更多项目列入国家、省的大盘子。</w:t>
      </w:r>
    </w:p>
    <w:p>
      <w:pPr>
        <w:pStyle w:val="22"/>
      </w:pPr>
      <w:r>
        <w:t>2、“四型机关”创建方面。按照我局《深入开展讲大局、懂业务、重服务、有活力“四型机关建设”活动实施方案》的部署要求，持续深入开展“四型机关建设”活动。进一步凝聚思想、振奋精神，养成“逢山开路、遇水架桥”的奋进状态和“埋头苦干、担当奉献”的务实态度，持续推动交通运输各项事业全面进步。</w:t>
      </w:r>
    </w:p>
    <w:p>
      <w:pPr>
        <w:pStyle w:val="22"/>
      </w:pPr>
      <w:r>
        <w:t>3、运输管理方面。进一步完善我局智慧交通平台监管内容，将全市85家货运企业和10807辆营运车辆及营运驾驶人全部纳入监管视线，实时掌握情况实现可视化指挥调度。积极谋划争取白塔客运站、朱庄客运站等源头建设纯电动公交车充电设施，逐步扩展充电桩覆盖范围，保障纯电动公交车续航能力，并对公交线路进行优化和调整，为广大群众提供方便快捷优质的公交服务。</w:t>
      </w:r>
    </w:p>
    <w:p>
      <w:pPr>
        <w:pStyle w:val="22"/>
      </w:pPr>
      <w:r>
        <w:t>4、物流强市方面。加强与发改局、自规局和各乡镇办等有关部门的沟通，尽快将物流强市建设土地空间问题解决，有效推动正在谋划的项目早日确定选址和开工建设。加强与北京铁路局的沟通，目前已落地的3个大宗物流项目均涉及铁路专线建设，建议北京铁路局加快铁路专线的审批，确保项目工期的不断档，力争早日建成投产。</w:t>
      </w:r>
    </w:p>
    <w:p>
      <w:pPr>
        <w:pStyle w:val="22"/>
      </w:pPr>
      <w:r>
        <w:t>（三）工作保障措施</w:t>
      </w:r>
    </w:p>
    <w:p>
      <w:pPr>
        <w:pStyle w:val="22"/>
      </w:pPr>
      <w:r>
        <w:t>1、完善制度建设。（包括制定完善预算绩效管理制度、资金管理办法、工作保障制度等，为全年预算绩效目标的实现奠定制度基础。）</w:t>
      </w:r>
    </w:p>
    <w:p>
      <w:pPr>
        <w:pStyle w:val="22"/>
      </w:pPr>
      <w:r>
        <w:t>2、加强支出管理。（通过优化支出结构、编细编实预算、加快履行政府采购手续、尽快启动项目、及时支付资金、6月底前细化代编预算、按规定及时下达资金等多种措施，确保支出进度达标。）</w:t>
      </w:r>
    </w:p>
    <w:p>
      <w:pPr>
        <w:pStyle w:val="22"/>
      </w:pPr>
      <w:r>
        <w:t>3、加强绩效运行监控。按要求开展绩效运行监控，发现问题及时采取措施，确保绩效目标如期保质实现。</w:t>
      </w:r>
    </w:p>
    <w:p>
      <w:pPr>
        <w:pStyle w:val="22"/>
      </w:pPr>
      <w:r>
        <w:t>4、做好绩效自评。（按要求开展上年度部门预算绩效自评和重点评价工作，对评价中发现的问题及时整改，调整优化支出结构，提高财政资金使用效益。）</w:t>
      </w:r>
    </w:p>
    <w:p>
      <w:pPr>
        <w:pStyle w:val="22"/>
      </w:pPr>
      <w:r>
        <w:t>5、规范财务资产管理。（完善财务管理制度，严格审批程序，加强固定资产登记、使用和报废处置管理，做到支出合理，物尽其用。）</w:t>
      </w:r>
    </w:p>
    <w:p>
      <w:pPr>
        <w:pStyle w:val="22"/>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pPr>
      <w:r>
        <w:t xml:space="preserve">7、加强宣传培训调研等。加强人员培训，提高本部门职工业务素质；加强调研，提出优化财政资金配置、提高资金使用效益的意见；加大宣传力度，强化预算绩效管理意识，促进预算绩效管理水平进一步提升。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农村公路建养方面。一是建设改造农村公路150公里，预计完成投资1.5亿元。让“四好农村路”全国示范作用得到持续彰显，同时积极申报，争取建成一条全国十佳最美农村公路。二是加快实施灾后重建工程。抓安全、保质量、赶进度，确保灾毁项目按时按质高标准完工，并按工程进度及时将上级补助资金拨付到位。三是启动实施我市通景公路项目，进一步改善节假日期间景区车辆拥堵、通行难问题，提升我市景区公路通行能力和水平。四是紧盯项目进展情况，安排专人继续跑省进京，进一步加强与邢台交通运输局、省交通运输厅以及交通运输部的沟通，全力以赴争取更多项目列入国家、省的大盘子。</w:t>
      </w:r>
    </w:p>
    <w:p>
      <w:pPr>
        <w:pStyle w:val="23"/>
      </w:pPr>
      <w:r>
        <w:t>2、“四型机关”创建方面。按照我局《深入开展讲大局、懂业务、重服务、有活力“四型机关建设”活动实施方案》的部署要求，持续深入开展“四型机关建设”活动。进一步凝聚思想、振奋精神，养成“逢山开路、遇水架桥”的奋进状态和“埋头苦干、担当奉献”的务实态度，持续推动交通运输各项事业全面进步。</w:t>
      </w:r>
    </w:p>
    <w:p>
      <w:pPr>
        <w:pStyle w:val="23"/>
      </w:pPr>
      <w:r>
        <w:t>3、运输管理方面。进一步完善我局智慧交通平台监管内容，将全市85家货运企业和10807辆营运车辆及营运驾驶人全部纳入监管视线，实时掌握情况实现可视化指挥调度。积极谋划争取白塔客运站、朱庄客运站等源头建设纯电动公交车充电设施，逐步扩展充电桩覆盖范围，保障纯电动公交车续航能力，并对公交线路进行优化和调整，为广大群众提供方便快捷优质的公交服务。   4、物流强市方面。加强与发改局、自规局和各乡镇办等有关部门的沟通，尽快将物流强市建设土地空间问题解决，有效推动正在谋划的项目早日确定选址和开工建设。加强与北京铁路局的沟通，目前已落地的3个大宗物流项目均涉及铁路专线建设，建议北京铁路局加快铁路专线的审批，确保项目工期的不断档，力争早日建成投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w:t>
      </w:r>
      <w:bookmarkStart w:id="19" w:name="_GoBack"/>
      <w:bookmarkEnd w:id="19"/>
      <w:r>
        <w:t xml:space="preserve">意见；加大宣传力度，强化预算绩效管理意识，促进预算绩效管理水平进一步提升。 </w:t>
      </w:r>
    </w:p>
    <w:p>
      <w:pPr>
        <w:spacing w:before="10" w:after="10" w:line="360" w:lineRule="auto"/>
        <w:ind w:firstLine="640"/>
        <w:jc w:val="left"/>
        <w:outlineLvl w:val="2"/>
        <w:rPr>
          <w:rFonts w:hint="eastAsia" w:eastAsia="黑体"/>
          <w:lang w:val="en-US" w:eastAsia="zh-CN"/>
        </w:rPr>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w:t>
      </w:r>
      <w:bookmarkEnd w:id="14"/>
      <w:r>
        <w:rPr>
          <w:rFonts w:hint="eastAsia" w:ascii="黑体" w:hAnsi="黑体" w:eastAsia="黑体" w:cs="黑体"/>
          <w:color w:val="000000"/>
          <w:sz w:val="32"/>
          <w:lang w:val="en-US" w:eastAsia="zh-CN"/>
        </w:rPr>
        <w:t>效</w:t>
      </w:r>
    </w:p>
    <w:p>
      <w:pPr>
        <w:spacing w:before="0" w:after="0"/>
        <w:jc w:val="left"/>
        <w:outlineLvl w:val="9"/>
      </w:pPr>
      <w:r>
        <w:rPr>
          <w:rFonts w:ascii="方正仿宋_GBK" w:hAnsi="方正仿宋_GBK" w:eastAsia="方正仿宋_GBK" w:cs="方正仿宋_GBK"/>
          <w:color w:val="000000"/>
          <w:sz w:val="28"/>
        </w:rPr>
        <w:t>1、交通工作经费绩效目标表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13058224P00Y25A10070J</w:t>
            </w:r>
          </w:p>
        </w:tc>
        <w:tc>
          <w:tcPr>
            <w:tcW w:w="2835" w:type="dxa"/>
            <w:vAlign w:val="center"/>
          </w:tcPr>
          <w:p>
            <w:pPr>
              <w:pStyle w:val="11"/>
            </w:pPr>
            <w:r>
              <w:t>项目名称</w:t>
            </w:r>
          </w:p>
        </w:tc>
        <w:tc>
          <w:tcPr>
            <w:tcW w:w="6094" w:type="dxa"/>
            <w:gridSpan w:val="3"/>
            <w:vAlign w:val="center"/>
          </w:tcPr>
          <w:p>
            <w:pPr>
              <w:pStyle w:val="13"/>
            </w:pPr>
            <w:r>
              <w:t>交通工作经费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用于交通系统行政运行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购置商品与服务次数</w:t>
            </w:r>
          </w:p>
        </w:tc>
        <w:tc>
          <w:tcPr>
            <w:tcW w:w="5386" w:type="dxa"/>
            <w:vAlign w:val="center"/>
          </w:tcPr>
          <w:p>
            <w:pPr>
              <w:pStyle w:val="13"/>
            </w:pPr>
            <w:r>
              <w:t>购置商品与服务次数</w:t>
            </w:r>
          </w:p>
        </w:tc>
        <w:tc>
          <w:tcPr>
            <w:tcW w:w="2268" w:type="dxa"/>
            <w:vAlign w:val="center"/>
          </w:tcPr>
          <w:p>
            <w:pPr>
              <w:pStyle w:val="13"/>
            </w:pPr>
            <w:r>
              <w:t>12月</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商品与服务满足工作需求程度</w:t>
            </w:r>
          </w:p>
        </w:tc>
        <w:tc>
          <w:tcPr>
            <w:tcW w:w="5386" w:type="dxa"/>
            <w:vAlign w:val="center"/>
          </w:tcPr>
          <w:p>
            <w:pPr>
              <w:pStyle w:val="13"/>
            </w:pPr>
            <w:r>
              <w:t>商品与服务满足工作需求程度</w:t>
            </w:r>
          </w:p>
        </w:tc>
        <w:tc>
          <w:tcPr>
            <w:tcW w:w="2268" w:type="dxa"/>
            <w:vAlign w:val="center"/>
          </w:tcPr>
          <w:p>
            <w:pPr>
              <w:pStyle w:val="13"/>
            </w:pPr>
            <w:r>
              <w:t>100%</w:t>
            </w:r>
          </w:p>
        </w:tc>
        <w:tc>
          <w:tcPr>
            <w:tcW w:w="1276" w:type="dxa"/>
            <w:vAlign w:val="center"/>
          </w:tcPr>
          <w:p>
            <w:pPr>
              <w:pStyle w:val="13"/>
            </w:pPr>
            <w:r>
              <w:t>商品及服务使用效果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人均公用经费成本</w:t>
            </w:r>
          </w:p>
        </w:tc>
        <w:tc>
          <w:tcPr>
            <w:tcW w:w="5386" w:type="dxa"/>
            <w:vAlign w:val="center"/>
          </w:tcPr>
          <w:p>
            <w:pPr>
              <w:pStyle w:val="13"/>
            </w:pPr>
            <w:r>
              <w:t>人均公用经费成本</w:t>
            </w:r>
          </w:p>
        </w:tc>
        <w:tc>
          <w:tcPr>
            <w:tcW w:w="2268" w:type="dxa"/>
            <w:vAlign w:val="center"/>
          </w:tcPr>
          <w:p>
            <w:pPr>
              <w:pStyle w:val="13"/>
            </w:pPr>
            <w:r>
              <w:t>≤1200元/人/年</w:t>
            </w:r>
          </w:p>
        </w:tc>
        <w:tc>
          <w:tcPr>
            <w:tcW w:w="1276" w:type="dxa"/>
            <w:vAlign w:val="center"/>
          </w:tcPr>
          <w:p>
            <w:pPr>
              <w:pStyle w:val="13"/>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rPr>
                <w:rFonts w:hint="eastAsia"/>
                <w:lang w:eastAsia="zh-CN"/>
              </w:rPr>
              <w:t>部门</w:t>
            </w:r>
            <w:r>
              <w:t>年终考核成绩</w:t>
            </w:r>
          </w:p>
        </w:tc>
        <w:tc>
          <w:tcPr>
            <w:tcW w:w="5386" w:type="dxa"/>
            <w:vAlign w:val="center"/>
          </w:tcPr>
          <w:p>
            <w:pPr>
              <w:pStyle w:val="13"/>
            </w:pPr>
            <w:r>
              <w:t>上级部门（或组织部门）对本</w:t>
            </w:r>
            <w:r>
              <w:rPr>
                <w:rFonts w:hint="eastAsia"/>
                <w:lang w:eastAsia="zh-CN"/>
              </w:rPr>
              <w:t>部门</w:t>
            </w:r>
            <w:r>
              <w:t>年终考核成绩</w:t>
            </w:r>
          </w:p>
        </w:tc>
        <w:tc>
          <w:tcPr>
            <w:tcW w:w="2268" w:type="dxa"/>
            <w:vAlign w:val="center"/>
          </w:tcPr>
          <w:p>
            <w:pPr>
              <w:pStyle w:val="13"/>
            </w:pPr>
            <w:r>
              <w:t>良好</w:t>
            </w:r>
          </w:p>
        </w:tc>
        <w:tc>
          <w:tcPr>
            <w:tcW w:w="1276" w:type="dxa"/>
            <w:vAlign w:val="center"/>
          </w:tcPr>
          <w:p>
            <w:pPr>
              <w:pStyle w:val="13"/>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rPr>
                <w:rFonts w:hint="eastAsia"/>
                <w:lang w:eastAsia="zh-CN"/>
              </w:rPr>
              <w:t>部门</w:t>
            </w:r>
            <w:r>
              <w:t>职工满意人数/</w:t>
            </w:r>
            <w:r>
              <w:rPr>
                <w:rFonts w:hint="eastAsia"/>
                <w:lang w:eastAsia="zh-CN"/>
              </w:rPr>
              <w:t>部门</w:t>
            </w:r>
            <w:r>
              <w:t>职工总人数*100%</w:t>
            </w:r>
          </w:p>
        </w:tc>
        <w:tc>
          <w:tcPr>
            <w:tcW w:w="2268" w:type="dxa"/>
            <w:vAlign w:val="center"/>
          </w:tcPr>
          <w:p>
            <w:pPr>
              <w:pStyle w:val="13"/>
            </w:pPr>
            <w:r>
              <w:t>≥90%</w:t>
            </w:r>
          </w:p>
        </w:tc>
        <w:tc>
          <w:tcPr>
            <w:tcW w:w="1276" w:type="dxa"/>
            <w:vAlign w:val="center"/>
          </w:tcPr>
          <w:p>
            <w:pPr>
              <w:pStyle w:val="13"/>
            </w:pPr>
            <w:r>
              <w:t>相关调查问卷等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、交通局下划人员经费绩效目标表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13058224P00Y25A10068K</w:t>
            </w:r>
          </w:p>
        </w:tc>
        <w:tc>
          <w:tcPr>
            <w:tcW w:w="2835" w:type="dxa"/>
            <w:vAlign w:val="center"/>
          </w:tcPr>
          <w:p>
            <w:pPr>
              <w:pStyle w:val="11"/>
            </w:pPr>
            <w:r>
              <w:t>项目名称</w:t>
            </w:r>
          </w:p>
        </w:tc>
        <w:tc>
          <w:tcPr>
            <w:tcW w:w="6094" w:type="dxa"/>
            <w:gridSpan w:val="3"/>
            <w:vAlign w:val="center"/>
          </w:tcPr>
          <w:p>
            <w:pPr>
              <w:pStyle w:val="13"/>
            </w:pPr>
            <w:r>
              <w:t>交通局下划人员经费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1396.50</w:t>
            </w:r>
          </w:p>
        </w:tc>
        <w:tc>
          <w:tcPr>
            <w:tcW w:w="2835" w:type="dxa"/>
            <w:vAlign w:val="center"/>
          </w:tcPr>
          <w:p>
            <w:pPr>
              <w:pStyle w:val="11"/>
            </w:pPr>
            <w:r>
              <w:t>其中：财政    资金</w:t>
            </w:r>
          </w:p>
        </w:tc>
        <w:tc>
          <w:tcPr>
            <w:tcW w:w="2551" w:type="dxa"/>
            <w:vAlign w:val="center"/>
          </w:tcPr>
          <w:p>
            <w:pPr>
              <w:pStyle w:val="13"/>
            </w:pPr>
            <w:r>
              <w:t>1396.50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用于交通系统下划人员工资及社保支出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349.13</w:t>
            </w:r>
          </w:p>
        </w:tc>
        <w:tc>
          <w:tcPr>
            <w:tcW w:w="2835" w:type="dxa"/>
            <w:vAlign w:val="center"/>
          </w:tcPr>
          <w:p>
            <w:pPr>
              <w:pStyle w:val="14"/>
            </w:pPr>
            <w:r>
              <w:t>698.25</w:t>
            </w:r>
          </w:p>
        </w:tc>
        <w:tc>
          <w:tcPr>
            <w:tcW w:w="2551" w:type="dxa"/>
            <w:vAlign w:val="center"/>
          </w:tcPr>
          <w:p>
            <w:pPr>
              <w:pStyle w:val="14"/>
            </w:pPr>
            <w:r>
              <w:t>1047.38</w:t>
            </w:r>
          </w:p>
        </w:tc>
        <w:tc>
          <w:tcPr>
            <w:tcW w:w="3543" w:type="dxa"/>
            <w:gridSpan w:val="2"/>
            <w:vAlign w:val="center"/>
          </w:tcPr>
          <w:p>
            <w:pPr>
              <w:pStyle w:val="14"/>
            </w:pPr>
            <w:r>
              <w:t>1396.50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1.通过及时足额发放工资及缴纳社保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下划人员人数</w:t>
            </w:r>
          </w:p>
        </w:tc>
        <w:tc>
          <w:tcPr>
            <w:tcW w:w="2268" w:type="dxa"/>
            <w:vAlign w:val="center"/>
          </w:tcPr>
          <w:p>
            <w:pPr>
              <w:pStyle w:val="13"/>
            </w:pPr>
            <w:r>
              <w:t>176人</w:t>
            </w:r>
          </w:p>
        </w:tc>
        <w:tc>
          <w:tcPr>
            <w:tcW w:w="1276" w:type="dxa"/>
            <w:vAlign w:val="center"/>
          </w:tcPr>
          <w:p>
            <w:pPr>
              <w:pStyle w:val="13"/>
            </w:pPr>
            <w:r>
              <w:t>下划人员名单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工资、社保</w:t>
            </w:r>
          </w:p>
        </w:tc>
        <w:tc>
          <w:tcPr>
            <w:tcW w:w="5386" w:type="dxa"/>
            <w:vAlign w:val="center"/>
          </w:tcPr>
          <w:p>
            <w:pPr>
              <w:pStyle w:val="13"/>
            </w:pPr>
            <w:r>
              <w:t>工资足额发放。社保足额缴纳</w:t>
            </w:r>
          </w:p>
        </w:tc>
        <w:tc>
          <w:tcPr>
            <w:tcW w:w="2268" w:type="dxa"/>
            <w:vAlign w:val="center"/>
          </w:tcPr>
          <w:p>
            <w:pPr>
              <w:pStyle w:val="13"/>
            </w:pPr>
            <w:r>
              <w:t>及时</w:t>
            </w:r>
          </w:p>
        </w:tc>
        <w:tc>
          <w:tcPr>
            <w:tcW w:w="1276" w:type="dxa"/>
            <w:vAlign w:val="center"/>
          </w:tcPr>
          <w:p>
            <w:pPr>
              <w:pStyle w:val="13"/>
            </w:pPr>
            <w:r>
              <w:t>工资发放表、社保缴纳单据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工资发放准时程度</w:t>
            </w:r>
          </w:p>
        </w:tc>
        <w:tc>
          <w:tcPr>
            <w:tcW w:w="2268" w:type="dxa"/>
            <w:vAlign w:val="center"/>
          </w:tcPr>
          <w:p>
            <w:pPr>
              <w:pStyle w:val="13"/>
            </w:pPr>
            <w:r>
              <w:t>准时</w:t>
            </w:r>
          </w:p>
        </w:tc>
        <w:tc>
          <w:tcPr>
            <w:tcW w:w="1276" w:type="dxa"/>
            <w:vAlign w:val="center"/>
          </w:tcPr>
          <w:p>
            <w:pPr>
              <w:pStyle w:val="13"/>
            </w:pPr>
            <w:r>
              <w:t>工资发放表、社保缴纳单据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工资、社保及商品服务支出成本</w:t>
            </w:r>
          </w:p>
        </w:tc>
        <w:tc>
          <w:tcPr>
            <w:tcW w:w="5386" w:type="dxa"/>
            <w:vAlign w:val="center"/>
          </w:tcPr>
          <w:p>
            <w:pPr>
              <w:pStyle w:val="13"/>
            </w:pPr>
            <w:r>
              <w:t>预算资金金额</w:t>
            </w:r>
          </w:p>
        </w:tc>
        <w:tc>
          <w:tcPr>
            <w:tcW w:w="2268" w:type="dxa"/>
            <w:vAlign w:val="center"/>
          </w:tcPr>
          <w:p>
            <w:pPr>
              <w:pStyle w:val="13"/>
            </w:pPr>
            <w:r>
              <w:t>≤1396.5万元</w:t>
            </w:r>
          </w:p>
        </w:tc>
        <w:tc>
          <w:tcPr>
            <w:tcW w:w="1276" w:type="dxa"/>
            <w:vAlign w:val="center"/>
          </w:tcPr>
          <w:p>
            <w:pPr>
              <w:pStyle w:val="13"/>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rPr>
                <w:rFonts w:hint="eastAsia"/>
                <w:lang w:eastAsia="zh-CN"/>
              </w:rPr>
              <w:t>部门</w:t>
            </w:r>
            <w:r>
              <w:t>年终考核成绩</w:t>
            </w:r>
          </w:p>
        </w:tc>
        <w:tc>
          <w:tcPr>
            <w:tcW w:w="5386" w:type="dxa"/>
            <w:vAlign w:val="center"/>
          </w:tcPr>
          <w:p>
            <w:pPr>
              <w:pStyle w:val="13"/>
            </w:pPr>
            <w:r>
              <w:t>上级部门（或组织部门）对本</w:t>
            </w:r>
            <w:r>
              <w:rPr>
                <w:rFonts w:hint="eastAsia"/>
                <w:lang w:eastAsia="zh-CN"/>
              </w:rPr>
              <w:t>部门</w:t>
            </w:r>
            <w:r>
              <w:t>年终考核成绩</w:t>
            </w:r>
          </w:p>
        </w:tc>
        <w:tc>
          <w:tcPr>
            <w:tcW w:w="2268" w:type="dxa"/>
            <w:vAlign w:val="center"/>
          </w:tcPr>
          <w:p>
            <w:pPr>
              <w:pStyle w:val="13"/>
            </w:pPr>
            <w:r>
              <w:t>合格以上</w:t>
            </w:r>
          </w:p>
        </w:tc>
        <w:tc>
          <w:tcPr>
            <w:tcW w:w="1276" w:type="dxa"/>
            <w:vAlign w:val="center"/>
          </w:tcPr>
          <w:p>
            <w:pPr>
              <w:pStyle w:val="13"/>
            </w:pPr>
            <w:r>
              <w:t>实际工作结果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w:t>
            </w:r>
          </w:p>
        </w:tc>
        <w:tc>
          <w:tcPr>
            <w:tcW w:w="5386" w:type="dxa"/>
            <w:vAlign w:val="center"/>
          </w:tcPr>
          <w:p>
            <w:pPr>
              <w:pStyle w:val="13"/>
            </w:pPr>
            <w:r>
              <w:t>职工满意度</w:t>
            </w:r>
          </w:p>
        </w:tc>
        <w:tc>
          <w:tcPr>
            <w:tcW w:w="2268" w:type="dxa"/>
            <w:vAlign w:val="center"/>
          </w:tcPr>
          <w:p>
            <w:pPr>
              <w:pStyle w:val="13"/>
            </w:pPr>
            <w:r>
              <w:t>≥90百分比</w:t>
            </w:r>
          </w:p>
        </w:tc>
        <w:tc>
          <w:tcPr>
            <w:tcW w:w="1276" w:type="dxa"/>
            <w:vAlign w:val="center"/>
          </w:tcPr>
          <w:p>
            <w:pPr>
              <w:pStyle w:val="13"/>
            </w:pPr>
            <w:r>
              <w:t>调查问卷等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、交通系统业务补助*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13058224P00Y25A100716</w:t>
            </w:r>
          </w:p>
        </w:tc>
        <w:tc>
          <w:tcPr>
            <w:tcW w:w="2835" w:type="dxa"/>
            <w:vAlign w:val="center"/>
          </w:tcPr>
          <w:p>
            <w:pPr>
              <w:pStyle w:val="11"/>
            </w:pPr>
            <w:r>
              <w:t>项目名称</w:t>
            </w:r>
          </w:p>
        </w:tc>
        <w:tc>
          <w:tcPr>
            <w:tcW w:w="6094" w:type="dxa"/>
            <w:gridSpan w:val="3"/>
            <w:vAlign w:val="center"/>
          </w:tcPr>
          <w:p>
            <w:pPr>
              <w:pStyle w:val="13"/>
            </w:pPr>
            <w:r>
              <w:t>交通系统业务补助*</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用于交通系统执法工作经费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购置商品与服务次数</w:t>
            </w:r>
          </w:p>
        </w:tc>
        <w:tc>
          <w:tcPr>
            <w:tcW w:w="5386" w:type="dxa"/>
            <w:vAlign w:val="center"/>
          </w:tcPr>
          <w:p>
            <w:pPr>
              <w:pStyle w:val="13"/>
            </w:pPr>
            <w:r>
              <w:t>购置商品与服务次数</w:t>
            </w:r>
          </w:p>
        </w:tc>
        <w:tc>
          <w:tcPr>
            <w:tcW w:w="2268" w:type="dxa"/>
            <w:vAlign w:val="center"/>
          </w:tcPr>
          <w:p>
            <w:pPr>
              <w:pStyle w:val="13"/>
            </w:pPr>
            <w:r>
              <w:t>12月</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商品与服务满足工作需求程度</w:t>
            </w:r>
          </w:p>
        </w:tc>
        <w:tc>
          <w:tcPr>
            <w:tcW w:w="5386" w:type="dxa"/>
            <w:vAlign w:val="center"/>
          </w:tcPr>
          <w:p>
            <w:pPr>
              <w:pStyle w:val="13"/>
            </w:pPr>
            <w:r>
              <w:t>商品与服务满足工作需求程度</w:t>
            </w:r>
          </w:p>
        </w:tc>
        <w:tc>
          <w:tcPr>
            <w:tcW w:w="2268" w:type="dxa"/>
            <w:vAlign w:val="center"/>
          </w:tcPr>
          <w:p>
            <w:pPr>
              <w:pStyle w:val="13"/>
            </w:pPr>
            <w:r>
              <w:t>100%</w:t>
            </w:r>
          </w:p>
        </w:tc>
        <w:tc>
          <w:tcPr>
            <w:tcW w:w="1276" w:type="dxa"/>
            <w:vAlign w:val="center"/>
          </w:tcPr>
          <w:p>
            <w:pPr>
              <w:pStyle w:val="13"/>
            </w:pPr>
            <w:r>
              <w:t>商品及服务使用效果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执法工作经费预算</w:t>
            </w:r>
          </w:p>
        </w:tc>
        <w:tc>
          <w:tcPr>
            <w:tcW w:w="5386" w:type="dxa"/>
            <w:vAlign w:val="center"/>
          </w:tcPr>
          <w:p>
            <w:pPr>
              <w:pStyle w:val="13"/>
            </w:pPr>
            <w:r>
              <w:t>执法工作经费预算</w:t>
            </w:r>
          </w:p>
        </w:tc>
        <w:tc>
          <w:tcPr>
            <w:tcW w:w="2268" w:type="dxa"/>
            <w:vAlign w:val="center"/>
          </w:tcPr>
          <w:p>
            <w:pPr>
              <w:pStyle w:val="13"/>
            </w:pPr>
            <w:r>
              <w:t>≤100万/年</w:t>
            </w:r>
          </w:p>
        </w:tc>
        <w:tc>
          <w:tcPr>
            <w:tcW w:w="1276" w:type="dxa"/>
            <w:vAlign w:val="center"/>
          </w:tcPr>
          <w:p>
            <w:pPr>
              <w:pStyle w:val="13"/>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rPr>
                <w:rFonts w:hint="eastAsia"/>
                <w:lang w:eastAsia="zh-CN"/>
              </w:rPr>
              <w:t>部门</w:t>
            </w:r>
            <w:r>
              <w:t>年终考核成绩</w:t>
            </w:r>
          </w:p>
        </w:tc>
        <w:tc>
          <w:tcPr>
            <w:tcW w:w="5386" w:type="dxa"/>
            <w:vAlign w:val="center"/>
          </w:tcPr>
          <w:p>
            <w:pPr>
              <w:pStyle w:val="13"/>
            </w:pPr>
            <w:r>
              <w:t>上级部门（或组织部门）对本</w:t>
            </w:r>
            <w:r>
              <w:rPr>
                <w:rFonts w:hint="eastAsia"/>
                <w:lang w:eastAsia="zh-CN"/>
              </w:rPr>
              <w:t>部门</w:t>
            </w:r>
            <w:r>
              <w:t>年终考核成绩</w:t>
            </w:r>
          </w:p>
        </w:tc>
        <w:tc>
          <w:tcPr>
            <w:tcW w:w="2268" w:type="dxa"/>
            <w:vAlign w:val="center"/>
          </w:tcPr>
          <w:p>
            <w:pPr>
              <w:pStyle w:val="13"/>
            </w:pPr>
            <w:r>
              <w:t>良好</w:t>
            </w:r>
          </w:p>
        </w:tc>
        <w:tc>
          <w:tcPr>
            <w:tcW w:w="1276" w:type="dxa"/>
            <w:vAlign w:val="center"/>
          </w:tcPr>
          <w:p>
            <w:pPr>
              <w:pStyle w:val="13"/>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rPr>
                <w:rFonts w:hint="eastAsia"/>
                <w:lang w:eastAsia="zh-CN"/>
              </w:rPr>
              <w:t>部门</w:t>
            </w:r>
            <w:r>
              <w:t>职工满意人数/</w:t>
            </w:r>
            <w:r>
              <w:rPr>
                <w:rFonts w:hint="eastAsia"/>
                <w:lang w:eastAsia="zh-CN"/>
              </w:rPr>
              <w:t>部门</w:t>
            </w:r>
            <w:r>
              <w:t>职工总人数*100%</w:t>
            </w:r>
          </w:p>
        </w:tc>
        <w:tc>
          <w:tcPr>
            <w:tcW w:w="2268" w:type="dxa"/>
            <w:vAlign w:val="center"/>
          </w:tcPr>
          <w:p>
            <w:pPr>
              <w:pStyle w:val="13"/>
            </w:pPr>
            <w:r>
              <w:t>≥90%</w:t>
            </w:r>
          </w:p>
        </w:tc>
        <w:tc>
          <w:tcPr>
            <w:tcW w:w="1276" w:type="dxa"/>
            <w:vAlign w:val="center"/>
          </w:tcPr>
          <w:p>
            <w:pPr>
              <w:pStyle w:val="13"/>
            </w:pPr>
            <w:r>
              <w:t>相关调查问卷等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、农村道路绿化养护绩效目标表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13058224P00Y25A10065Q</w:t>
            </w:r>
          </w:p>
        </w:tc>
        <w:tc>
          <w:tcPr>
            <w:tcW w:w="2835" w:type="dxa"/>
            <w:vAlign w:val="center"/>
          </w:tcPr>
          <w:p>
            <w:pPr>
              <w:pStyle w:val="11"/>
            </w:pPr>
            <w:r>
              <w:t>项目名称</w:t>
            </w:r>
          </w:p>
        </w:tc>
        <w:tc>
          <w:tcPr>
            <w:tcW w:w="6094" w:type="dxa"/>
            <w:gridSpan w:val="3"/>
            <w:vAlign w:val="center"/>
          </w:tcPr>
          <w:p>
            <w:pPr>
              <w:pStyle w:val="13"/>
            </w:pPr>
            <w:r>
              <w:t>农村道路绿化养护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363.70</w:t>
            </w:r>
          </w:p>
        </w:tc>
        <w:tc>
          <w:tcPr>
            <w:tcW w:w="2835" w:type="dxa"/>
            <w:vAlign w:val="center"/>
          </w:tcPr>
          <w:p>
            <w:pPr>
              <w:pStyle w:val="11"/>
            </w:pPr>
            <w:r>
              <w:t>其中：财政    资金</w:t>
            </w:r>
          </w:p>
        </w:tc>
        <w:tc>
          <w:tcPr>
            <w:tcW w:w="2551" w:type="dxa"/>
            <w:vAlign w:val="center"/>
          </w:tcPr>
          <w:p>
            <w:pPr>
              <w:pStyle w:val="13"/>
            </w:pPr>
            <w:r>
              <w:t>363.70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用于农村道路绿化养护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90.93</w:t>
            </w:r>
          </w:p>
        </w:tc>
        <w:tc>
          <w:tcPr>
            <w:tcW w:w="2835" w:type="dxa"/>
            <w:vAlign w:val="center"/>
          </w:tcPr>
          <w:p>
            <w:pPr>
              <w:pStyle w:val="14"/>
            </w:pPr>
            <w:r>
              <w:t>181.85</w:t>
            </w:r>
          </w:p>
        </w:tc>
        <w:tc>
          <w:tcPr>
            <w:tcW w:w="2551" w:type="dxa"/>
            <w:vAlign w:val="center"/>
          </w:tcPr>
          <w:p>
            <w:pPr>
              <w:pStyle w:val="14"/>
            </w:pPr>
            <w:r>
              <w:t>272.78</w:t>
            </w:r>
          </w:p>
        </w:tc>
        <w:tc>
          <w:tcPr>
            <w:tcW w:w="3543" w:type="dxa"/>
            <w:gridSpan w:val="2"/>
            <w:vAlign w:val="center"/>
          </w:tcPr>
          <w:p>
            <w:pPr>
              <w:pStyle w:val="14"/>
            </w:pPr>
            <w:r>
              <w:t>363.70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1.高标准实施绿化作业，打造畅洁绿美的公路通行环境，提升居民出行体验，为投资创造良好的交通条件。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5386" w:type="dxa"/>
            <w:vAlign w:val="center"/>
          </w:tcPr>
          <w:p>
            <w:pPr>
              <w:pStyle w:val="13"/>
            </w:pPr>
            <w:r>
              <w:t>养护里程</w:t>
            </w:r>
          </w:p>
        </w:tc>
        <w:tc>
          <w:tcPr>
            <w:tcW w:w="2268" w:type="dxa"/>
            <w:vAlign w:val="center"/>
          </w:tcPr>
          <w:p>
            <w:pPr>
              <w:pStyle w:val="13"/>
            </w:pPr>
            <w:r>
              <w:t>≥23.4公里</w:t>
            </w:r>
          </w:p>
        </w:tc>
        <w:tc>
          <w:tcPr>
            <w:tcW w:w="1276" w:type="dxa"/>
            <w:vAlign w:val="center"/>
          </w:tcPr>
          <w:p>
            <w:pPr>
              <w:pStyle w:val="13"/>
            </w:pPr>
            <w:r>
              <w:t>公路路网数据管理平台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w:t>
            </w:r>
          </w:p>
        </w:tc>
        <w:tc>
          <w:tcPr>
            <w:tcW w:w="5386" w:type="dxa"/>
            <w:vAlign w:val="center"/>
          </w:tcPr>
          <w:p>
            <w:pPr>
              <w:pStyle w:val="13"/>
            </w:pPr>
            <w:r>
              <w:t>树木长势旺盛，无缺苗断垄；定期除草施肥；定期修剪、除虫，保持苗木美观</w:t>
            </w:r>
          </w:p>
        </w:tc>
        <w:tc>
          <w:tcPr>
            <w:tcW w:w="2268" w:type="dxa"/>
            <w:vAlign w:val="center"/>
          </w:tcPr>
          <w:p>
            <w:pPr>
              <w:pStyle w:val="13"/>
            </w:pPr>
            <w:r>
              <w:t>100百分比</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养护时效</w:t>
            </w:r>
          </w:p>
        </w:tc>
        <w:tc>
          <w:tcPr>
            <w:tcW w:w="5386" w:type="dxa"/>
            <w:vAlign w:val="center"/>
          </w:tcPr>
          <w:p>
            <w:pPr>
              <w:pStyle w:val="13"/>
            </w:pPr>
            <w:r>
              <w:t>针对本笔养护资金的养护时间范围</w:t>
            </w:r>
          </w:p>
        </w:tc>
        <w:tc>
          <w:tcPr>
            <w:tcW w:w="2268" w:type="dxa"/>
            <w:vAlign w:val="center"/>
          </w:tcPr>
          <w:p>
            <w:pPr>
              <w:pStyle w:val="13"/>
            </w:pPr>
            <w:r>
              <w:t>1年</w:t>
            </w:r>
          </w:p>
        </w:tc>
        <w:tc>
          <w:tcPr>
            <w:tcW w:w="1276" w:type="dxa"/>
            <w:vAlign w:val="center"/>
          </w:tcPr>
          <w:p>
            <w:pPr>
              <w:pStyle w:val="13"/>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养护成本</w:t>
            </w:r>
          </w:p>
        </w:tc>
        <w:tc>
          <w:tcPr>
            <w:tcW w:w="5386" w:type="dxa"/>
            <w:vAlign w:val="center"/>
          </w:tcPr>
          <w:p>
            <w:pPr>
              <w:pStyle w:val="13"/>
            </w:pPr>
            <w:r>
              <w:t>所需人工费用、养护工具购置费用、车辆运行费</w:t>
            </w:r>
          </w:p>
        </w:tc>
        <w:tc>
          <w:tcPr>
            <w:tcW w:w="2268" w:type="dxa"/>
            <w:vAlign w:val="center"/>
          </w:tcPr>
          <w:p>
            <w:pPr>
              <w:pStyle w:val="13"/>
            </w:pPr>
            <w:r>
              <w:t>363.7万元</w:t>
            </w:r>
          </w:p>
        </w:tc>
        <w:tc>
          <w:tcPr>
            <w:tcW w:w="1276" w:type="dxa"/>
            <w:vAlign w:val="center"/>
          </w:tcPr>
          <w:p>
            <w:pPr>
              <w:pStyle w:val="13"/>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产生的经济效益</w:t>
            </w:r>
          </w:p>
        </w:tc>
        <w:tc>
          <w:tcPr>
            <w:tcW w:w="5386" w:type="dxa"/>
            <w:vAlign w:val="center"/>
          </w:tcPr>
          <w:p>
            <w:pPr>
              <w:pStyle w:val="13"/>
            </w:pPr>
            <w:r>
              <w:t>1、改善公路网布局，完善投资环境。</w:t>
            </w:r>
          </w:p>
          <w:p>
            <w:pPr>
              <w:pStyle w:val="13"/>
            </w:pPr>
            <w:r>
              <w:t>2、提高农村城镇化进程，改善农村交通状况。</w:t>
            </w:r>
          </w:p>
          <w:p>
            <w:pPr>
              <w:pStyle w:val="13"/>
            </w:pPr>
            <w:r>
              <w:t>3、是全面农村小康社会建设的重要前提。</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产生的社会效益指标</w:t>
            </w:r>
          </w:p>
        </w:tc>
        <w:tc>
          <w:tcPr>
            <w:tcW w:w="5386" w:type="dxa"/>
            <w:vAlign w:val="center"/>
          </w:tcPr>
          <w:p>
            <w:pPr>
              <w:pStyle w:val="13"/>
            </w:pPr>
            <w:r>
              <w:t>互通互连的公路网络，解决农民的出行和运输问题，达到畅安舒美的行车环境。</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产生的生态效益指标</w:t>
            </w:r>
          </w:p>
        </w:tc>
        <w:tc>
          <w:tcPr>
            <w:tcW w:w="5386" w:type="dxa"/>
            <w:vAlign w:val="center"/>
          </w:tcPr>
          <w:p>
            <w:pPr>
              <w:pStyle w:val="13"/>
            </w:pPr>
            <w:r>
              <w:t>满足客货车流和人流安全与畅通，减少道路扬尘确保所列养路段达到畅、洁、绿、美的通行条件。改善了对人们出行环境和人居环境日益恶化的雾霾天气的频频出现,起到了一定的改善作用。</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产生的可持续性影响</w:t>
            </w:r>
          </w:p>
        </w:tc>
        <w:tc>
          <w:tcPr>
            <w:tcW w:w="5386" w:type="dxa"/>
            <w:vAlign w:val="center"/>
          </w:tcPr>
          <w:p>
            <w:pPr>
              <w:pStyle w:val="13"/>
            </w:pPr>
            <w:r>
              <w:t>可持续发展农村公路环境的改造建设，是人类对自身生活质量和生活水平更高的需求，是公益性最强的公共基础建设，是农村经济发展的基础。</w:t>
            </w:r>
          </w:p>
        </w:tc>
        <w:tc>
          <w:tcPr>
            <w:tcW w:w="2268" w:type="dxa"/>
            <w:vAlign w:val="center"/>
          </w:tcPr>
          <w:p>
            <w:pPr>
              <w:pStyle w:val="13"/>
            </w:pPr>
            <w:r>
              <w:t>能够</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w:t>
            </w:r>
          </w:p>
        </w:tc>
        <w:tc>
          <w:tcPr>
            <w:tcW w:w="5386" w:type="dxa"/>
            <w:vAlign w:val="center"/>
          </w:tcPr>
          <w:p>
            <w:pPr>
              <w:pStyle w:val="13"/>
            </w:pPr>
            <w:r>
              <w:t>服务群众满意度</w:t>
            </w:r>
          </w:p>
        </w:tc>
        <w:tc>
          <w:tcPr>
            <w:tcW w:w="2268" w:type="dxa"/>
            <w:vAlign w:val="center"/>
          </w:tcPr>
          <w:p>
            <w:pPr>
              <w:pStyle w:val="13"/>
            </w:pPr>
            <w:r>
              <w:t>≥90百分比</w:t>
            </w:r>
          </w:p>
        </w:tc>
        <w:tc>
          <w:tcPr>
            <w:tcW w:w="1276" w:type="dxa"/>
            <w:vAlign w:val="center"/>
          </w:tcPr>
          <w:p>
            <w:pPr>
              <w:pStyle w:val="13"/>
            </w:pPr>
            <w:r>
              <w:t>《河北省农村公路养护管理办法》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、农村道路日常养护绩效目标表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13058224P00Y25A10066C</w:t>
            </w:r>
          </w:p>
        </w:tc>
        <w:tc>
          <w:tcPr>
            <w:tcW w:w="2835" w:type="dxa"/>
            <w:vAlign w:val="center"/>
          </w:tcPr>
          <w:p>
            <w:pPr>
              <w:pStyle w:val="11"/>
            </w:pPr>
            <w:r>
              <w:t>项目名称</w:t>
            </w:r>
          </w:p>
        </w:tc>
        <w:tc>
          <w:tcPr>
            <w:tcW w:w="6094" w:type="dxa"/>
            <w:gridSpan w:val="3"/>
            <w:vAlign w:val="center"/>
          </w:tcPr>
          <w:p>
            <w:pPr>
              <w:pStyle w:val="13"/>
            </w:pPr>
            <w:r>
              <w:t>农村道路日常养护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193.63</w:t>
            </w:r>
          </w:p>
        </w:tc>
        <w:tc>
          <w:tcPr>
            <w:tcW w:w="2835" w:type="dxa"/>
            <w:vAlign w:val="center"/>
          </w:tcPr>
          <w:p>
            <w:pPr>
              <w:pStyle w:val="11"/>
            </w:pPr>
            <w:r>
              <w:t>其中：财政    资金</w:t>
            </w:r>
          </w:p>
        </w:tc>
        <w:tc>
          <w:tcPr>
            <w:tcW w:w="2551" w:type="dxa"/>
            <w:vAlign w:val="center"/>
          </w:tcPr>
          <w:p>
            <w:pPr>
              <w:pStyle w:val="13"/>
            </w:pPr>
            <w:r>
              <w:t>193.63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48.41</w:t>
            </w:r>
          </w:p>
        </w:tc>
        <w:tc>
          <w:tcPr>
            <w:tcW w:w="2835" w:type="dxa"/>
            <w:vAlign w:val="center"/>
          </w:tcPr>
          <w:p>
            <w:pPr>
              <w:pStyle w:val="14"/>
            </w:pPr>
            <w:r>
              <w:t>96.82</w:t>
            </w:r>
          </w:p>
        </w:tc>
        <w:tc>
          <w:tcPr>
            <w:tcW w:w="2551" w:type="dxa"/>
            <w:vAlign w:val="center"/>
          </w:tcPr>
          <w:p>
            <w:pPr>
              <w:pStyle w:val="14"/>
            </w:pPr>
            <w:r>
              <w:t>145.22</w:t>
            </w:r>
          </w:p>
        </w:tc>
        <w:tc>
          <w:tcPr>
            <w:tcW w:w="3543" w:type="dxa"/>
            <w:gridSpan w:val="2"/>
            <w:vAlign w:val="center"/>
          </w:tcPr>
          <w:p>
            <w:pPr>
              <w:pStyle w:val="14"/>
            </w:pPr>
            <w:r>
              <w:t>193.63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1.高标准实施日常养护作业，打造通畅平整的公路通行环境，提升居民出行体验，为投资创造良好的交通条件。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5386" w:type="dxa"/>
            <w:vAlign w:val="center"/>
          </w:tcPr>
          <w:p>
            <w:pPr>
              <w:pStyle w:val="13"/>
            </w:pPr>
            <w:r>
              <w:t>养护里程</w:t>
            </w:r>
          </w:p>
        </w:tc>
        <w:tc>
          <w:tcPr>
            <w:tcW w:w="2268" w:type="dxa"/>
            <w:vAlign w:val="center"/>
          </w:tcPr>
          <w:p>
            <w:pPr>
              <w:pStyle w:val="13"/>
            </w:pPr>
            <w:r>
              <w:t>1294.23公里</w:t>
            </w:r>
          </w:p>
        </w:tc>
        <w:tc>
          <w:tcPr>
            <w:tcW w:w="1276" w:type="dxa"/>
            <w:vAlign w:val="center"/>
          </w:tcPr>
          <w:p>
            <w:pPr>
              <w:pStyle w:val="13"/>
            </w:pPr>
            <w:r>
              <w:t>公路路网数据管理平台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w:t>
            </w:r>
          </w:p>
        </w:tc>
        <w:tc>
          <w:tcPr>
            <w:tcW w:w="5386" w:type="dxa"/>
            <w:vAlign w:val="center"/>
          </w:tcPr>
          <w:p>
            <w:pPr>
              <w:pStyle w:val="13"/>
            </w:pPr>
            <w:r>
              <w:t>路面保持干净整洁无坑槽无扬尘无积水无积雪，路肩顺直无缺口无高草无堆积物，边沟平整畅通无阻塞，路树完整无丢失，标志牌齐全完整无倾斜。养护达标程度</w:t>
            </w:r>
          </w:p>
        </w:tc>
        <w:tc>
          <w:tcPr>
            <w:tcW w:w="2268" w:type="dxa"/>
            <w:vAlign w:val="center"/>
          </w:tcPr>
          <w:p>
            <w:pPr>
              <w:pStyle w:val="13"/>
            </w:pPr>
            <w:r>
              <w:t>100百分比</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养护时效</w:t>
            </w:r>
          </w:p>
        </w:tc>
        <w:tc>
          <w:tcPr>
            <w:tcW w:w="5386" w:type="dxa"/>
            <w:vAlign w:val="center"/>
          </w:tcPr>
          <w:p>
            <w:pPr>
              <w:pStyle w:val="13"/>
            </w:pPr>
            <w:r>
              <w:t>针对本笔养护资金的养护时间范围</w:t>
            </w:r>
          </w:p>
        </w:tc>
        <w:tc>
          <w:tcPr>
            <w:tcW w:w="2268" w:type="dxa"/>
            <w:vAlign w:val="center"/>
          </w:tcPr>
          <w:p>
            <w:pPr>
              <w:pStyle w:val="13"/>
            </w:pPr>
            <w:r>
              <w:t>1年</w:t>
            </w:r>
          </w:p>
        </w:tc>
        <w:tc>
          <w:tcPr>
            <w:tcW w:w="1276" w:type="dxa"/>
            <w:vAlign w:val="center"/>
          </w:tcPr>
          <w:p>
            <w:pPr>
              <w:pStyle w:val="13"/>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养护成本</w:t>
            </w:r>
          </w:p>
        </w:tc>
        <w:tc>
          <w:tcPr>
            <w:tcW w:w="5386" w:type="dxa"/>
            <w:vAlign w:val="center"/>
          </w:tcPr>
          <w:p>
            <w:pPr>
              <w:pStyle w:val="13"/>
            </w:pPr>
            <w:r>
              <w:t>所需人工费用、养护工具购置费用、车辆运行费</w:t>
            </w:r>
          </w:p>
        </w:tc>
        <w:tc>
          <w:tcPr>
            <w:tcW w:w="2268" w:type="dxa"/>
            <w:vAlign w:val="center"/>
          </w:tcPr>
          <w:p>
            <w:pPr>
              <w:pStyle w:val="13"/>
            </w:pPr>
            <w:r>
              <w:t>193.63万元</w:t>
            </w:r>
          </w:p>
        </w:tc>
        <w:tc>
          <w:tcPr>
            <w:tcW w:w="1276" w:type="dxa"/>
            <w:vAlign w:val="center"/>
          </w:tcPr>
          <w:p>
            <w:pPr>
              <w:pStyle w:val="13"/>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产生的经济效益</w:t>
            </w:r>
          </w:p>
        </w:tc>
        <w:tc>
          <w:tcPr>
            <w:tcW w:w="5386" w:type="dxa"/>
            <w:vAlign w:val="center"/>
          </w:tcPr>
          <w:p>
            <w:pPr>
              <w:pStyle w:val="13"/>
            </w:pPr>
            <w:r>
              <w:t>1、改善公路网布局，完善投资环境。</w:t>
            </w:r>
          </w:p>
          <w:p>
            <w:pPr>
              <w:pStyle w:val="13"/>
            </w:pPr>
            <w:r>
              <w:t>2、提高农村城镇化进程，改善农村交通状况。</w:t>
            </w:r>
          </w:p>
          <w:p>
            <w:pPr>
              <w:pStyle w:val="13"/>
            </w:pPr>
            <w:r>
              <w:t>3、是全面农村小康社会建设的重要前提。</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产生的社会效益指标</w:t>
            </w:r>
          </w:p>
        </w:tc>
        <w:tc>
          <w:tcPr>
            <w:tcW w:w="5386" w:type="dxa"/>
            <w:vAlign w:val="center"/>
          </w:tcPr>
          <w:p>
            <w:pPr>
              <w:pStyle w:val="13"/>
            </w:pPr>
            <w:r>
              <w:t>互通互连的公路网络，解决农民的出行和运输问题，达到畅安舒美的行车环境。</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产生的生态效益指标</w:t>
            </w:r>
          </w:p>
        </w:tc>
        <w:tc>
          <w:tcPr>
            <w:tcW w:w="5386" w:type="dxa"/>
            <w:vAlign w:val="center"/>
          </w:tcPr>
          <w:p>
            <w:pPr>
              <w:pStyle w:val="13"/>
            </w:pPr>
            <w:r>
              <w:t>满足客货车流和人流安全与畅通，减少道路扬尘确保所列养路段达到畅、洁、绿、美的通行条件。改善了对人们出行环境和人居环境日益恶化的雾霾天气的频频出现,起到了一定的改善作用。</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产生的可持续性影响</w:t>
            </w:r>
          </w:p>
        </w:tc>
        <w:tc>
          <w:tcPr>
            <w:tcW w:w="5386" w:type="dxa"/>
            <w:vAlign w:val="center"/>
          </w:tcPr>
          <w:p>
            <w:pPr>
              <w:pStyle w:val="13"/>
            </w:pPr>
            <w:r>
              <w:t>可持续发展农村公路环境的改造建设，是人类对自身生活质量和生活水平更高的需求，是公益性最强的公共基础建设，是农村经济发展的基础。</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w:t>
            </w:r>
          </w:p>
        </w:tc>
        <w:tc>
          <w:tcPr>
            <w:tcW w:w="5386" w:type="dxa"/>
            <w:vAlign w:val="center"/>
          </w:tcPr>
          <w:p>
            <w:pPr>
              <w:pStyle w:val="13"/>
            </w:pPr>
            <w:r>
              <w:t>服务群众满意度</w:t>
            </w:r>
          </w:p>
        </w:tc>
        <w:tc>
          <w:tcPr>
            <w:tcW w:w="2268" w:type="dxa"/>
            <w:vAlign w:val="center"/>
          </w:tcPr>
          <w:p>
            <w:pPr>
              <w:pStyle w:val="13"/>
            </w:pPr>
            <w:r>
              <w:t>90百分比</w:t>
            </w:r>
          </w:p>
        </w:tc>
        <w:tc>
          <w:tcPr>
            <w:tcW w:w="1276" w:type="dxa"/>
            <w:vAlign w:val="center"/>
          </w:tcPr>
          <w:p>
            <w:pPr>
              <w:pStyle w:val="13"/>
            </w:pPr>
            <w:r>
              <w:t>调查问卷等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、湿扫工作经费绩效目标表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13058224P00Y25A100697</w:t>
            </w:r>
          </w:p>
        </w:tc>
        <w:tc>
          <w:tcPr>
            <w:tcW w:w="2835" w:type="dxa"/>
            <w:vAlign w:val="center"/>
          </w:tcPr>
          <w:p>
            <w:pPr>
              <w:pStyle w:val="11"/>
            </w:pPr>
            <w:r>
              <w:t>项目名称</w:t>
            </w:r>
          </w:p>
        </w:tc>
        <w:tc>
          <w:tcPr>
            <w:tcW w:w="6094" w:type="dxa"/>
            <w:gridSpan w:val="3"/>
            <w:vAlign w:val="center"/>
          </w:tcPr>
          <w:p>
            <w:pPr>
              <w:pStyle w:val="13"/>
            </w:pPr>
            <w:r>
              <w:t>湿扫工作经费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313.33</w:t>
            </w:r>
          </w:p>
        </w:tc>
        <w:tc>
          <w:tcPr>
            <w:tcW w:w="2835" w:type="dxa"/>
            <w:vAlign w:val="center"/>
          </w:tcPr>
          <w:p>
            <w:pPr>
              <w:pStyle w:val="11"/>
            </w:pPr>
            <w:r>
              <w:t>其中：财政    资金</w:t>
            </w:r>
          </w:p>
        </w:tc>
        <w:tc>
          <w:tcPr>
            <w:tcW w:w="2551" w:type="dxa"/>
            <w:vAlign w:val="center"/>
          </w:tcPr>
          <w:p>
            <w:pPr>
              <w:pStyle w:val="13"/>
            </w:pPr>
            <w:r>
              <w:t>313.33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用于湿扫车辆运行及人工工资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78.33</w:t>
            </w:r>
          </w:p>
        </w:tc>
        <w:tc>
          <w:tcPr>
            <w:tcW w:w="2835" w:type="dxa"/>
            <w:vAlign w:val="center"/>
          </w:tcPr>
          <w:p>
            <w:pPr>
              <w:pStyle w:val="14"/>
            </w:pPr>
            <w:r>
              <w:t>156.67</w:t>
            </w:r>
          </w:p>
        </w:tc>
        <w:tc>
          <w:tcPr>
            <w:tcW w:w="2551" w:type="dxa"/>
            <w:vAlign w:val="center"/>
          </w:tcPr>
          <w:p>
            <w:pPr>
              <w:pStyle w:val="14"/>
            </w:pPr>
            <w:r>
              <w:t>235.00</w:t>
            </w:r>
          </w:p>
        </w:tc>
        <w:tc>
          <w:tcPr>
            <w:tcW w:w="3543" w:type="dxa"/>
            <w:gridSpan w:val="2"/>
            <w:vAlign w:val="center"/>
          </w:tcPr>
          <w:p>
            <w:pPr>
              <w:pStyle w:val="14"/>
            </w:pPr>
            <w:r>
              <w:t>313.33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1.高标准实施湿扫作业，打造畅洁绿美的公路通行环境，提升居民出行体验，为投资创造良好的交通条件。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湿扫洒水路段长度</w:t>
            </w:r>
          </w:p>
        </w:tc>
        <w:tc>
          <w:tcPr>
            <w:tcW w:w="5386" w:type="dxa"/>
            <w:vAlign w:val="center"/>
          </w:tcPr>
          <w:p>
            <w:pPr>
              <w:pStyle w:val="13"/>
            </w:pPr>
            <w:r>
              <w:t>路段全长42.5公里的湿扫洒水</w:t>
            </w:r>
          </w:p>
        </w:tc>
        <w:tc>
          <w:tcPr>
            <w:tcW w:w="2268" w:type="dxa"/>
            <w:vAlign w:val="center"/>
          </w:tcPr>
          <w:p>
            <w:pPr>
              <w:pStyle w:val="13"/>
            </w:pPr>
            <w:r>
              <w:t>42.5公里</w:t>
            </w:r>
          </w:p>
        </w:tc>
        <w:tc>
          <w:tcPr>
            <w:tcW w:w="1276" w:type="dxa"/>
            <w:vAlign w:val="center"/>
          </w:tcPr>
          <w:p>
            <w:pPr>
              <w:pStyle w:val="13"/>
            </w:pPr>
            <w:r>
              <w:t>规定作业长度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湿扫洒水标准</w:t>
            </w:r>
          </w:p>
        </w:tc>
        <w:tc>
          <w:tcPr>
            <w:tcW w:w="5386" w:type="dxa"/>
            <w:vAlign w:val="center"/>
          </w:tcPr>
          <w:p>
            <w:pPr>
              <w:pStyle w:val="13"/>
            </w:pPr>
            <w:r>
              <w:t>路面保持干净整洁无扬尘无积水达成率</w:t>
            </w:r>
          </w:p>
        </w:tc>
        <w:tc>
          <w:tcPr>
            <w:tcW w:w="2268" w:type="dxa"/>
            <w:vAlign w:val="center"/>
          </w:tcPr>
          <w:p>
            <w:pPr>
              <w:pStyle w:val="13"/>
            </w:pPr>
            <w:r>
              <w:t>100%</w:t>
            </w:r>
          </w:p>
        </w:tc>
        <w:tc>
          <w:tcPr>
            <w:tcW w:w="1276" w:type="dxa"/>
            <w:vAlign w:val="center"/>
          </w:tcPr>
          <w:p>
            <w:pPr>
              <w:pStyle w:val="13"/>
            </w:pPr>
            <w:r>
              <w:t>湿扫作业规范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湿扫洒水时效</w:t>
            </w:r>
          </w:p>
        </w:tc>
        <w:tc>
          <w:tcPr>
            <w:tcW w:w="5386" w:type="dxa"/>
            <w:vAlign w:val="center"/>
          </w:tcPr>
          <w:p>
            <w:pPr>
              <w:pStyle w:val="13"/>
            </w:pPr>
            <w:r>
              <w:t>针对本笔湿扫洒水经费时间范围</w:t>
            </w:r>
          </w:p>
        </w:tc>
        <w:tc>
          <w:tcPr>
            <w:tcW w:w="2268" w:type="dxa"/>
            <w:vAlign w:val="center"/>
          </w:tcPr>
          <w:p>
            <w:pPr>
              <w:pStyle w:val="13"/>
            </w:pPr>
            <w:r>
              <w:t>1年</w:t>
            </w:r>
          </w:p>
        </w:tc>
        <w:tc>
          <w:tcPr>
            <w:tcW w:w="1276" w:type="dxa"/>
            <w:vAlign w:val="center"/>
          </w:tcPr>
          <w:p>
            <w:pPr>
              <w:pStyle w:val="13"/>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湿扫洒水成本</w:t>
            </w:r>
          </w:p>
        </w:tc>
        <w:tc>
          <w:tcPr>
            <w:tcW w:w="5386" w:type="dxa"/>
            <w:vAlign w:val="center"/>
          </w:tcPr>
          <w:p>
            <w:pPr>
              <w:pStyle w:val="13"/>
            </w:pPr>
            <w:r>
              <w:t>所需车辆运行费用</w:t>
            </w:r>
          </w:p>
        </w:tc>
        <w:tc>
          <w:tcPr>
            <w:tcW w:w="2268" w:type="dxa"/>
            <w:vAlign w:val="center"/>
          </w:tcPr>
          <w:p>
            <w:pPr>
              <w:pStyle w:val="13"/>
            </w:pPr>
            <w:r>
              <w:t>≤313.33</w:t>
            </w:r>
          </w:p>
        </w:tc>
        <w:tc>
          <w:tcPr>
            <w:tcW w:w="1276" w:type="dxa"/>
            <w:vAlign w:val="center"/>
          </w:tcPr>
          <w:p>
            <w:pPr>
              <w:pStyle w:val="13"/>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产生的经济效益</w:t>
            </w:r>
          </w:p>
        </w:tc>
        <w:tc>
          <w:tcPr>
            <w:tcW w:w="5386" w:type="dxa"/>
            <w:vAlign w:val="center"/>
          </w:tcPr>
          <w:p>
            <w:pPr>
              <w:pStyle w:val="13"/>
            </w:pPr>
            <w:r>
              <w:t>1、改善公路网布局，完善投资环境。</w:t>
            </w:r>
          </w:p>
          <w:p>
            <w:pPr>
              <w:pStyle w:val="13"/>
            </w:pPr>
            <w:r>
              <w:t>2、提高公路路面洁净度，改善城市交通状况。</w:t>
            </w:r>
          </w:p>
          <w:p>
            <w:pPr>
              <w:pStyle w:val="13"/>
            </w:pPr>
            <w:r>
              <w:t>3、达到扬尘治理的效果，使空气质量好转。</w:t>
            </w:r>
          </w:p>
        </w:tc>
        <w:tc>
          <w:tcPr>
            <w:tcW w:w="2268" w:type="dxa"/>
            <w:vAlign w:val="center"/>
          </w:tcPr>
          <w:p>
            <w:pPr>
              <w:pStyle w:val="13"/>
            </w:pPr>
            <w:r>
              <w:t>良好</w:t>
            </w:r>
          </w:p>
        </w:tc>
        <w:tc>
          <w:tcPr>
            <w:tcW w:w="1276" w:type="dxa"/>
            <w:vAlign w:val="center"/>
          </w:tcPr>
          <w:p>
            <w:pPr>
              <w:pStyle w:val="13"/>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产生的社会效益指标</w:t>
            </w:r>
          </w:p>
        </w:tc>
        <w:tc>
          <w:tcPr>
            <w:tcW w:w="5386" w:type="dxa"/>
            <w:vAlign w:val="center"/>
          </w:tcPr>
          <w:p>
            <w:pPr>
              <w:pStyle w:val="13"/>
            </w:pPr>
            <w:r>
              <w:t>减少道路扬尘，空气质量好转。</w:t>
            </w:r>
          </w:p>
        </w:tc>
        <w:tc>
          <w:tcPr>
            <w:tcW w:w="2268" w:type="dxa"/>
            <w:vAlign w:val="center"/>
          </w:tcPr>
          <w:p>
            <w:pPr>
              <w:pStyle w:val="13"/>
            </w:pPr>
            <w:r>
              <w:t>良好</w:t>
            </w:r>
          </w:p>
        </w:tc>
        <w:tc>
          <w:tcPr>
            <w:tcW w:w="1276" w:type="dxa"/>
            <w:vAlign w:val="center"/>
          </w:tcPr>
          <w:p>
            <w:pPr>
              <w:pStyle w:val="13"/>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产生的生态效益指标</w:t>
            </w:r>
          </w:p>
        </w:tc>
        <w:tc>
          <w:tcPr>
            <w:tcW w:w="5386" w:type="dxa"/>
            <w:vAlign w:val="center"/>
          </w:tcPr>
          <w:p>
            <w:pPr>
              <w:pStyle w:val="13"/>
            </w:pPr>
            <w:r>
              <w:t>减少道路扬尘，对人们出行环境和人居环境日益恶化的雾霾天气的频频出现,起到了一定的改善作用。</w:t>
            </w:r>
          </w:p>
        </w:tc>
        <w:tc>
          <w:tcPr>
            <w:tcW w:w="2268" w:type="dxa"/>
            <w:vAlign w:val="center"/>
          </w:tcPr>
          <w:p>
            <w:pPr>
              <w:pStyle w:val="13"/>
            </w:pPr>
            <w:r>
              <w:t>良好</w:t>
            </w:r>
          </w:p>
        </w:tc>
        <w:tc>
          <w:tcPr>
            <w:tcW w:w="1276" w:type="dxa"/>
            <w:vAlign w:val="center"/>
          </w:tcPr>
          <w:p>
            <w:pPr>
              <w:pStyle w:val="13"/>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产生的可持续性影响</w:t>
            </w:r>
          </w:p>
        </w:tc>
        <w:tc>
          <w:tcPr>
            <w:tcW w:w="5386" w:type="dxa"/>
            <w:vAlign w:val="center"/>
          </w:tcPr>
          <w:p>
            <w:pPr>
              <w:pStyle w:val="13"/>
            </w:pPr>
            <w:r>
              <w:t>可持续发展公路环境的提升，是人类对自身生活质量和生活水平更高的需求，是公益性最强的公共基础建设，是城市经济发展的基础。</w:t>
            </w:r>
          </w:p>
        </w:tc>
        <w:tc>
          <w:tcPr>
            <w:tcW w:w="2268" w:type="dxa"/>
            <w:vAlign w:val="center"/>
          </w:tcPr>
          <w:p>
            <w:pPr>
              <w:pStyle w:val="13"/>
            </w:pPr>
            <w:r>
              <w:t>良好</w:t>
            </w:r>
          </w:p>
        </w:tc>
        <w:tc>
          <w:tcPr>
            <w:tcW w:w="1276" w:type="dxa"/>
            <w:vAlign w:val="center"/>
          </w:tcPr>
          <w:p>
            <w:pPr>
              <w:pStyle w:val="13"/>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服务群众满意度指标</w:t>
            </w:r>
          </w:p>
        </w:tc>
        <w:tc>
          <w:tcPr>
            <w:tcW w:w="5386" w:type="dxa"/>
            <w:vAlign w:val="center"/>
          </w:tcPr>
          <w:p>
            <w:pPr>
              <w:pStyle w:val="13"/>
            </w:pPr>
            <w:r>
              <w:t>服务群众满意度高</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、新三川贯通道路日常养护费绩效目标表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13058224P00Y25A100670</w:t>
            </w:r>
          </w:p>
        </w:tc>
        <w:tc>
          <w:tcPr>
            <w:tcW w:w="2835" w:type="dxa"/>
            <w:vAlign w:val="center"/>
          </w:tcPr>
          <w:p>
            <w:pPr>
              <w:pStyle w:val="11"/>
            </w:pPr>
            <w:r>
              <w:t>项目名称</w:t>
            </w:r>
          </w:p>
        </w:tc>
        <w:tc>
          <w:tcPr>
            <w:tcW w:w="6094" w:type="dxa"/>
            <w:gridSpan w:val="3"/>
            <w:vAlign w:val="center"/>
          </w:tcPr>
          <w:p>
            <w:pPr>
              <w:pStyle w:val="13"/>
            </w:pPr>
            <w:r>
              <w:t>新三川贯通道路日常养护费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40.22</w:t>
            </w:r>
          </w:p>
        </w:tc>
        <w:tc>
          <w:tcPr>
            <w:tcW w:w="2835" w:type="dxa"/>
            <w:vAlign w:val="center"/>
          </w:tcPr>
          <w:p>
            <w:pPr>
              <w:pStyle w:val="11"/>
            </w:pPr>
            <w:r>
              <w:t>其中：财政    资金</w:t>
            </w:r>
          </w:p>
        </w:tc>
        <w:tc>
          <w:tcPr>
            <w:tcW w:w="2551" w:type="dxa"/>
            <w:vAlign w:val="center"/>
          </w:tcPr>
          <w:p>
            <w:pPr>
              <w:pStyle w:val="13"/>
            </w:pPr>
            <w:r>
              <w:t>40.22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用于新三川贯通道路日常养护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10.06</w:t>
            </w:r>
          </w:p>
        </w:tc>
        <w:tc>
          <w:tcPr>
            <w:tcW w:w="2835" w:type="dxa"/>
            <w:vAlign w:val="center"/>
          </w:tcPr>
          <w:p>
            <w:pPr>
              <w:pStyle w:val="14"/>
            </w:pPr>
            <w:r>
              <w:t>20.11</w:t>
            </w:r>
          </w:p>
        </w:tc>
        <w:tc>
          <w:tcPr>
            <w:tcW w:w="2551" w:type="dxa"/>
            <w:vAlign w:val="center"/>
          </w:tcPr>
          <w:p>
            <w:pPr>
              <w:pStyle w:val="14"/>
            </w:pPr>
            <w:r>
              <w:t>30.17</w:t>
            </w:r>
          </w:p>
        </w:tc>
        <w:tc>
          <w:tcPr>
            <w:tcW w:w="3543" w:type="dxa"/>
            <w:gridSpan w:val="2"/>
            <w:vAlign w:val="center"/>
          </w:tcPr>
          <w:p>
            <w:pPr>
              <w:pStyle w:val="14"/>
            </w:pPr>
            <w:r>
              <w:t>40.22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1.高标准实施日常作业，打造畅洁绿美的公路通行环境，提升居民出行体验，为投资创造良好的交通条件。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5386" w:type="dxa"/>
            <w:vAlign w:val="center"/>
          </w:tcPr>
          <w:p>
            <w:pPr>
              <w:pStyle w:val="13"/>
            </w:pPr>
            <w:r>
              <w:t>养护里程</w:t>
            </w:r>
          </w:p>
        </w:tc>
        <w:tc>
          <w:tcPr>
            <w:tcW w:w="2268" w:type="dxa"/>
            <w:vAlign w:val="center"/>
          </w:tcPr>
          <w:p>
            <w:pPr>
              <w:pStyle w:val="13"/>
            </w:pPr>
            <w:r>
              <w:t>≥12.2公里</w:t>
            </w:r>
          </w:p>
        </w:tc>
        <w:tc>
          <w:tcPr>
            <w:tcW w:w="1276" w:type="dxa"/>
            <w:vAlign w:val="center"/>
          </w:tcPr>
          <w:p>
            <w:pPr>
              <w:pStyle w:val="13"/>
            </w:pPr>
            <w:r>
              <w:t>公路路网数据管理平台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w:t>
            </w:r>
          </w:p>
        </w:tc>
        <w:tc>
          <w:tcPr>
            <w:tcW w:w="5386" w:type="dxa"/>
            <w:vAlign w:val="center"/>
          </w:tcPr>
          <w:p>
            <w:pPr>
              <w:pStyle w:val="13"/>
            </w:pPr>
            <w:r>
              <w:t>树木长势旺盛，无缺苗断垄；定期除草施肥；定期修剪、除虫，保持苗木美观</w:t>
            </w:r>
          </w:p>
        </w:tc>
        <w:tc>
          <w:tcPr>
            <w:tcW w:w="2268" w:type="dxa"/>
            <w:vAlign w:val="center"/>
          </w:tcPr>
          <w:p>
            <w:pPr>
              <w:pStyle w:val="13"/>
            </w:pPr>
            <w:r>
              <w:t>100百分比</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养护时效</w:t>
            </w:r>
          </w:p>
        </w:tc>
        <w:tc>
          <w:tcPr>
            <w:tcW w:w="5386" w:type="dxa"/>
            <w:vAlign w:val="center"/>
          </w:tcPr>
          <w:p>
            <w:pPr>
              <w:pStyle w:val="13"/>
            </w:pPr>
            <w:r>
              <w:t>针对本笔养护资金的养护时间范围</w:t>
            </w:r>
          </w:p>
        </w:tc>
        <w:tc>
          <w:tcPr>
            <w:tcW w:w="2268" w:type="dxa"/>
            <w:vAlign w:val="center"/>
          </w:tcPr>
          <w:p>
            <w:pPr>
              <w:pStyle w:val="13"/>
            </w:pPr>
            <w:r>
              <w:t>1年</w:t>
            </w:r>
          </w:p>
        </w:tc>
        <w:tc>
          <w:tcPr>
            <w:tcW w:w="1276" w:type="dxa"/>
            <w:vAlign w:val="center"/>
          </w:tcPr>
          <w:p>
            <w:pPr>
              <w:pStyle w:val="13"/>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养护成本</w:t>
            </w:r>
          </w:p>
        </w:tc>
        <w:tc>
          <w:tcPr>
            <w:tcW w:w="5386" w:type="dxa"/>
            <w:vAlign w:val="center"/>
          </w:tcPr>
          <w:p>
            <w:pPr>
              <w:pStyle w:val="13"/>
            </w:pPr>
            <w:r>
              <w:t>所需人工费用、养护工具购置费用、车辆运行费</w:t>
            </w:r>
          </w:p>
        </w:tc>
        <w:tc>
          <w:tcPr>
            <w:tcW w:w="2268" w:type="dxa"/>
            <w:vAlign w:val="center"/>
          </w:tcPr>
          <w:p>
            <w:pPr>
              <w:pStyle w:val="13"/>
            </w:pPr>
            <w:r>
              <w:t>40.22万元</w:t>
            </w:r>
          </w:p>
        </w:tc>
        <w:tc>
          <w:tcPr>
            <w:tcW w:w="1276" w:type="dxa"/>
            <w:vAlign w:val="center"/>
          </w:tcPr>
          <w:p>
            <w:pPr>
              <w:pStyle w:val="13"/>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产生的经济效益</w:t>
            </w:r>
          </w:p>
        </w:tc>
        <w:tc>
          <w:tcPr>
            <w:tcW w:w="5386" w:type="dxa"/>
            <w:vAlign w:val="center"/>
          </w:tcPr>
          <w:p>
            <w:pPr>
              <w:pStyle w:val="13"/>
            </w:pPr>
            <w:r>
              <w:t>1、改善公路网布局，完善投资环境。</w:t>
            </w:r>
          </w:p>
          <w:p>
            <w:pPr>
              <w:pStyle w:val="13"/>
            </w:pPr>
            <w:r>
              <w:t>2、提高农村城镇化进程，改善农村交通状况。</w:t>
            </w:r>
          </w:p>
          <w:p>
            <w:pPr>
              <w:pStyle w:val="13"/>
            </w:pPr>
            <w:r>
              <w:t>3、是全面农村小康社会建设的重要前提。</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产生的社会效益指标</w:t>
            </w:r>
          </w:p>
        </w:tc>
        <w:tc>
          <w:tcPr>
            <w:tcW w:w="5386" w:type="dxa"/>
            <w:vAlign w:val="center"/>
          </w:tcPr>
          <w:p>
            <w:pPr>
              <w:pStyle w:val="13"/>
            </w:pPr>
            <w:r>
              <w:t>互通互连的公路网络，解决农民的出行和运输问题，达到畅安舒美的行车环境。</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产生的生态效益指标</w:t>
            </w:r>
          </w:p>
        </w:tc>
        <w:tc>
          <w:tcPr>
            <w:tcW w:w="5386" w:type="dxa"/>
            <w:vAlign w:val="center"/>
          </w:tcPr>
          <w:p>
            <w:pPr>
              <w:pStyle w:val="13"/>
            </w:pPr>
            <w:r>
              <w:t>满足客货车流和人流安全与畅通，减少道路扬尘确保所列养路段达到畅、洁、绿、美的通行条件。改善了对人们出行环境和人居环境日益恶化的雾霾天气的频频出现,起到了一定的改善作用。</w:t>
            </w:r>
          </w:p>
        </w:tc>
        <w:tc>
          <w:tcPr>
            <w:tcW w:w="2268" w:type="dxa"/>
            <w:vAlign w:val="center"/>
          </w:tcPr>
          <w:p>
            <w:pPr>
              <w:pStyle w:val="13"/>
            </w:pPr>
            <w:r>
              <w:t>良好</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产生的可持续性影响</w:t>
            </w:r>
          </w:p>
        </w:tc>
        <w:tc>
          <w:tcPr>
            <w:tcW w:w="5386" w:type="dxa"/>
            <w:vAlign w:val="center"/>
          </w:tcPr>
          <w:p>
            <w:pPr>
              <w:pStyle w:val="13"/>
            </w:pPr>
            <w:r>
              <w:t>可持续发展农村公路环境的改造建设，是人类对自身生活质量和生活水平更高的需求，是公益性最强的公共基础建设，是农村经济发展的基础。</w:t>
            </w:r>
          </w:p>
        </w:tc>
        <w:tc>
          <w:tcPr>
            <w:tcW w:w="2268" w:type="dxa"/>
            <w:vAlign w:val="center"/>
          </w:tcPr>
          <w:p>
            <w:pPr>
              <w:pStyle w:val="13"/>
            </w:pPr>
            <w:r>
              <w:t>能够</w:t>
            </w:r>
          </w:p>
        </w:tc>
        <w:tc>
          <w:tcPr>
            <w:tcW w:w="1276" w:type="dxa"/>
            <w:vAlign w:val="center"/>
          </w:tcPr>
          <w:p>
            <w:pPr>
              <w:pStyle w:val="13"/>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w:t>
            </w:r>
          </w:p>
        </w:tc>
        <w:tc>
          <w:tcPr>
            <w:tcW w:w="5386" w:type="dxa"/>
            <w:vAlign w:val="center"/>
          </w:tcPr>
          <w:p>
            <w:pPr>
              <w:pStyle w:val="13"/>
            </w:pPr>
            <w:r>
              <w:t>服务群众满意度</w:t>
            </w:r>
          </w:p>
        </w:tc>
        <w:tc>
          <w:tcPr>
            <w:tcW w:w="2268" w:type="dxa"/>
            <w:vAlign w:val="center"/>
          </w:tcPr>
          <w:p>
            <w:pPr>
              <w:pStyle w:val="13"/>
            </w:pPr>
            <w:r>
              <w:t>≥90百分比</w:t>
            </w:r>
          </w:p>
        </w:tc>
        <w:tc>
          <w:tcPr>
            <w:tcW w:w="1276" w:type="dxa"/>
            <w:vAlign w:val="center"/>
          </w:tcPr>
          <w:p>
            <w:pPr>
              <w:pStyle w:val="13"/>
            </w:pPr>
            <w:r>
              <w:t>《河北省农村公路养护管理办法》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138沙河市交通运输局</w:t>
            </w:r>
          </w:p>
        </w:tc>
        <w:tc>
          <w:tcPr>
            <w:tcW w:w="7710" w:type="dxa"/>
            <w:gridSpan w:val="8"/>
            <w:tcBorders>
              <w:top w:val="single" w:color="FFFFFF" w:sz="6" w:space="0"/>
              <w:left w:val="single" w:color="FFFFFF" w:sz="6" w:space="0"/>
              <w:right w:val="single" w:color="FFFFFF" w:sz="6" w:space="0"/>
            </w:tcBorders>
            <w:vAlign w:val="center"/>
          </w:tcPr>
          <w:p>
            <w:pPr>
              <w:pStyle w:val="25"/>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rPr>
                <w:rFonts w:hint="eastAsia"/>
                <w:lang w:eastAsia="zh-CN"/>
              </w:rPr>
              <w:t>部门</w:t>
            </w:r>
            <w:r>
              <w:t xml:space="preserve">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沙河市交通运输局（含所属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）上年末固定资产金额为20277341.77万元（详见下表）。本年度拟购置固定资产总额为0.00万元，已按要求列入政府采购预算，详见政府采购预算表。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138沙河市交通运输局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20277341.77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8520.75</w:t>
            </w:r>
          </w:p>
        </w:tc>
        <w:tc>
          <w:tcPr>
            <w:tcW w:w="2835" w:type="dxa"/>
            <w:vAlign w:val="center"/>
          </w:tcPr>
          <w:p>
            <w:pPr>
              <w:pStyle w:val="12"/>
            </w:pPr>
            <w:r>
              <w:t>16988773.27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6069.97</w:t>
            </w:r>
          </w:p>
        </w:tc>
        <w:tc>
          <w:tcPr>
            <w:tcW w:w="2835" w:type="dxa"/>
            <w:vAlign w:val="center"/>
          </w:tcPr>
          <w:p>
            <w:pPr>
              <w:pStyle w:val="12"/>
            </w:pPr>
            <w:r>
              <w:t>13577638.00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1375769.10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658</w:t>
            </w:r>
          </w:p>
        </w:tc>
        <w:tc>
          <w:tcPr>
            <w:tcW w:w="2835" w:type="dxa"/>
            <w:vAlign w:val="center"/>
          </w:tcPr>
          <w:p>
            <w:pPr>
              <w:pStyle w:val="12"/>
            </w:pPr>
            <w:r>
              <w:t>1912799.40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上缴收入、事业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公务用车购置支出（含车辆购置税、牌照费）及按规定保留的公务用车燃料费、维修费、过路过桥费、保险费、安全奖励费用等支出；公务接待费反映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0AAFE"/>
    <w:multiLevelType w:val="singleLevel"/>
    <w:tmpl w:val="9290AA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mJiNTQ2OTc5ZDM1ZjBhZTgwZWU2MGE2MDNlYTIifQ=="/>
  </w:docVars>
  <w:rsids>
    <w:rsidRoot w:val="00000000"/>
    <w:rsid w:val="07685F0D"/>
    <w:rsid w:val="0B10640E"/>
    <w:rsid w:val="123770B4"/>
    <w:rsid w:val="1A6A3848"/>
    <w:rsid w:val="1F1611F7"/>
    <w:rsid w:val="23B42D8D"/>
    <w:rsid w:val="2CF0102F"/>
    <w:rsid w:val="2EC638B0"/>
    <w:rsid w:val="30AB3EA2"/>
    <w:rsid w:val="337A35A6"/>
    <w:rsid w:val="34692F9B"/>
    <w:rsid w:val="3C0B4937"/>
    <w:rsid w:val="3D4F68C0"/>
    <w:rsid w:val="42A20F87"/>
    <w:rsid w:val="49F7474D"/>
    <w:rsid w:val="6ED81A43"/>
    <w:rsid w:val="77581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2024-02-06T18:38:04Z</dcterms:created>
  <dcterms:modified xsi:type="dcterms:W3CDTF">2024-02-06T10:38:04Z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2024-02-06T18:38:03Z</dcterms:created>
  <dcterms:modified xsi:type="dcterms:W3CDTF">2024-02-06T10:38:03Z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2024-02-06T18:38:09Z</dcterms:created>
  <dcterms:modified xsi:type="dcterms:W3CDTF">2024-02-06T10:38:09Z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2024-02-06T18:38:09Z</dcterms:created>
  <dcterms:modified xsi:type="dcterms:W3CDTF">2024-02-06T10:38:09Z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2024-02-06T18:38:09Z</dcterms:created>
  <dcterms:modified xsi:type="dcterms:W3CDTF">2024-02-06T10:38:09Z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2024-02-06T18:38:08Z</dcterms:created>
  <dcterms:modified xsi:type="dcterms:W3CDTF">2024-02-06T10:38:08Z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2024-02-06T18:38:08Z</dcterms:created>
  <dcterms:modified xsi:type="dcterms:W3CDTF">2024-02-06T10:38:08Z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2024-02-06T18:38:08Z</dcterms:created>
  <dcterms:modified xsi:type="dcterms:W3CDTF">2024-02-06T10:38:08Z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2024-02-06T18:38:08Z</dcterms:created>
  <dcterms:modified xsi:type="dcterms:W3CDTF">2024-02-06T10:38:08Z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2024-02-06T18:38:07Z</dcterms:created>
  <dcterms:modified xsi:type="dcterms:W3CDTF">2024-02-06T10:38:07Z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2024-02-06T18:38:07Z</dcterms:created>
  <dcterms:modified xsi:type="dcterms:W3CDTF">2024-02-06T10:38:07Z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2024-02-06T18:38:04Z</dcterms:created>
  <dcterms:modified xsi:type="dcterms:W3CDTF">2024-02-06T10:38:04Z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2024-02-06T18:38:07Z</dcterms:created>
  <dcterms:modified xsi:type="dcterms:W3CDTF">2024-02-06T10:38:07Z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2024-02-06T18:38:03Z</dcterms:created>
  <dcterms:modified xsi:type="dcterms:W3CDTF">2024-02-06T10:38:03Z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2024-02-06T18:38:07Z</dcterms:created>
  <dcterms:modified xsi:type="dcterms:W3CDTF">2024-02-06T10:38:06Z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2024-02-06T18:38:06Z</dcterms:created>
  <dcterms:modified xsi:type="dcterms:W3CDTF">2024-02-06T10:38:06Z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2024-02-06T18:38:06Z</dcterms:created>
  <dcterms:modified xsi:type="dcterms:W3CDTF">2024-02-06T10:38:06Z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2024-02-06T18:38:06Z</dcterms:created>
  <dcterms:modified xsi:type="dcterms:W3CDTF">2024-02-06T10:38:06Z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2024-02-06T18:38:05Z</dcterms:created>
  <dcterms:modified xsi:type="dcterms:W3CDTF">2024-02-06T10:38:05Z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2024-02-06T18:38:05Z</dcterms:created>
  <dcterms:modified xsi:type="dcterms:W3CDTF">2024-02-06T10:38:05Z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2024-02-06T18:38:05Z</dcterms:created>
  <dcterms:modified xsi:type="dcterms:W3CDTF">2024-02-06T10:38:05Z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2024-02-06T18:38:05Z</dcterms:created>
  <dcterms:modified xsi:type="dcterms:W3CDTF">2024-02-06T10:38:05Z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2024-02-06T18:38:04Z</dcterms:created>
  <dcterms:modified xsi:type="dcterms:W3CDTF">2024-02-06T10:38:04Z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2024-02-06T18:38:04Z</dcterms:created>
  <dcterms:modified xsi:type="dcterms:W3CDTF">2024-02-06T10:38:04Z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2024-02-06T18:38:01Z</dcterms:created>
  <dcterms:modified xsi:type="dcterms:W3CDTF">2024-02-06T10:38:01Z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2024-02-06T18:38:10Z</dcterms:created>
  <dcterms:modified xsi:type="dcterms:W3CDTF">2024-02-06T10:38:10Z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2024-02-06T18:38:09Z</dcterms:created>
  <dcterms:modified xsi:type="dcterms:W3CDTF">2024-02-06T10:38:09Z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0ebe79-a7b5-4f33-98af-9e183ce4f6b7}">
  <ds:schemaRefs/>
</ds:datastoreItem>
</file>

<file path=customXml/itemProps10.xml><?xml version="1.0" encoding="utf-8"?>
<ds:datastoreItem xmlns:ds="http://schemas.openxmlformats.org/officeDocument/2006/customXml" ds:itemID="{cefce4d9-d203-4704-bf5a-10911314cd38}">
  <ds:schemaRefs/>
</ds:datastoreItem>
</file>

<file path=customXml/itemProps11.xml><?xml version="1.0" encoding="utf-8"?>
<ds:datastoreItem xmlns:ds="http://schemas.openxmlformats.org/officeDocument/2006/customXml" ds:itemID="{d555ba29-6341-4694-b8ce-4f05dd698bb7}">
  <ds:schemaRefs/>
</ds:datastoreItem>
</file>

<file path=customXml/itemProps12.xml><?xml version="1.0" encoding="utf-8"?>
<ds:datastoreItem xmlns:ds="http://schemas.openxmlformats.org/officeDocument/2006/customXml" ds:itemID="{f83f2754-c119-4c70-8104-a110ee21bda1}">
  <ds:schemaRefs/>
</ds:datastoreItem>
</file>

<file path=customXml/itemProps13.xml><?xml version="1.0" encoding="utf-8"?>
<ds:datastoreItem xmlns:ds="http://schemas.openxmlformats.org/officeDocument/2006/customXml" ds:itemID="{defeb92d-504c-4807-8af8-71162f34af7e}">
  <ds:schemaRefs/>
</ds:datastoreItem>
</file>

<file path=customXml/itemProps14.xml><?xml version="1.0" encoding="utf-8"?>
<ds:datastoreItem xmlns:ds="http://schemas.openxmlformats.org/officeDocument/2006/customXml" ds:itemID="{65708f2e-46eb-4599-9620-0d8385a2e1a3}">
  <ds:schemaRefs/>
</ds:datastoreItem>
</file>

<file path=customXml/itemProps15.xml><?xml version="1.0" encoding="utf-8"?>
<ds:datastoreItem xmlns:ds="http://schemas.openxmlformats.org/officeDocument/2006/customXml" ds:itemID="{323dc8ea-dc48-49dc-934a-4efd34ee7d0b}">
  <ds:schemaRefs/>
</ds:datastoreItem>
</file>

<file path=customXml/itemProps16.xml><?xml version="1.0" encoding="utf-8"?>
<ds:datastoreItem xmlns:ds="http://schemas.openxmlformats.org/officeDocument/2006/customXml" ds:itemID="{fdac9933-bd5b-46c8-9a33-99b7eb2921e7}">
  <ds:schemaRefs/>
</ds:datastoreItem>
</file>

<file path=customXml/itemProps17.xml><?xml version="1.0" encoding="utf-8"?>
<ds:datastoreItem xmlns:ds="http://schemas.openxmlformats.org/officeDocument/2006/customXml" ds:itemID="{144a6725-88dc-4243-81ac-2e6bae4e7e1f}">
  <ds:schemaRefs/>
</ds:datastoreItem>
</file>

<file path=customXml/itemProps18.xml><?xml version="1.0" encoding="utf-8"?>
<ds:datastoreItem xmlns:ds="http://schemas.openxmlformats.org/officeDocument/2006/customXml" ds:itemID="{3d1abeb8-be06-4c7c-be0d-fbcf600f186a}">
  <ds:schemaRefs/>
</ds:datastoreItem>
</file>

<file path=customXml/itemProps19.xml><?xml version="1.0" encoding="utf-8"?>
<ds:datastoreItem xmlns:ds="http://schemas.openxmlformats.org/officeDocument/2006/customXml" ds:itemID="{0f4ea293-a465-437b-b7c1-47c10d9d7bd8}">
  <ds:schemaRefs/>
</ds:datastoreItem>
</file>

<file path=customXml/itemProps2.xml><?xml version="1.0" encoding="utf-8"?>
<ds:datastoreItem xmlns:ds="http://schemas.openxmlformats.org/officeDocument/2006/customXml" ds:itemID="{f3bbec05-e3e5-494f-80ab-a9c6ab199e2c}">
  <ds:schemaRefs/>
</ds:datastoreItem>
</file>

<file path=customXml/itemProps20.xml><?xml version="1.0" encoding="utf-8"?>
<ds:datastoreItem xmlns:ds="http://schemas.openxmlformats.org/officeDocument/2006/customXml" ds:itemID="{8977fa04-54d8-47ce-a184-84340cdd89a8}">
  <ds:schemaRefs/>
</ds:datastoreItem>
</file>

<file path=customXml/itemProps21.xml><?xml version="1.0" encoding="utf-8"?>
<ds:datastoreItem xmlns:ds="http://schemas.openxmlformats.org/officeDocument/2006/customXml" ds:itemID="{91010be4-642e-43ca-84bf-bb7ca6120486}">
  <ds:schemaRefs/>
</ds:datastoreItem>
</file>

<file path=customXml/itemProps22.xml><?xml version="1.0" encoding="utf-8"?>
<ds:datastoreItem xmlns:ds="http://schemas.openxmlformats.org/officeDocument/2006/customXml" ds:itemID="{30855f5c-2cdc-488b-baeb-cefd1e302b6c}">
  <ds:schemaRefs/>
</ds:datastoreItem>
</file>

<file path=customXml/itemProps23.xml><?xml version="1.0" encoding="utf-8"?>
<ds:datastoreItem xmlns:ds="http://schemas.openxmlformats.org/officeDocument/2006/customXml" ds:itemID="{18b3ba32-cbf6-4290-845a-64c91236d999}">
  <ds:schemaRefs/>
</ds:datastoreItem>
</file>

<file path=customXml/itemProps24.xml><?xml version="1.0" encoding="utf-8"?>
<ds:datastoreItem xmlns:ds="http://schemas.openxmlformats.org/officeDocument/2006/customXml" ds:itemID="{01479c8c-7542-48a8-a745-77cedd0a42c9}">
  <ds:schemaRefs/>
</ds:datastoreItem>
</file>

<file path=customXml/itemProps25.xml><?xml version="1.0" encoding="utf-8"?>
<ds:datastoreItem xmlns:ds="http://schemas.openxmlformats.org/officeDocument/2006/customXml" ds:itemID="{7e017a0e-7be9-42e2-b0d2-dd3a721554f7}">
  <ds:schemaRefs/>
</ds:datastoreItem>
</file>

<file path=customXml/itemProps26.xml><?xml version="1.0" encoding="utf-8"?>
<ds:datastoreItem xmlns:ds="http://schemas.openxmlformats.org/officeDocument/2006/customXml" ds:itemID="{f80edd1a-b82b-4f1f-9cdb-0ac8ac7035e4}">
  <ds:schemaRefs/>
</ds:datastoreItem>
</file>

<file path=customXml/itemProps27.xml><?xml version="1.0" encoding="utf-8"?>
<ds:datastoreItem xmlns:ds="http://schemas.openxmlformats.org/officeDocument/2006/customXml" ds:itemID="{53ca1225-5e8a-4e97-83d7-a2117de5188b}">
  <ds:schemaRefs/>
</ds:datastoreItem>
</file>

<file path=customXml/itemProps28.xml><?xml version="1.0" encoding="utf-8"?>
<ds:datastoreItem xmlns:ds="http://schemas.openxmlformats.org/officeDocument/2006/customXml" ds:itemID="{ee82888f-c799-48a3-9c9f-b66f9c81e303}">
  <ds:schemaRefs/>
</ds:datastoreItem>
</file>

<file path=customXml/itemProps29.xml><?xml version="1.0" encoding="utf-8"?>
<ds:datastoreItem xmlns:ds="http://schemas.openxmlformats.org/officeDocument/2006/customXml" ds:itemID="{f02dba22-3f5c-46d2-9f76-84b6e8f12d77}">
  <ds:schemaRefs/>
</ds:datastoreItem>
</file>

<file path=customXml/itemProps3.xml><?xml version="1.0" encoding="utf-8"?>
<ds:datastoreItem xmlns:ds="http://schemas.openxmlformats.org/officeDocument/2006/customXml" ds:itemID="{ee3b2566-6546-4f0b-a5ee-e163b1114b38}">
  <ds:schemaRefs/>
</ds:datastoreItem>
</file>

<file path=customXml/itemProps30.xml><?xml version="1.0" encoding="utf-8"?>
<ds:datastoreItem xmlns:ds="http://schemas.openxmlformats.org/officeDocument/2006/customXml" ds:itemID="{16d87190-357f-4644-aac2-94c575424bac}">
  <ds:schemaRefs/>
</ds:datastoreItem>
</file>

<file path=customXml/itemProps31.xml><?xml version="1.0" encoding="utf-8"?>
<ds:datastoreItem xmlns:ds="http://schemas.openxmlformats.org/officeDocument/2006/customXml" ds:itemID="{5fc806d3-da2d-4f79-9fc2-9f7aaa4ab391}">
  <ds:schemaRefs/>
</ds:datastoreItem>
</file>

<file path=customXml/itemProps32.xml><?xml version="1.0" encoding="utf-8"?>
<ds:datastoreItem xmlns:ds="http://schemas.openxmlformats.org/officeDocument/2006/customXml" ds:itemID="{a49bdb71-7963-49b6-8864-b968fbdc548c}">
  <ds:schemaRefs/>
</ds:datastoreItem>
</file>

<file path=customXml/itemProps33.xml><?xml version="1.0" encoding="utf-8"?>
<ds:datastoreItem xmlns:ds="http://schemas.openxmlformats.org/officeDocument/2006/customXml" ds:itemID="{800c7180-14cc-4ef1-a8b4-95521e354c3f}">
  <ds:schemaRefs/>
</ds:datastoreItem>
</file>

<file path=customXml/itemProps34.xml><?xml version="1.0" encoding="utf-8"?>
<ds:datastoreItem xmlns:ds="http://schemas.openxmlformats.org/officeDocument/2006/customXml" ds:itemID="{33acb308-50f9-4d64-9e95-45571b85083a}">
  <ds:schemaRefs/>
</ds:datastoreItem>
</file>

<file path=customXml/itemProps35.xml><?xml version="1.0" encoding="utf-8"?>
<ds:datastoreItem xmlns:ds="http://schemas.openxmlformats.org/officeDocument/2006/customXml" ds:itemID="{5406d11c-1c5f-41d1-9830-8d0970bf24ef}">
  <ds:schemaRefs/>
</ds:datastoreItem>
</file>

<file path=customXml/itemProps36.xml><?xml version="1.0" encoding="utf-8"?>
<ds:datastoreItem xmlns:ds="http://schemas.openxmlformats.org/officeDocument/2006/customXml" ds:itemID="{14f20e34-93fb-4f8f-ab12-448cee9c7323}">
  <ds:schemaRefs/>
</ds:datastoreItem>
</file>

<file path=customXml/itemProps37.xml><?xml version="1.0" encoding="utf-8"?>
<ds:datastoreItem xmlns:ds="http://schemas.openxmlformats.org/officeDocument/2006/customXml" ds:itemID="{fcccf620-414f-4dba-a3e5-6707acae8eaa}">
  <ds:schemaRefs/>
</ds:datastoreItem>
</file>

<file path=customXml/itemProps38.xml><?xml version="1.0" encoding="utf-8"?>
<ds:datastoreItem xmlns:ds="http://schemas.openxmlformats.org/officeDocument/2006/customXml" ds:itemID="{a5aa49e8-4ac3-409b-8447-079f4a823f18}">
  <ds:schemaRefs/>
</ds:datastoreItem>
</file>

<file path=customXml/itemProps39.xml><?xml version="1.0" encoding="utf-8"?>
<ds:datastoreItem xmlns:ds="http://schemas.openxmlformats.org/officeDocument/2006/customXml" ds:itemID="{a685ce88-59bc-4a9e-aff6-15d413e0a01c}">
  <ds:schemaRefs/>
</ds:datastoreItem>
</file>

<file path=customXml/itemProps4.xml><?xml version="1.0" encoding="utf-8"?>
<ds:datastoreItem xmlns:ds="http://schemas.openxmlformats.org/officeDocument/2006/customXml" ds:itemID="{128b05d8-f7b7-4c03-9755-33cb56c925b4}">
  <ds:schemaRefs/>
</ds:datastoreItem>
</file>

<file path=customXml/itemProps40.xml><?xml version="1.0" encoding="utf-8"?>
<ds:datastoreItem xmlns:ds="http://schemas.openxmlformats.org/officeDocument/2006/customXml" ds:itemID="{3efc0b12-8e72-4df7-ad3f-4f57317c25a8}">
  <ds:schemaRefs/>
</ds:datastoreItem>
</file>

<file path=customXml/itemProps41.xml><?xml version="1.0" encoding="utf-8"?>
<ds:datastoreItem xmlns:ds="http://schemas.openxmlformats.org/officeDocument/2006/customXml" ds:itemID="{121beb3c-7f04-43f6-8b1a-e29cc0fa2048}">
  <ds:schemaRefs/>
</ds:datastoreItem>
</file>

<file path=customXml/itemProps42.xml><?xml version="1.0" encoding="utf-8"?>
<ds:datastoreItem xmlns:ds="http://schemas.openxmlformats.org/officeDocument/2006/customXml" ds:itemID="{59b7a84b-522b-4d2d-98ff-b5935101ee3a}">
  <ds:schemaRefs/>
</ds:datastoreItem>
</file>

<file path=customXml/itemProps43.xml><?xml version="1.0" encoding="utf-8"?>
<ds:datastoreItem xmlns:ds="http://schemas.openxmlformats.org/officeDocument/2006/customXml" ds:itemID="{f50719fe-ff7e-4d51-9f59-21c2bd242ec7}">
  <ds:schemaRefs/>
</ds:datastoreItem>
</file>

<file path=customXml/itemProps44.xml><?xml version="1.0" encoding="utf-8"?>
<ds:datastoreItem xmlns:ds="http://schemas.openxmlformats.org/officeDocument/2006/customXml" ds:itemID="{5edd29be-9a5f-4e57-a163-10cd5a236f44}">
  <ds:schemaRefs/>
</ds:datastoreItem>
</file>

<file path=customXml/itemProps45.xml><?xml version="1.0" encoding="utf-8"?>
<ds:datastoreItem xmlns:ds="http://schemas.openxmlformats.org/officeDocument/2006/customXml" ds:itemID="{e0e15e73-dc27-4095-b10e-0c0cebfffa29}">
  <ds:schemaRefs/>
</ds:datastoreItem>
</file>

<file path=customXml/itemProps46.xml><?xml version="1.0" encoding="utf-8"?>
<ds:datastoreItem xmlns:ds="http://schemas.openxmlformats.org/officeDocument/2006/customXml" ds:itemID="{fb0aa1ca-08d3-47b5-8622-562a1fca5f7a}">
  <ds:schemaRefs/>
</ds:datastoreItem>
</file>

<file path=customXml/itemProps47.xml><?xml version="1.0" encoding="utf-8"?>
<ds:datastoreItem xmlns:ds="http://schemas.openxmlformats.org/officeDocument/2006/customXml" ds:itemID="{9dcd5d85-9a2a-459d-a870-a1ecc26afb8a}">
  <ds:schemaRefs/>
</ds:datastoreItem>
</file>

<file path=customXml/itemProps48.xml><?xml version="1.0" encoding="utf-8"?>
<ds:datastoreItem xmlns:ds="http://schemas.openxmlformats.org/officeDocument/2006/customXml" ds:itemID="{cc62babc-b92f-479e-8b3b-3eb1bb2a75b9}">
  <ds:schemaRefs/>
</ds:datastoreItem>
</file>

<file path=customXml/itemProps49.xml><?xml version="1.0" encoding="utf-8"?>
<ds:datastoreItem xmlns:ds="http://schemas.openxmlformats.org/officeDocument/2006/customXml" ds:itemID="{1dd3eeff-cff7-4933-9a69-ae42d61282fc}">
  <ds:schemaRefs/>
</ds:datastoreItem>
</file>

<file path=customXml/itemProps5.xml><?xml version="1.0" encoding="utf-8"?>
<ds:datastoreItem xmlns:ds="http://schemas.openxmlformats.org/officeDocument/2006/customXml" ds:itemID="{11e8bc00-31d7-48b6-b2ca-11cd48ca973f}">
  <ds:schemaRefs/>
</ds:datastoreItem>
</file>

<file path=customXml/itemProps50.xml><?xml version="1.0" encoding="utf-8"?>
<ds:datastoreItem xmlns:ds="http://schemas.openxmlformats.org/officeDocument/2006/customXml" ds:itemID="{88ca9028-bc66-46bb-862a-e63fbd8d16b6}">
  <ds:schemaRefs/>
</ds:datastoreItem>
</file>

<file path=customXml/itemProps51.xml><?xml version="1.0" encoding="utf-8"?>
<ds:datastoreItem xmlns:ds="http://schemas.openxmlformats.org/officeDocument/2006/customXml" ds:itemID="{fe6e3ef6-37ce-4880-9023-14994454fd30}">
  <ds:schemaRefs/>
</ds:datastoreItem>
</file>

<file path=customXml/itemProps52.xml><?xml version="1.0" encoding="utf-8"?>
<ds:datastoreItem xmlns:ds="http://schemas.openxmlformats.org/officeDocument/2006/customXml" ds:itemID="{e4ffdf4e-941c-44b7-a5b5-5fe223017061}">
  <ds:schemaRefs/>
</ds:datastoreItem>
</file>

<file path=customXml/itemProps53.xml><?xml version="1.0" encoding="utf-8"?>
<ds:datastoreItem xmlns:ds="http://schemas.openxmlformats.org/officeDocument/2006/customXml" ds:itemID="{e79d2486-2568-460e-8d6e-dc1352a32cef}">
  <ds:schemaRefs/>
</ds:datastoreItem>
</file>

<file path=customXml/itemProps54.xml><?xml version="1.0" encoding="utf-8"?>
<ds:datastoreItem xmlns:ds="http://schemas.openxmlformats.org/officeDocument/2006/customXml" ds:itemID="{27ad4445-cab2-4df1-b471-673b788be9c4}">
  <ds:schemaRefs/>
</ds:datastoreItem>
</file>

<file path=customXml/itemProps6.xml><?xml version="1.0" encoding="utf-8"?>
<ds:datastoreItem xmlns:ds="http://schemas.openxmlformats.org/officeDocument/2006/customXml" ds:itemID="{fc97219b-9d71-4ba8-b212-39518737dac7}">
  <ds:schemaRefs/>
</ds:datastoreItem>
</file>

<file path=customXml/itemProps7.xml><?xml version="1.0" encoding="utf-8"?>
<ds:datastoreItem xmlns:ds="http://schemas.openxmlformats.org/officeDocument/2006/customXml" ds:itemID="{43752cfb-1ca2-458f-b222-77bc897f1c5d}">
  <ds:schemaRefs/>
</ds:datastoreItem>
</file>

<file path=customXml/itemProps8.xml><?xml version="1.0" encoding="utf-8"?>
<ds:datastoreItem xmlns:ds="http://schemas.openxmlformats.org/officeDocument/2006/customXml" ds:itemID="{86b0d51b-7c88-467e-9219-64cb5010e6de}">
  <ds:schemaRefs/>
</ds:datastoreItem>
</file>

<file path=customXml/itemProps9.xml><?xml version="1.0" encoding="utf-8"?>
<ds:datastoreItem xmlns:ds="http://schemas.openxmlformats.org/officeDocument/2006/customXml" ds:itemID="{de13e1a5-bd01-47b5-a786-f1baa99f4e3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2024-02-06T18:38:00Z</dcterms:created>
  <dc:creator>Administrator</dc:creator>
  <cp:lastModifiedBy>不二臣</cp:lastModifiedBy>
  <dcterms:modified xsi:type="dcterms:W3CDTF">2024-02-19T03:57:48Z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D2408F18F51C4BB881A4254DE7AB73C8_13</vt:lpwstr>
  </property>
</Properties>
</file>