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沙河市蝉房乡人民政府</w:t>
      </w:r>
    </w:p>
    <w:p>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2018</w:t>
      </w:r>
      <w:r>
        <w:rPr>
          <w:rFonts w:hint="eastAsia" w:ascii="方正小标宋简体" w:hAnsi="方正小标宋简体" w:eastAsia="方正小标宋简体" w:cs="方正小标宋简体"/>
          <w:sz w:val="44"/>
          <w:szCs w:val="44"/>
        </w:rPr>
        <w:t>年部门预算信息公开</w:t>
      </w:r>
    </w:p>
    <w:p>
      <w:pPr>
        <w:jc w:val="center"/>
        <w:rPr>
          <w:rFonts w:ascii="方正小标宋简体" w:hAnsi="方正小标宋简体" w:eastAsia="方正小标宋简体" w:cs="方正小标宋简体"/>
          <w:sz w:val="44"/>
          <w:szCs w:val="44"/>
        </w:rPr>
      </w:pP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按照《中华人民共和国预算法》、《地方预决算公开操作规程》规定，现将沙河市蝉房乡人民政府</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部门预算公开如下：</w:t>
      </w:r>
    </w:p>
    <w:p>
      <w:pPr>
        <w:numPr>
          <w:ilvl w:val="0"/>
          <w:numId w:val="1"/>
        </w:numPr>
        <w:spacing w:line="610" w:lineRule="exact"/>
        <w:ind w:firstLine="640"/>
        <w:rPr>
          <w:rFonts w:ascii="黑体" w:hAnsi="黑体" w:eastAsia="黑体" w:cs="黑体"/>
          <w:sz w:val="32"/>
          <w:szCs w:val="32"/>
        </w:rPr>
      </w:pPr>
      <w:r>
        <w:rPr>
          <w:rFonts w:hint="eastAsia" w:ascii="黑体" w:hAnsi="黑体" w:eastAsia="黑体" w:cs="黑体"/>
          <w:sz w:val="32"/>
          <w:szCs w:val="32"/>
        </w:rPr>
        <w:t>部门职责及</w:t>
      </w:r>
      <w:r>
        <w:rPr>
          <w:rFonts w:hint="eastAsia" w:ascii="黑体" w:hAnsi="黑体" w:eastAsia="黑体"/>
          <w:sz w:val="32"/>
          <w:szCs w:val="32"/>
        </w:rPr>
        <w:t>机构设置情况</w:t>
      </w:r>
    </w:p>
    <w:p>
      <w:pPr>
        <w:spacing w:line="610" w:lineRule="exact"/>
        <w:ind w:firstLine="643" w:firstLineChars="200"/>
        <w:rPr>
          <w:rFonts w:ascii="仿宋" w:hAnsi="仿宋" w:eastAsia="仿宋"/>
          <w:b/>
          <w:sz w:val="32"/>
          <w:szCs w:val="32"/>
        </w:rPr>
      </w:pPr>
      <w:r>
        <w:rPr>
          <w:rFonts w:hint="eastAsia" w:ascii="仿宋" w:hAnsi="仿宋" w:eastAsia="仿宋"/>
          <w:b/>
          <w:sz w:val="32"/>
          <w:szCs w:val="32"/>
        </w:rPr>
        <w:t>部门职责：</w:t>
      </w:r>
    </w:p>
    <w:p>
      <w:pPr>
        <w:widowControl/>
        <w:spacing w:line="580" w:lineRule="exact"/>
        <w:ind w:firstLine="5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蝉房乡政府的主要职责是：贯彻落实党的路线、方针和政策；执行本级人民代表大会的决议和上级国家行政机关的决定和命令，发布决定和命令；执行本行政区域内得经济和社会发展计划，组织和领导经济建设，发展农村经济；制定和组织实施乡村建设规划，加强公共设施的建设和管理，发展各项服务事业；加强水利建设，土地使用管理和环境综合整治，合理开发、利用自然资源，保护耕地，改善生态环境和生活环境；开展政务公开建设和社会主义民主与法制教育，加强社会治安综合治理，调解民事纠纷，维护社会秩序；推行计划生育，控制人口增长，保护妇女、儿童和老年人的合法权益；管理民政行政工作，发展社会福利事业，做好就业和社会保障工作，办理兵役事项；管理乡财政，执行本级预算；管理和发展教育，科学技术、文化、卫生等事业，提高公民素质；加强食品安全、安全生产管理旅馆里和发展本行政区域内的公共事业；保护国家、集体和公民私有合法财产；保障经济、社会组织的合法权益和公民应有的人身权利，民主权利和其他权利；知道加强村委会建设，充分发挥村委会作用，提高其服务工作水平；办理上级政府交办的其他事项。</w:t>
      </w:r>
    </w:p>
    <w:p>
      <w:pPr>
        <w:ind w:firstLine="643" w:firstLineChars="200"/>
      </w:pPr>
      <w:r>
        <w:rPr>
          <w:rFonts w:hint="eastAsia" w:ascii="仿宋" w:hAnsi="仿宋" w:eastAsia="仿宋"/>
          <w:b/>
          <w:sz w:val="32"/>
          <w:szCs w:val="32"/>
        </w:rPr>
        <w:t>机构设置：</w:t>
      </w:r>
    </w:p>
    <w:tbl>
      <w:tblPr>
        <w:tblStyle w:val="5"/>
        <w:tblW w:w="0" w:type="auto"/>
        <w:tblInd w:w="0" w:type="dxa"/>
        <w:tblLayout w:type="fixed"/>
        <w:tblCellMar>
          <w:top w:w="0" w:type="dxa"/>
          <w:left w:w="0" w:type="dxa"/>
          <w:bottom w:w="0" w:type="dxa"/>
          <w:right w:w="0" w:type="dxa"/>
        </w:tblCellMar>
      </w:tblPr>
      <w:tblGrid>
        <w:gridCol w:w="3252"/>
        <w:gridCol w:w="1620"/>
        <w:gridCol w:w="2767"/>
        <w:gridCol w:w="1403"/>
      </w:tblGrid>
      <w:tr>
        <w:tblPrEx>
          <w:tblCellMar>
            <w:top w:w="0" w:type="dxa"/>
            <w:left w:w="0" w:type="dxa"/>
            <w:bottom w:w="0" w:type="dxa"/>
            <w:right w:w="0" w:type="dxa"/>
          </w:tblCellMar>
        </w:tblPrEx>
        <w:trPr>
          <w:trHeight w:val="835" w:hRule="atLeast"/>
        </w:trPr>
        <w:tc>
          <w:tcPr>
            <w:tcW w:w="325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单位名称</w:t>
            </w:r>
          </w:p>
        </w:tc>
        <w:tc>
          <w:tcPr>
            <w:tcW w:w="1620"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单位性质</w:t>
            </w:r>
          </w:p>
        </w:tc>
        <w:tc>
          <w:tcPr>
            <w:tcW w:w="2767"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单位规格</w:t>
            </w:r>
          </w:p>
        </w:tc>
        <w:tc>
          <w:tcPr>
            <w:tcW w:w="1403"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经费保障形式</w:t>
            </w:r>
          </w:p>
        </w:tc>
      </w:tr>
      <w:tr>
        <w:tblPrEx>
          <w:tblCellMar>
            <w:top w:w="0" w:type="dxa"/>
            <w:left w:w="0" w:type="dxa"/>
            <w:bottom w:w="0" w:type="dxa"/>
            <w:right w:w="0" w:type="dxa"/>
          </w:tblCellMar>
        </w:tblPrEx>
        <w:trPr>
          <w:trHeight w:val="835" w:hRule="atLeast"/>
        </w:trPr>
        <w:tc>
          <w:tcPr>
            <w:tcW w:w="3252" w:type="dxa"/>
            <w:tcBorders>
              <w:top w:val="nil"/>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沙河市蝉房乡人民政府</w:t>
            </w:r>
          </w:p>
        </w:tc>
        <w:tc>
          <w:tcPr>
            <w:tcW w:w="1620"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行政</w:t>
            </w:r>
          </w:p>
        </w:tc>
        <w:tc>
          <w:tcPr>
            <w:tcW w:w="276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kern w:val="0"/>
                <w:sz w:val="32"/>
                <w:szCs w:val="32"/>
              </w:rPr>
              <w:t>正科级</w:t>
            </w:r>
          </w:p>
        </w:tc>
        <w:tc>
          <w:tcPr>
            <w:tcW w:w="1403"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财政拨款</w:t>
            </w:r>
          </w:p>
        </w:tc>
      </w:tr>
    </w:tbl>
    <w:p>
      <w:pPr>
        <w:ind w:firstLine="420" w:firstLineChars="200"/>
      </w:pPr>
    </w:p>
    <w:p>
      <w:pPr>
        <w:ind w:firstLine="420" w:firstLineChars="200"/>
      </w:pPr>
    </w:p>
    <w:p>
      <w:pPr>
        <w:spacing w:line="610" w:lineRule="exact"/>
        <w:ind w:firstLine="640"/>
        <w:rPr>
          <w:rFonts w:ascii="黑体" w:hAnsi="黑体" w:eastAsia="黑体" w:cs="黑体"/>
          <w:sz w:val="32"/>
          <w:szCs w:val="32"/>
        </w:rPr>
      </w:pPr>
      <w:r>
        <w:rPr>
          <w:rFonts w:hint="eastAsia" w:ascii="黑体" w:hAnsi="黑体" w:eastAsia="黑体" w:cs="黑体"/>
          <w:sz w:val="32"/>
          <w:szCs w:val="32"/>
        </w:rPr>
        <w:t>二、部门预算安排的总体情况</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按照预算管理有关规定，目前我市部门预算的编制实行综合预算制度，即全部收入和支出都反映在预算中。</w:t>
      </w:r>
    </w:p>
    <w:p>
      <w:pPr>
        <w:numPr>
          <w:ilvl w:val="0"/>
          <w:numId w:val="2"/>
        </w:num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收入说明</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反映本部门当年全部收入。</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年预算收入</w:t>
      </w:r>
      <w:r>
        <w:rPr>
          <w:rFonts w:hint="eastAsia" w:ascii="仿宋_GB2312" w:eastAsia="仿宋_GB2312"/>
          <w:sz w:val="32"/>
          <w:szCs w:val="32"/>
        </w:rPr>
        <w:t>784.76</w:t>
      </w:r>
      <w:r>
        <w:rPr>
          <w:rFonts w:hint="eastAsia" w:ascii="仿宋_GB2312" w:hAnsi="仿宋_GB2312" w:eastAsia="仿宋_GB2312" w:cs="仿宋_GB2312"/>
          <w:sz w:val="32"/>
          <w:szCs w:val="32"/>
        </w:rPr>
        <w:t>万元，其中：一般公共预算收入</w:t>
      </w:r>
      <w:r>
        <w:rPr>
          <w:rFonts w:hint="eastAsia" w:ascii="仿宋_GB2312" w:eastAsia="仿宋_GB2312"/>
          <w:sz w:val="32"/>
          <w:szCs w:val="32"/>
        </w:rPr>
        <w:t>784.76</w:t>
      </w:r>
      <w:r>
        <w:rPr>
          <w:rFonts w:hint="eastAsia" w:ascii="仿宋_GB2312" w:hAnsi="仿宋_GB2312" w:eastAsia="仿宋_GB2312" w:cs="仿宋_GB2312"/>
          <w:sz w:val="32"/>
          <w:szCs w:val="32"/>
        </w:rPr>
        <w:t>万元，基金预算拨款</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w:t>
      </w:r>
    </w:p>
    <w:p>
      <w:pPr>
        <w:numPr>
          <w:ilvl w:val="0"/>
          <w:numId w:val="2"/>
        </w:num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支出说明</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收支预算总表支出栏、基本支出表、项目支出表按经济分类和支出功能分类科目编制，反映沙河市蝉房乡人民政府</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年度部门预算中支出预算的总体情况。</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年支出预算</w:t>
      </w:r>
      <w:r>
        <w:rPr>
          <w:rFonts w:hint="eastAsia" w:ascii="仿宋_GB2312" w:eastAsia="仿宋_GB2312"/>
          <w:sz w:val="32"/>
          <w:szCs w:val="32"/>
        </w:rPr>
        <w:t>784.76</w:t>
      </w:r>
      <w:r>
        <w:rPr>
          <w:rFonts w:hint="eastAsia" w:ascii="仿宋_GB2312" w:hAnsi="仿宋_GB2312" w:eastAsia="仿宋_GB2312" w:cs="仿宋_GB2312"/>
          <w:sz w:val="32"/>
          <w:szCs w:val="32"/>
        </w:rPr>
        <w:t>万元，其中基本支出340.73万元，包括人员经费和日常公用经费；项目支出444.03万元，其中一般公共服务支出20万元，医疗卫生与计划生育支出73.26万元，城乡社区环境卫生7.94万元，对高校毕业生到基层任职补助57.26万元，林业防灾减灾6万元，对村民委员会和党支部的补助279.57万元。</w:t>
      </w:r>
    </w:p>
    <w:p>
      <w:pPr>
        <w:numPr>
          <w:ilvl w:val="0"/>
          <w:numId w:val="2"/>
        </w:num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比上年增减情况</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年预算收支安排</w:t>
      </w:r>
      <w:r>
        <w:rPr>
          <w:rFonts w:hint="eastAsia" w:ascii="仿宋_GB2312" w:eastAsia="仿宋_GB2312"/>
          <w:sz w:val="32"/>
          <w:szCs w:val="32"/>
        </w:rPr>
        <w:t>784.76</w:t>
      </w:r>
      <w:r>
        <w:rPr>
          <w:rFonts w:hint="eastAsia" w:ascii="仿宋_GB2312" w:hAnsi="仿宋_GB2312" w:eastAsia="仿宋_GB2312" w:cs="仿宋_GB2312"/>
          <w:sz w:val="32"/>
          <w:szCs w:val="32"/>
        </w:rPr>
        <w:t>万元，较</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年预算增加</w:t>
      </w:r>
      <w:r>
        <w:rPr>
          <w:rFonts w:hint="eastAsia" w:ascii="仿宋_GB2312" w:hAnsi="仿宋_GB2312" w:eastAsia="仿宋_GB2312" w:cs="仿宋_GB2312"/>
          <w:color w:val="000000" w:themeColor="text1"/>
          <w:sz w:val="32"/>
          <w:szCs w:val="32"/>
        </w:rPr>
        <w:t>6.84万元，主要为人员经费支出增加</w:t>
      </w:r>
      <w:r>
        <w:rPr>
          <w:rFonts w:hint="eastAsia" w:ascii="仿宋_GB2312" w:hAnsi="仿宋_GB2312" w:eastAsia="仿宋_GB2312" w:cs="仿宋_GB2312"/>
          <w:sz w:val="32"/>
          <w:szCs w:val="32"/>
        </w:rPr>
        <w:t>；</w:t>
      </w:r>
    </w:p>
    <w:p>
      <w:pPr>
        <w:spacing w:line="610" w:lineRule="exact"/>
        <w:ind w:firstLine="640"/>
        <w:rPr>
          <w:rFonts w:ascii="黑体" w:hAnsi="黑体" w:eastAsia="黑体" w:cs="黑体"/>
          <w:sz w:val="32"/>
          <w:szCs w:val="32"/>
        </w:rPr>
      </w:pPr>
      <w:r>
        <w:rPr>
          <w:rFonts w:hint="eastAsia" w:ascii="黑体" w:hAnsi="黑体" w:eastAsia="黑体" w:cs="黑体"/>
          <w:sz w:val="32"/>
          <w:szCs w:val="32"/>
        </w:rPr>
        <w:t>三、机关运行经费安排情况</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机关运行经费安排76.77万元，主要用于机关正常运转、公务用车运行、办公用房维修维护等日常运行支出</w:t>
      </w:r>
    </w:p>
    <w:p>
      <w:pPr>
        <w:numPr>
          <w:ilvl w:val="0"/>
          <w:numId w:val="3"/>
        </w:numPr>
        <w:spacing w:line="610" w:lineRule="exact"/>
        <w:rPr>
          <w:rFonts w:ascii="黑体" w:hAnsi="黑体" w:eastAsia="黑体" w:cs="黑体"/>
          <w:sz w:val="32"/>
          <w:szCs w:val="32"/>
        </w:rPr>
      </w:pPr>
      <w:r>
        <w:rPr>
          <w:rFonts w:hint="eastAsia" w:ascii="黑体" w:hAnsi="黑体" w:eastAsia="黑体" w:cs="黑体"/>
          <w:sz w:val="32"/>
          <w:szCs w:val="32"/>
        </w:rPr>
        <w:t>财政拨款“三公”经费预算安排情况及增减变化原因</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年，我部门“三公”经费预算安排</w:t>
      </w:r>
      <w:r>
        <w:rPr>
          <w:rFonts w:ascii="仿宋_GB2312" w:hAnsi="仿宋_GB2312" w:eastAsia="仿宋_GB2312" w:cs="仿宋_GB2312"/>
          <w:sz w:val="32"/>
          <w:szCs w:val="32"/>
        </w:rPr>
        <w:t>13.5</w:t>
      </w:r>
      <w:r>
        <w:rPr>
          <w:rFonts w:hint="eastAsia" w:ascii="仿宋_GB2312" w:hAnsi="仿宋_GB2312" w:eastAsia="仿宋_GB2312" w:cs="仿宋_GB2312"/>
          <w:sz w:val="32"/>
          <w:szCs w:val="32"/>
        </w:rPr>
        <w:t>万元，其中因公出国（境）费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元；公务用车购置及运维费</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万元（公务用车购置费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元，公务用车运维费</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万元）；公务接待费</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万元，与</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年相比持平。主要</w:t>
      </w:r>
      <w:r>
        <w:rPr>
          <w:rFonts w:hint="eastAsia" w:ascii="仿宋_GB2312" w:eastAsia="仿宋_GB2312"/>
          <w:sz w:val="32"/>
          <w:szCs w:val="32"/>
        </w:rPr>
        <w:t>原因是蝉房地处沙河西部山区，距市区较远，“三公”经费开支主要用于车辆运行维护，近几年大力开发旅游项目之际更增加了车辆运行车次；招待费主要用于旅游项目考察调研人员支出。</w:t>
      </w:r>
      <w:r>
        <w:rPr>
          <w:rFonts w:hint="eastAsia" w:ascii="仿宋_GB2312" w:hAnsi="仿宋_GB2312" w:eastAsia="仿宋_GB2312" w:cs="仿宋_GB2312"/>
          <w:sz w:val="32"/>
          <w:szCs w:val="32"/>
        </w:rPr>
        <w:t>今后我部门将一如既往，积极贯彻落实上级有关规定，强化预算管理，严格控制“三公”经费支出。</w:t>
      </w:r>
    </w:p>
    <w:p>
      <w:pPr>
        <w:numPr>
          <w:ilvl w:val="0"/>
          <w:numId w:val="3"/>
        </w:numPr>
        <w:spacing w:line="610" w:lineRule="exact"/>
        <w:rPr>
          <w:rFonts w:ascii="黑体" w:hAnsi="黑体" w:eastAsia="黑体" w:cs="黑体"/>
          <w:sz w:val="32"/>
          <w:szCs w:val="32"/>
        </w:rPr>
      </w:pPr>
      <w:r>
        <w:rPr>
          <w:rFonts w:hint="eastAsia" w:ascii="黑体" w:hAnsi="黑体" w:eastAsia="黑体" w:cs="黑体"/>
          <w:sz w:val="32"/>
          <w:szCs w:val="32"/>
        </w:rPr>
        <w:t>绩效预算信息</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公共服务设施建设、道路、污水处理厂、环境卫生、旅游开发等。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、完成板栗园区道路建设、中王峪果品园区道路建设及苗圃基地建设、南台沟饮水工程。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、完善各村“两室”建设，确保建设达标。一村一个便民服务室，普及村级文化活动广场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、完成小东沟、蝉房村等9个村美丽乡村建设。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民生发展规划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教育：建设蝉房中学、温家沟中学教学楼建设工程，加大基础设施建设力度，完善学前教育。</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医疗：在提高卫生院基础设施的基础上，加大高等级技术人才引进；将各村卫生室完善，全部配上基本药品和专兼职村医，加大新农合宣传，提高群众参保率。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文化、体育：完善电影下乡，加强农村书屋管理，组建乡村半专业广场舞队、小型剧团，争取在较大村庄全部建起体育活动中心。利用农闲和春节时期，广泛开展群众性体育活动。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社会保障：进一步规范农村低保五保申领条件，配合市里完成信息上报和共享；加大农村养老保险制度宣传，变要我入为我要入，加强农村幸福院管理，为空巢老人排忧解难。</w:t>
      </w:r>
    </w:p>
    <w:p>
      <w:pPr>
        <w:ind w:firstLine="560"/>
        <w:rPr>
          <w:rFonts w:ascii="楷体_GB2312" w:hAnsi="Times New Roman" w:eastAsia="楷体_GB2312"/>
          <w:b/>
          <w:sz w:val="32"/>
        </w:rPr>
      </w:pPr>
      <w:r>
        <w:rPr>
          <w:rFonts w:hint="eastAsia" w:ascii="楷体_GB2312" w:hAnsi="黑体" w:eastAsia="楷体_GB2312"/>
          <w:b/>
          <w:sz w:val="32"/>
          <w:szCs w:val="32"/>
        </w:rPr>
        <w:t>部门职责及工作活动绩效目标指标：</w:t>
      </w:r>
    </w:p>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174沙河市蝉房乡</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一、城乡环境卫生</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城乡道路清扫、垃圾清运与处理、公厕建设与维护、园林绿化等</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加强城乡规划管理，协调城乡空间布局，改善人居环境，促进城乡经济社会全面协调可持续发展。</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4"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、城乡环境卫生治理</w:t>
            </w:r>
          </w:p>
        </w:tc>
        <w:tc>
          <w:tcPr>
            <w:tcW w:w="1276" w:type="dxa"/>
            <w:vAlign w:val="center"/>
          </w:tcPr>
          <w:p>
            <w:pPr>
              <w:spacing w:line="300" w:lineRule="exact"/>
              <w:jc w:val="left"/>
              <w:rPr>
                <w:rFonts w:ascii="方正书宋_GBK" w:eastAsia="方正书宋_GBK"/>
                <w:b/>
              </w:rPr>
            </w:pPr>
            <w:r>
              <w:rPr>
                <w:rFonts w:hint="eastAsia" w:ascii="方正书宋_GBK" w:eastAsia="方正书宋_GBK"/>
                <w:b/>
              </w:rPr>
              <w:t>7.94</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坚持政府主导、全民参与，因地制宜、城乡统筹，综合治理、长效管理，全面开展城乡环境卫生整洁行动，不断改善城乡人居环境。通过综合整治环境卫生，宣传健康环境理念，进一步解决城乡环境脏乱差问题，大力加强城乡特别是农村的环境卫生基础设施建设，逐步建立完善环境卫生管理机制，推动环境卫生管理城乡一体化进程，进一步提高城乡居民卫生意识、健康素质和生活质量。</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深化镇区环境卫生长效管理，进一步加强镇区环境卫生的作业考核，切实提高镇区居住环境质量。</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镇区环境卫生整洁绿化美观率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95%-100%</w:t>
            </w:r>
          </w:p>
        </w:tc>
        <w:tc>
          <w:tcPr>
            <w:tcW w:w="737" w:type="dxa"/>
            <w:vAlign w:val="center"/>
          </w:tcPr>
          <w:p>
            <w:pPr>
              <w:spacing w:line="300" w:lineRule="exact"/>
              <w:jc w:val="center"/>
              <w:rPr>
                <w:rFonts w:ascii="方正书宋_GBK" w:eastAsia="方正书宋_GBK"/>
              </w:rPr>
            </w:pPr>
            <w:r>
              <w:rPr>
                <w:rFonts w:ascii="方正书宋_GBK" w:eastAsia="方正书宋_GBK"/>
              </w:rPr>
              <w:t>90%-95%</w:t>
            </w:r>
          </w:p>
        </w:tc>
        <w:tc>
          <w:tcPr>
            <w:tcW w:w="737" w:type="dxa"/>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二、计划生育</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负责人口和计划生育政策法规的宣传工作；负责优生、优育、节育服务；负责育龄妇女定期检查，必备药品发放工作；负责人口和计划生育协会等工作；负责排查管理本辖区流动人口计划生育工作。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稳定适度的低生育水平，有效保障计划生育家庭生活水平，提高妇女生殖健康水平，降低出生缺陷的发生，有效遏制出生性别比偏高问题。</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、计生事务管理</w:t>
            </w:r>
          </w:p>
        </w:tc>
        <w:tc>
          <w:tcPr>
            <w:tcW w:w="1276" w:type="dxa"/>
            <w:vAlign w:val="center"/>
          </w:tcPr>
          <w:p>
            <w:pPr>
              <w:spacing w:line="300" w:lineRule="exact"/>
              <w:jc w:val="left"/>
              <w:rPr>
                <w:rFonts w:ascii="方正书宋_GBK" w:eastAsia="方正书宋_GBK"/>
                <w:color w:val="000000" w:themeColor="text1"/>
              </w:rPr>
            </w:pPr>
            <w:r>
              <w:rPr>
                <w:rFonts w:hint="eastAsia" w:ascii="方正书宋_GBK" w:eastAsia="方正书宋_GBK"/>
                <w:color w:val="000000" w:themeColor="text1"/>
              </w:rPr>
              <w:t>19.91</w:t>
            </w:r>
          </w:p>
          <w:p>
            <w:pPr>
              <w:spacing w:line="300" w:lineRule="exact"/>
              <w:jc w:val="left"/>
              <w:rPr>
                <w:rFonts w:ascii="方正书宋_GBK" w:eastAsia="方正书宋_GBK"/>
                <w:color w:val="FF0000"/>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采取奖励、扶助、社会保障等机制，引导家庭和个人采取计划生育措施，做好出生人口性别比治理工作。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增强群众自觉实行计划生育的积极性，稳定适度低生育水平，遏制人口出生性别比偏高的问题。</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计生政策落实率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95%-100%</w:t>
            </w:r>
          </w:p>
        </w:tc>
        <w:tc>
          <w:tcPr>
            <w:tcW w:w="737" w:type="dxa"/>
            <w:vAlign w:val="center"/>
          </w:tcPr>
          <w:p>
            <w:pPr>
              <w:spacing w:line="300" w:lineRule="exact"/>
              <w:jc w:val="center"/>
              <w:rPr>
                <w:rFonts w:ascii="方正书宋_GBK" w:eastAsia="方正书宋_GBK"/>
              </w:rPr>
            </w:pPr>
            <w:r>
              <w:rPr>
                <w:rFonts w:ascii="方正书宋_GBK" w:eastAsia="方正书宋_GBK"/>
              </w:rPr>
              <w:t>90%-95%</w:t>
            </w:r>
          </w:p>
        </w:tc>
        <w:tc>
          <w:tcPr>
            <w:tcW w:w="737" w:type="dxa"/>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三、公共卫生服务</w:t>
            </w:r>
          </w:p>
        </w:tc>
        <w:tc>
          <w:tcPr>
            <w:tcW w:w="1276" w:type="dxa"/>
            <w:vAlign w:val="center"/>
          </w:tcPr>
          <w:p>
            <w:pPr>
              <w:spacing w:line="300" w:lineRule="exact"/>
              <w:jc w:val="left"/>
              <w:rPr>
                <w:rFonts w:ascii="方正书宋_GBK" w:eastAsia="方正书宋_GBK"/>
                <w:color w:val="FF0000"/>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负责人口和计划生育政策法规的宣传工作；负责优生、优育、节育服务；负责育龄妇女定期检查，必备药品发放工作；负责人口和计划生育协会等工作；负责排查管理本辖区流动人口计划生育工作。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推进基本公共卫生服务均等化；控制各类重大疾病的发生与传播；有效应对我省突发公共卫生事件；保障妇女儿童身心健康；提高食品安全风险预警能力。</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、计生小组长</w:t>
            </w:r>
          </w:p>
        </w:tc>
        <w:tc>
          <w:tcPr>
            <w:tcW w:w="1276" w:type="dxa"/>
            <w:vAlign w:val="center"/>
          </w:tcPr>
          <w:p>
            <w:pPr>
              <w:spacing w:line="300" w:lineRule="exact"/>
              <w:jc w:val="left"/>
              <w:rPr>
                <w:rFonts w:ascii="方正书宋_GBK" w:eastAsia="方正书宋_GBK"/>
                <w:color w:val="000000" w:themeColor="text1"/>
              </w:rPr>
            </w:pPr>
            <w:r>
              <w:rPr>
                <w:rFonts w:hint="eastAsia" w:ascii="方正书宋_GBK" w:eastAsia="方正书宋_GBK"/>
                <w:color w:val="000000" w:themeColor="text1"/>
              </w:rPr>
              <w:t>5.57</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掌握全村符合生育条件的育龄妇女，新婚无孩未孕底数，组织协调育龄小组长搞好月访视，并核实记录，帮助解决月访视中出现的问题，做好村级月报工作。组织好本村育龄妇女季普查等。</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每月对育龄妇女进行一次访视，准确详细掌握本组育龄妇女的生孕、节育措施落实及婚姻情况，管理好帐卡或挂牌，做到底数清、情况明、数字准，随时了解掌握外来本组育龄妇女的计划生育情况。按时参加乡（镇）、村、组的会议、培训，每月向村汇报一次本组的计划生育工作情况。</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对育龄妇女访视服务率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95%-100%</w:t>
            </w:r>
          </w:p>
        </w:tc>
        <w:tc>
          <w:tcPr>
            <w:tcW w:w="737" w:type="dxa"/>
            <w:vAlign w:val="center"/>
          </w:tcPr>
          <w:p>
            <w:pPr>
              <w:spacing w:line="300" w:lineRule="exact"/>
              <w:jc w:val="center"/>
              <w:rPr>
                <w:rFonts w:ascii="方正书宋_GBK" w:eastAsia="方正书宋_GBK"/>
              </w:rPr>
            </w:pPr>
            <w:r>
              <w:rPr>
                <w:rFonts w:ascii="方正书宋_GBK" w:eastAsia="方正书宋_GBK"/>
              </w:rPr>
              <w:t>90%-95%</w:t>
            </w:r>
          </w:p>
        </w:tc>
        <w:tc>
          <w:tcPr>
            <w:tcW w:w="737" w:type="dxa"/>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四、完善农村管理体制</w:t>
            </w:r>
          </w:p>
        </w:tc>
        <w:tc>
          <w:tcPr>
            <w:tcW w:w="1276" w:type="dxa"/>
            <w:vAlign w:val="center"/>
          </w:tcPr>
          <w:p>
            <w:pPr>
              <w:spacing w:line="300" w:lineRule="exact"/>
              <w:jc w:val="left"/>
              <w:rPr>
                <w:rFonts w:ascii="方正书宋_GBK" w:eastAsia="方正书宋_GBK"/>
                <w:color w:val="000000" w:themeColor="text1"/>
              </w:rPr>
            </w:pPr>
            <w:r>
              <w:rPr>
                <w:rFonts w:hint="eastAsia" w:ascii="方正书宋_GBK" w:eastAsia="方正书宋_GBK"/>
                <w:color w:val="000000" w:themeColor="text1"/>
              </w:rPr>
              <w:t>266.57</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指导加强村委会建设，充分发挥村委会作用，提高其服务工作水平，推进农村集体产权制度改革，完善农村土地承包制度，引导农村土地合理流转。创新农业经营主体。</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保障农村基层组织运转需要，农村干部队伍稳定，维护社会稳定，规范流转行为，优化资源配置，促进农民专业合作经济组织健康发展，加快新农村建设和城镇化进程。</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、三农事务管理</w:t>
            </w:r>
          </w:p>
        </w:tc>
        <w:tc>
          <w:tcPr>
            <w:tcW w:w="1276" w:type="dxa"/>
            <w:vAlign w:val="center"/>
          </w:tcPr>
          <w:p>
            <w:pPr>
              <w:spacing w:line="300" w:lineRule="exact"/>
              <w:jc w:val="left"/>
              <w:rPr>
                <w:rFonts w:ascii="方正书宋_GBK" w:eastAsia="方正书宋_GBK"/>
                <w:color w:val="000000" w:themeColor="text1"/>
              </w:rPr>
            </w:pPr>
            <w:r>
              <w:rPr>
                <w:rFonts w:hint="eastAsia" w:ascii="方正书宋_GBK" w:eastAsia="方正书宋_GBK"/>
                <w:color w:val="000000" w:themeColor="text1"/>
              </w:rPr>
              <w:t>266.57</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保障农村基层组织运转需要，农村干部队伍稳定，维护社会稳定</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保障村级组织的正常运转，农村干部队伍稳定，加大公益事业建设，改善农村生产生活条件。指导全乡建立运转顺畅、便捷高效的农村土地承包经营权流转服务平台，带动土地流转依法、有序开展</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工作考核及民主测评率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95%-100%</w:t>
            </w:r>
          </w:p>
        </w:tc>
        <w:tc>
          <w:tcPr>
            <w:tcW w:w="737" w:type="dxa"/>
            <w:vAlign w:val="center"/>
          </w:tcPr>
          <w:p>
            <w:pPr>
              <w:spacing w:line="300" w:lineRule="exact"/>
              <w:jc w:val="center"/>
              <w:rPr>
                <w:rFonts w:ascii="方正书宋_GBK" w:eastAsia="方正书宋_GBK"/>
              </w:rPr>
            </w:pPr>
            <w:r>
              <w:rPr>
                <w:rFonts w:ascii="方正书宋_GBK" w:eastAsia="方正书宋_GBK"/>
              </w:rPr>
              <w:t>90%-95%</w:t>
            </w:r>
          </w:p>
        </w:tc>
        <w:tc>
          <w:tcPr>
            <w:tcW w:w="737" w:type="dxa"/>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五、基础设施建设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完善基础设施，推动经济发展，惠及民生，承担经济发展和民生改善。</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培育支柱产业，加强基础设施建设和新型农村服务体系建设。落实安全生产责任制，搞好农业新技术示范推广。</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、经济、社会全面协调发展</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制定经济发展规划，促进民营企业发展，招商引资，发展支柱产业。加强基础设施建设，落实强农惠农措施，搞好技术推广应用。</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多措并举，推动经济发展，农民增收。</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工作任务完成率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95%-100%</w:t>
            </w:r>
          </w:p>
        </w:tc>
        <w:tc>
          <w:tcPr>
            <w:tcW w:w="737" w:type="dxa"/>
            <w:vAlign w:val="center"/>
          </w:tcPr>
          <w:p>
            <w:pPr>
              <w:spacing w:line="300" w:lineRule="exact"/>
              <w:jc w:val="center"/>
              <w:rPr>
                <w:rFonts w:ascii="方正书宋_GBK" w:eastAsia="方正书宋_GBK"/>
              </w:rPr>
            </w:pPr>
            <w:r>
              <w:rPr>
                <w:rFonts w:ascii="方正书宋_GBK" w:eastAsia="方正书宋_GBK"/>
              </w:rPr>
              <w:t>90%-95%</w:t>
            </w:r>
          </w:p>
        </w:tc>
        <w:tc>
          <w:tcPr>
            <w:tcW w:w="737" w:type="dxa"/>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六、农业科技支撑和公共服务</w:t>
            </w:r>
          </w:p>
        </w:tc>
        <w:tc>
          <w:tcPr>
            <w:tcW w:w="1276" w:type="dxa"/>
            <w:vAlign w:val="center"/>
          </w:tcPr>
          <w:p>
            <w:pPr>
              <w:spacing w:line="300" w:lineRule="exact"/>
              <w:jc w:val="left"/>
              <w:rPr>
                <w:rFonts w:ascii="方正书宋_GBK" w:eastAsia="方正书宋_GBK"/>
                <w:color w:val="FF0000"/>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提高农业机械化水平，建立健全农业科技服务和防灾减灾体系，推动农业生产向现代农业发展。</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促进农业现代化，提高农业劳动生产率，增加农民收入。</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、扶持发展农业科技</w:t>
            </w:r>
          </w:p>
        </w:tc>
        <w:tc>
          <w:tcPr>
            <w:tcW w:w="1276" w:type="dxa"/>
            <w:vAlign w:val="center"/>
          </w:tcPr>
          <w:p>
            <w:pPr>
              <w:spacing w:line="300" w:lineRule="exact"/>
              <w:jc w:val="left"/>
              <w:rPr>
                <w:rFonts w:ascii="方正书宋_GBK" w:eastAsia="方正书宋_GBK"/>
                <w:color w:val="000000" w:themeColor="text1"/>
              </w:rPr>
            </w:pPr>
            <w:r>
              <w:rPr>
                <w:rFonts w:hint="eastAsia" w:ascii="方正书宋_GBK" w:eastAsia="方正书宋_GBK"/>
                <w:color w:val="000000" w:themeColor="text1"/>
              </w:rPr>
              <w:t>7.94</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鼓励农业从传统农业向现代化农业转变，加快</w:t>
            </w:r>
            <w:bookmarkStart w:id="0" w:name="_GoBack"/>
            <w:bookmarkEnd w:id="0"/>
            <w:r>
              <w:rPr>
                <w:rFonts w:hint="eastAsia" w:ascii="方正书宋_GBK" w:eastAsia="方正书宋_GBK"/>
              </w:rPr>
              <w:t>农业发展转型升级，带动农民增收致富。</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培育壮大区域特色支柱产业，加快推进农业发展转型升级，带动农民增收致富。</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农民增收致富率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95%-100%</w:t>
            </w:r>
          </w:p>
        </w:tc>
        <w:tc>
          <w:tcPr>
            <w:tcW w:w="737" w:type="dxa"/>
            <w:vAlign w:val="center"/>
          </w:tcPr>
          <w:p>
            <w:pPr>
              <w:spacing w:line="300" w:lineRule="exact"/>
              <w:jc w:val="center"/>
              <w:rPr>
                <w:rFonts w:ascii="方正书宋_GBK" w:eastAsia="方正书宋_GBK"/>
              </w:rPr>
            </w:pPr>
            <w:r>
              <w:rPr>
                <w:rFonts w:ascii="方正书宋_GBK" w:eastAsia="方正书宋_GBK"/>
              </w:rPr>
              <w:t>90%-95%</w:t>
            </w:r>
          </w:p>
        </w:tc>
        <w:tc>
          <w:tcPr>
            <w:tcW w:w="737" w:type="dxa"/>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七、防火工作</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6</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负责全年的防火工作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确保全年不发生火灾</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、防火工作</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6</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森林草原防火工作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确保全年不发生火灾</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火灾发生次数</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95%-100%</w:t>
            </w:r>
          </w:p>
        </w:tc>
        <w:tc>
          <w:tcPr>
            <w:tcW w:w="737" w:type="dxa"/>
            <w:vAlign w:val="center"/>
          </w:tcPr>
          <w:p>
            <w:pPr>
              <w:spacing w:line="300" w:lineRule="exact"/>
              <w:jc w:val="center"/>
              <w:rPr>
                <w:rFonts w:ascii="方正书宋_GBK" w:eastAsia="方正书宋_GBK"/>
              </w:rPr>
            </w:pPr>
            <w:r>
              <w:rPr>
                <w:rFonts w:ascii="方正书宋_GBK" w:eastAsia="方正书宋_GBK"/>
              </w:rPr>
              <w:t>90%-95%</w:t>
            </w:r>
          </w:p>
        </w:tc>
        <w:tc>
          <w:tcPr>
            <w:tcW w:w="737" w:type="dxa"/>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八、乡镇事务管理</w:t>
            </w:r>
          </w:p>
        </w:tc>
        <w:tc>
          <w:tcPr>
            <w:tcW w:w="1276" w:type="dxa"/>
            <w:vAlign w:val="center"/>
          </w:tcPr>
          <w:p>
            <w:pPr>
              <w:spacing w:line="300" w:lineRule="exact"/>
              <w:jc w:val="left"/>
              <w:rPr>
                <w:rFonts w:ascii="方正书宋_GBK" w:eastAsia="方正书宋_GBK"/>
                <w:color w:val="000000" w:themeColor="text1"/>
              </w:rPr>
            </w:pPr>
            <w:r>
              <w:rPr>
                <w:rFonts w:hint="eastAsia" w:ascii="方正书宋_GBK" w:eastAsia="方正书宋_GBK"/>
                <w:color w:val="000000" w:themeColor="text1"/>
              </w:rPr>
              <w:t>47.78</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做好全乡经济等事务</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经济指标完成情况</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、经济发展</w:t>
            </w:r>
          </w:p>
        </w:tc>
        <w:tc>
          <w:tcPr>
            <w:tcW w:w="1276" w:type="dxa"/>
            <w:vAlign w:val="center"/>
          </w:tcPr>
          <w:p>
            <w:pPr>
              <w:spacing w:line="300" w:lineRule="exact"/>
              <w:jc w:val="left"/>
              <w:rPr>
                <w:rFonts w:ascii="方正书宋_GBK" w:eastAsia="方正书宋_GBK"/>
                <w:color w:val="000000" w:themeColor="text1"/>
              </w:rPr>
            </w:pPr>
            <w:r>
              <w:rPr>
                <w:rFonts w:ascii="方正书宋_GBK" w:eastAsia="方正书宋_GBK"/>
                <w:color w:val="000000" w:themeColor="text1"/>
              </w:rPr>
              <w:t>20.00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做好经济工作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经济指标完成情况</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经济指标完成率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95%-100%</w:t>
            </w:r>
          </w:p>
        </w:tc>
        <w:tc>
          <w:tcPr>
            <w:tcW w:w="737" w:type="dxa"/>
            <w:vAlign w:val="center"/>
          </w:tcPr>
          <w:p>
            <w:pPr>
              <w:spacing w:line="300" w:lineRule="exact"/>
              <w:jc w:val="center"/>
              <w:rPr>
                <w:rFonts w:ascii="方正书宋_GBK" w:eastAsia="方正书宋_GBK"/>
              </w:rPr>
            </w:pPr>
            <w:r>
              <w:rPr>
                <w:rFonts w:ascii="方正书宋_GBK" w:eastAsia="方正书宋_GBK"/>
              </w:rPr>
              <w:t>90%-95%</w:t>
            </w:r>
          </w:p>
        </w:tc>
        <w:tc>
          <w:tcPr>
            <w:tcW w:w="737" w:type="dxa"/>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、其他事务</w:t>
            </w:r>
          </w:p>
        </w:tc>
        <w:tc>
          <w:tcPr>
            <w:tcW w:w="1276" w:type="dxa"/>
            <w:vAlign w:val="center"/>
          </w:tcPr>
          <w:p>
            <w:pPr>
              <w:spacing w:line="300" w:lineRule="exact"/>
              <w:jc w:val="left"/>
              <w:rPr>
                <w:rFonts w:ascii="方正书宋_GBK" w:eastAsia="方正书宋_GBK"/>
                <w:color w:val="000000" w:themeColor="text1"/>
              </w:rPr>
            </w:pPr>
            <w:r>
              <w:rPr>
                <w:rFonts w:hint="eastAsia" w:ascii="方正书宋_GBK" w:eastAsia="方正书宋_GBK"/>
                <w:color w:val="000000" w:themeColor="text1"/>
              </w:rPr>
              <w:t>27.78</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做好其他事务</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其他事务完成情况</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95%-100%</w:t>
            </w:r>
          </w:p>
        </w:tc>
        <w:tc>
          <w:tcPr>
            <w:tcW w:w="737" w:type="dxa"/>
            <w:vAlign w:val="center"/>
          </w:tcPr>
          <w:p>
            <w:pPr>
              <w:spacing w:line="300" w:lineRule="exact"/>
              <w:jc w:val="center"/>
              <w:rPr>
                <w:rFonts w:ascii="方正书宋_GBK" w:eastAsia="方正书宋_GBK"/>
              </w:rPr>
            </w:pPr>
            <w:r>
              <w:rPr>
                <w:rFonts w:ascii="方正书宋_GBK" w:eastAsia="方正书宋_GBK"/>
              </w:rPr>
              <w:t>90%-95%</w:t>
            </w:r>
          </w:p>
        </w:tc>
        <w:tc>
          <w:tcPr>
            <w:tcW w:w="737" w:type="dxa"/>
            <w:vAlign w:val="center"/>
          </w:tcPr>
          <w:p>
            <w:pPr>
              <w:spacing w:line="300" w:lineRule="exact"/>
              <w:jc w:val="center"/>
              <w:rPr>
                <w:rFonts w:ascii="方正书宋_GBK" w:eastAsia="方正书宋_GBK"/>
              </w:rPr>
            </w:pPr>
            <w:r>
              <w:rPr>
                <w:rFonts w:ascii="方正书宋_GBK" w:eastAsia="方正书宋_GBK"/>
              </w:rPr>
              <w:t>0-90%</w:t>
            </w:r>
          </w:p>
        </w:tc>
      </w:tr>
    </w:tbl>
    <w:p>
      <w:pPr>
        <w:autoSpaceDE w:val="0"/>
        <w:autoSpaceDN w:val="0"/>
        <w:adjustRightInd w:val="0"/>
        <w:ind w:left="198" w:firstLine="440" w:firstLineChars="137"/>
        <w:jc w:val="left"/>
        <w:rPr>
          <w:rFonts w:ascii="Times New Roman" w:hAnsi="Times New Roman" w:eastAsia="仿宋"/>
          <w:b/>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hAnsi="仿宋_GB2312" w:eastAsia="仿宋_GB2312" w:cs="仿宋_GB2312"/>
          <w:sz w:val="32"/>
          <w:szCs w:val="32"/>
        </w:rPr>
      </w:pPr>
    </w:p>
    <w:p>
      <w:pPr>
        <w:numPr>
          <w:ilvl w:val="0"/>
          <w:numId w:val="4"/>
        </w:numPr>
        <w:spacing w:line="610" w:lineRule="exact"/>
        <w:ind w:firstLine="640"/>
        <w:rPr>
          <w:rFonts w:ascii="黑体" w:hAnsi="黑体" w:eastAsia="黑体" w:cs="黑体"/>
          <w:sz w:val="32"/>
          <w:szCs w:val="32"/>
        </w:rPr>
      </w:pPr>
      <w:r>
        <w:rPr>
          <w:rFonts w:hint="eastAsia" w:ascii="黑体" w:hAnsi="黑体" w:eastAsia="黑体" w:cs="黑体"/>
          <w:sz w:val="32"/>
          <w:szCs w:val="32"/>
        </w:rPr>
        <w:t>政府采购预算情况</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年，我部门未安排政府采购预算。</w:t>
      </w:r>
    </w:p>
    <w:p>
      <w:pPr>
        <w:numPr>
          <w:ilvl w:val="0"/>
          <w:numId w:val="4"/>
        </w:numPr>
        <w:spacing w:line="610" w:lineRule="exact"/>
        <w:ind w:firstLine="640"/>
        <w:rPr>
          <w:rFonts w:ascii="黑体" w:hAnsi="黑体" w:eastAsia="黑体" w:cs="黑体"/>
          <w:sz w:val="32"/>
          <w:szCs w:val="32"/>
        </w:rPr>
      </w:pPr>
      <w:r>
        <w:rPr>
          <w:rFonts w:hint="eastAsia" w:ascii="黑体" w:hAnsi="黑体" w:eastAsia="黑体" w:cs="黑体"/>
          <w:sz w:val="32"/>
          <w:szCs w:val="32"/>
        </w:rPr>
        <w:t>国有资产信息</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沙河市蝉房乡人民政府上年末固定资产金</w:t>
      </w:r>
      <w:r>
        <w:rPr>
          <w:rFonts w:hint="eastAsia" w:ascii="仿宋_GB2312" w:hAnsi="仿宋_GB2312" w:eastAsia="仿宋_GB2312" w:cs="仿宋_GB2312"/>
          <w:color w:val="000000" w:themeColor="text1"/>
          <w:sz w:val="32"/>
          <w:szCs w:val="32"/>
        </w:rPr>
        <w:t>额为76.53万元，本年度无拟购置固定资产</w:t>
      </w:r>
      <w:r>
        <w:rPr>
          <w:rFonts w:hint="eastAsia" w:ascii="仿宋_GB2312" w:hAnsi="仿宋_GB2312" w:eastAsia="仿宋_GB2312" w:cs="仿宋_GB2312"/>
          <w:sz w:val="32"/>
          <w:szCs w:val="32"/>
        </w:rPr>
        <w:t>。</w:t>
      </w:r>
    </w:p>
    <w:tbl>
      <w:tblPr>
        <w:tblStyle w:val="5"/>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沙河市蝉房乡人民政府固定资产占用情况表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kern w:val="0"/>
                <w:sz w:val="22"/>
              </w:rPr>
            </w:pPr>
            <w:r>
              <w:rPr>
                <w:rFonts w:hint="eastAsia" w:ascii="Times New Roman" w:hAnsi="Times New Roman" w:eastAsia="仿宋"/>
                <w:kern w:val="0"/>
                <w:sz w:val="22"/>
              </w:rPr>
              <w:t>编制部门：沙河市蝉房乡人民政府</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kern w:val="0"/>
                <w:sz w:val="22"/>
              </w:rPr>
            </w:pPr>
            <w:r>
              <w:rPr>
                <w:rFonts w:hint="eastAsia" w:ascii="Times New Roman" w:hAnsi="Times New Roman" w:eastAsia="仿宋"/>
                <w:kern w:val="0"/>
                <w:sz w:val="22"/>
              </w:rPr>
              <w:t>截止时间：</w:t>
            </w:r>
            <w:r>
              <w:rPr>
                <w:rFonts w:ascii="Times New Roman" w:hAnsi="Times New Roman" w:eastAsia="仿宋"/>
                <w:kern w:val="0"/>
                <w:sz w:val="22"/>
              </w:rPr>
              <w:t>2017</w:t>
            </w:r>
            <w:r>
              <w:rPr>
                <w:rFonts w:hint="eastAsia" w:ascii="Times New Roman" w:hAnsi="Times New Roman" w:eastAsia="仿宋"/>
                <w:kern w:val="0"/>
                <w:sz w:val="22"/>
              </w:rPr>
              <w:t>年</w:t>
            </w:r>
            <w:r>
              <w:rPr>
                <w:rFonts w:ascii="Times New Roman" w:hAnsi="Times New Roman" w:eastAsia="仿宋"/>
                <w:kern w:val="0"/>
                <w:sz w:val="22"/>
              </w:rPr>
              <w:t>12</w:t>
            </w:r>
            <w:r>
              <w:rPr>
                <w:rFonts w:hint="eastAsia" w:ascii="Times New Roman" w:hAnsi="Times New Roman" w:eastAsia="仿宋"/>
                <w:kern w:val="0"/>
                <w:sz w:val="22"/>
              </w:rPr>
              <w:t>月</w:t>
            </w:r>
            <w:r>
              <w:rPr>
                <w:rFonts w:ascii="Times New Roman" w:hAnsi="Times New Roman" w:eastAsia="仿宋"/>
                <w:kern w:val="0"/>
                <w:sz w:val="22"/>
              </w:rPr>
              <w:t>31</w:t>
            </w:r>
            <w:r>
              <w:rPr>
                <w:rFonts w:hint="eastAsia" w:ascii="Times New Roman" w:hAnsi="Times New Roman" w:eastAsia="仿宋"/>
                <w:kern w:val="0"/>
                <w:sz w:val="22"/>
              </w:rPr>
              <w:t>日</w:t>
            </w:r>
            <w:r>
              <w:rPr>
                <w:rFonts w:ascii="Times New Roman" w:hAnsi="Times New Roman" w:eastAsia="仿宋"/>
                <w:kern w:val="0"/>
                <w:sz w:val="22"/>
              </w:rPr>
              <w:t xml:space="preserve">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rPr>
              <w:t>76.53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olor w:val="000000" w:themeColor="text1"/>
                <w:kern w:val="0"/>
                <w:sz w:val="22"/>
              </w:rPr>
            </w:pPr>
            <w:r>
              <w:rPr>
                <w:rFonts w:ascii="Times New Roman" w:hAnsi="Times New Roman" w:eastAsia="仿宋"/>
                <w:color w:val="000000" w:themeColor="text1"/>
                <w:kern w:val="0"/>
                <w:sz w:val="22"/>
              </w:rPr>
              <w:t>1</w:t>
            </w:r>
            <w:r>
              <w:rPr>
                <w:rFonts w:hint="eastAsia" w:ascii="Times New Roman" w:hAnsi="Times New Roman" w:eastAsia="仿宋"/>
                <w:color w:val="000000" w:themeColor="text1"/>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olor w:val="000000" w:themeColor="text1"/>
                <w:kern w:val="0"/>
                <w:sz w:val="22"/>
              </w:rPr>
            </w:pPr>
            <w:r>
              <w:rPr>
                <w:rFonts w:hint="eastAsia" w:ascii="Times New Roman" w:hAnsi="Times New Roman" w:eastAsia="仿宋"/>
                <w:color w:val="000000" w:themeColor="text1"/>
                <w:kern w:val="0"/>
                <w:sz w:val="22"/>
              </w:rPr>
              <w:t>1774</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olor w:val="000000" w:themeColor="text1"/>
                <w:kern w:val="0"/>
                <w:sz w:val="22"/>
              </w:rPr>
            </w:pPr>
            <w:r>
              <w:rPr>
                <w:rFonts w:hint="eastAsia" w:ascii="Times New Roman" w:hAnsi="Times New Roman" w:eastAsia="仿宋"/>
                <w:color w:val="000000" w:themeColor="text1"/>
                <w:kern w:val="0"/>
                <w:sz w:val="22"/>
              </w:rPr>
              <w:t>23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olor w:val="000000" w:themeColor="text1"/>
                <w:kern w:val="0"/>
                <w:sz w:val="22"/>
              </w:rPr>
            </w:pPr>
            <w:r>
              <w:rPr>
                <w:rFonts w:ascii="Times New Roman" w:hAnsi="Times New Roman" w:eastAsia="仿宋"/>
                <w:color w:val="000000" w:themeColor="text1"/>
                <w:kern w:val="0"/>
                <w:sz w:val="22"/>
              </w:rPr>
              <w:t xml:space="preserve">  </w:t>
            </w:r>
            <w:r>
              <w:rPr>
                <w:rFonts w:hint="eastAsia" w:ascii="Times New Roman" w:hAnsi="Times New Roman" w:eastAsia="仿宋"/>
                <w:color w:val="000000" w:themeColor="text1"/>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olor w:val="000000" w:themeColor="text1"/>
                <w:kern w:val="0"/>
                <w:sz w:val="22"/>
              </w:rPr>
            </w:pPr>
            <w:r>
              <w:rPr>
                <w:rFonts w:hint="eastAsia" w:ascii="Times New Roman" w:hAnsi="Times New Roman" w:eastAsia="仿宋"/>
                <w:color w:val="000000" w:themeColor="text1"/>
                <w:kern w:val="0"/>
                <w:sz w:val="22"/>
              </w:rPr>
              <w:t>1774</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olor w:val="000000" w:themeColor="text1"/>
                <w:kern w:val="0"/>
                <w:sz w:val="22"/>
              </w:rPr>
            </w:pPr>
            <w:r>
              <w:rPr>
                <w:rFonts w:hint="eastAsia" w:ascii="Times New Roman" w:hAnsi="Times New Roman" w:eastAsia="仿宋"/>
                <w:color w:val="000000" w:themeColor="text1"/>
                <w:kern w:val="0"/>
                <w:sz w:val="22"/>
              </w:rPr>
              <w:t>23</w:t>
            </w:r>
          </w:p>
          <w:p>
            <w:pPr>
              <w:widowControl/>
              <w:jc w:val="center"/>
              <w:rPr>
                <w:rFonts w:ascii="Times New Roman" w:hAnsi="Times New Roman" w:eastAsia="仿宋"/>
                <w:color w:val="000000" w:themeColor="text1"/>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olor w:val="000000" w:themeColor="text1"/>
                <w:kern w:val="0"/>
                <w:sz w:val="22"/>
              </w:rPr>
            </w:pPr>
            <w:r>
              <w:rPr>
                <w:rFonts w:ascii="Times New Roman" w:hAnsi="Times New Roman" w:eastAsia="仿宋"/>
                <w:color w:val="000000" w:themeColor="text1"/>
                <w:kern w:val="0"/>
                <w:sz w:val="22"/>
              </w:rPr>
              <w:t>2</w:t>
            </w:r>
            <w:r>
              <w:rPr>
                <w:rFonts w:hint="eastAsia" w:ascii="Times New Roman" w:hAnsi="Times New Roman" w:eastAsia="仿宋"/>
                <w:color w:val="000000" w:themeColor="text1"/>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olor w:val="000000" w:themeColor="text1"/>
                <w:kern w:val="0"/>
                <w:sz w:val="22"/>
              </w:rPr>
            </w:pPr>
            <w:r>
              <w:rPr>
                <w:rFonts w:hint="eastAsia" w:ascii="Times New Roman" w:hAnsi="Times New Roman" w:eastAsia="仿宋"/>
                <w:color w:val="000000" w:themeColor="text1"/>
                <w:kern w:val="0"/>
                <w:sz w:val="22"/>
              </w:rPr>
              <w:t>3</w:t>
            </w:r>
          </w:p>
        </w:tc>
        <w:tc>
          <w:tcPr>
            <w:tcW w:w="5103" w:type="dxa"/>
            <w:tcBorders>
              <w:top w:val="nil"/>
              <w:left w:val="nil"/>
              <w:bottom w:val="single" w:color="auto" w:sz="4" w:space="0"/>
              <w:right w:val="single" w:color="auto" w:sz="4" w:space="0"/>
            </w:tcBorders>
            <w:vAlign w:val="center"/>
          </w:tcPr>
          <w:p>
            <w:pPr>
              <w:widowControl/>
              <w:ind w:firstLine="2310" w:firstLineChars="1050"/>
              <w:rPr>
                <w:rFonts w:ascii="Times New Roman" w:hAnsi="Times New Roman" w:eastAsia="仿宋"/>
                <w:color w:val="000000" w:themeColor="text1"/>
                <w:kern w:val="0"/>
                <w:sz w:val="22"/>
              </w:rPr>
            </w:pPr>
            <w:r>
              <w:rPr>
                <w:rFonts w:hint="eastAsia" w:ascii="Times New Roman" w:hAnsi="Times New Roman" w:eastAsia="仿宋"/>
                <w:color w:val="000000" w:themeColor="text1"/>
                <w:kern w:val="0"/>
                <w:sz w:val="22"/>
              </w:rPr>
              <w:t>34.55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nil"/>
              <w:right w:val="single" w:color="auto" w:sz="4" w:space="0"/>
            </w:tcBorders>
            <w:vAlign w:val="center"/>
          </w:tcPr>
          <w:p>
            <w:pPr>
              <w:widowControl/>
              <w:jc w:val="left"/>
              <w:rPr>
                <w:rFonts w:ascii="Times New Roman" w:hAnsi="Times New Roman" w:eastAsia="仿宋"/>
                <w:color w:val="000000" w:themeColor="text1"/>
                <w:kern w:val="0"/>
                <w:sz w:val="22"/>
              </w:rPr>
            </w:pPr>
            <w:r>
              <w:rPr>
                <w:rFonts w:ascii="Times New Roman" w:hAnsi="Times New Roman" w:eastAsia="仿宋"/>
                <w:color w:val="000000" w:themeColor="text1"/>
                <w:kern w:val="0"/>
                <w:sz w:val="22"/>
              </w:rPr>
              <w:t>4</w:t>
            </w:r>
            <w:r>
              <w:rPr>
                <w:rFonts w:hint="eastAsia" w:ascii="Times New Roman" w:hAnsi="Times New Roman" w:eastAsia="仿宋"/>
                <w:color w:val="000000" w:themeColor="text1"/>
                <w:kern w:val="0"/>
                <w:sz w:val="22"/>
              </w:rPr>
              <w:t>、其他固定资产</w:t>
            </w:r>
          </w:p>
        </w:tc>
        <w:tc>
          <w:tcPr>
            <w:tcW w:w="3155" w:type="dxa"/>
            <w:tcBorders>
              <w:top w:val="nil"/>
              <w:left w:val="nil"/>
              <w:bottom w:val="nil"/>
              <w:right w:val="single" w:color="auto" w:sz="4" w:space="0"/>
            </w:tcBorders>
            <w:vAlign w:val="center"/>
          </w:tcPr>
          <w:p>
            <w:pPr>
              <w:widowControl/>
              <w:jc w:val="center"/>
              <w:rPr>
                <w:rFonts w:ascii="Times New Roman" w:hAnsi="Times New Roman" w:eastAsia="仿宋"/>
                <w:color w:val="000000" w:themeColor="text1"/>
                <w:kern w:val="0"/>
                <w:sz w:val="22"/>
              </w:rPr>
            </w:pPr>
            <w:r>
              <w:rPr>
                <w:rFonts w:ascii="Times New Roman" w:hAnsi="Times New Roman" w:eastAsia="仿宋"/>
                <w:color w:val="000000" w:themeColor="text1"/>
                <w:kern w:val="0"/>
                <w:sz w:val="22"/>
              </w:rPr>
              <w:t>——</w:t>
            </w:r>
          </w:p>
        </w:tc>
        <w:tc>
          <w:tcPr>
            <w:tcW w:w="5103" w:type="dxa"/>
            <w:tcBorders>
              <w:top w:val="nil"/>
              <w:left w:val="nil"/>
              <w:bottom w:val="nil"/>
              <w:right w:val="single" w:color="auto" w:sz="4" w:space="0"/>
            </w:tcBorders>
            <w:vAlign w:val="center"/>
          </w:tcPr>
          <w:p>
            <w:pPr>
              <w:widowControl/>
              <w:jc w:val="center"/>
              <w:rPr>
                <w:rFonts w:ascii="Times New Roman" w:hAnsi="Times New Roman" w:eastAsia="仿宋"/>
                <w:color w:val="000000" w:themeColor="text1"/>
                <w:kern w:val="0"/>
                <w:sz w:val="22"/>
              </w:rPr>
            </w:pPr>
            <w:r>
              <w:rPr>
                <w:rFonts w:hint="eastAsia" w:ascii="Times New Roman" w:hAnsi="Times New Roman" w:eastAsia="仿宋"/>
                <w:color w:val="000000" w:themeColor="text1"/>
                <w:kern w:val="0"/>
                <w:sz w:val="22"/>
              </w:rPr>
              <w:t>18.98</w:t>
            </w:r>
          </w:p>
        </w:tc>
      </w:tr>
    </w:tbl>
    <w:p>
      <w:pPr>
        <w:spacing w:line="610" w:lineRule="exact"/>
        <w:ind w:firstLine="640"/>
        <w:rPr>
          <w:rFonts w:ascii="仿宋_GB2312" w:hAnsi="仿宋_GB2312" w:eastAsia="仿宋_GB2312" w:cs="仿宋_GB2312"/>
          <w:color w:val="FF0000"/>
          <w:sz w:val="32"/>
          <w:szCs w:val="32"/>
        </w:rPr>
      </w:pPr>
    </w:p>
    <w:p>
      <w:pPr>
        <w:numPr>
          <w:ilvl w:val="0"/>
          <w:numId w:val="4"/>
        </w:numPr>
        <w:spacing w:line="610" w:lineRule="exact"/>
        <w:ind w:firstLine="640"/>
        <w:rPr>
          <w:rFonts w:ascii="黑体" w:hAnsi="黑体" w:eastAsia="黑体" w:cs="黑体"/>
          <w:sz w:val="32"/>
          <w:szCs w:val="32"/>
        </w:rPr>
      </w:pPr>
      <w:r>
        <w:rPr>
          <w:rFonts w:hint="eastAsia" w:ascii="黑体" w:hAnsi="黑体" w:eastAsia="黑体" w:cs="黑体"/>
          <w:sz w:val="32"/>
          <w:szCs w:val="32"/>
        </w:rPr>
        <w:t>名词解释</w:t>
      </w:r>
    </w:p>
    <w:p>
      <w:pPr>
        <w:spacing w:line="61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财政拨款收入：</w:t>
      </w:r>
      <w:r>
        <w:rPr>
          <w:rFonts w:hint="eastAsia" w:ascii="仿宋_GB2312" w:hAnsi="仿宋_GB2312" w:eastAsia="仿宋_GB2312" w:cs="仿宋_GB2312"/>
          <w:sz w:val="32"/>
          <w:szCs w:val="32"/>
        </w:rPr>
        <w:t>指从本级财政当年拨付给部门的资金。</w:t>
      </w:r>
      <w:r>
        <w:rPr>
          <w:rFonts w:ascii="仿宋_GB2312" w:hAnsi="仿宋_GB2312" w:eastAsia="仿宋_GB2312" w:cs="仿宋_GB2312"/>
          <w:sz w:val="32"/>
          <w:szCs w:val="32"/>
        </w:rPr>
        <w:t xml:space="preserve"> </w:t>
      </w:r>
    </w:p>
    <w:p>
      <w:pPr>
        <w:spacing w:line="6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基本支出：</w:t>
      </w:r>
      <w:r>
        <w:rPr>
          <w:rFonts w:hint="eastAsia" w:ascii="仿宋_GB2312" w:hAnsi="仿宋_GB2312" w:eastAsia="仿宋_GB2312" w:cs="仿宋_GB2312"/>
          <w:sz w:val="32"/>
          <w:szCs w:val="32"/>
        </w:rPr>
        <w:t>指为保障机构正常运转、完成日常工作任务而发生的人员支出和公用支出。</w:t>
      </w:r>
      <w:r>
        <w:rPr>
          <w:rFonts w:ascii="仿宋_GB2312" w:hAnsi="仿宋_GB2312" w:eastAsia="仿宋_GB2312" w:cs="仿宋_GB2312"/>
          <w:sz w:val="32"/>
          <w:szCs w:val="32"/>
        </w:rPr>
        <w:t xml:space="preserve"> </w:t>
      </w:r>
    </w:p>
    <w:p>
      <w:pPr>
        <w:spacing w:line="6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指政府部门用财政拨款安排的因公出国（境）费，公务用车购置及运行费和公务接待费。</w:t>
      </w:r>
      <w:r>
        <w:rPr>
          <w:rFonts w:ascii="仿宋_GB2312" w:hAnsi="仿宋_GB2312" w:eastAsia="仿宋_GB2312" w:cs="仿宋_GB2312"/>
          <w:sz w:val="32"/>
          <w:szCs w:val="32"/>
        </w:rPr>
        <w:t xml:space="preserve"> </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机关运行经费：</w:t>
      </w:r>
      <w:r>
        <w:rPr>
          <w:rFonts w:hint="eastAsia" w:ascii="仿宋_GB2312" w:hAnsi="仿宋_GB2312" w:eastAsia="仿宋_GB2312" w:cs="仿宋_GB2312"/>
          <w:sz w:val="32"/>
          <w:szCs w:val="32"/>
        </w:rPr>
        <w:t>指为保障单位运行用于购买货物和服务的各项资金，包括办公及印刷费、邮电费、差旅费、会议费、福利费、日常维修费、专用材料及一般设备购置费、办公用房水电费、办公用房取暖费、办公用房物业管理费以及其他费用。</w:t>
      </w:r>
      <w:r>
        <w:rPr>
          <w:rFonts w:ascii="仿宋_GB2312" w:hAnsi="仿宋_GB2312" w:eastAsia="仿宋_GB2312" w:cs="仿宋_GB2312"/>
          <w:sz w:val="32"/>
          <w:szCs w:val="32"/>
        </w:rPr>
        <w:t xml:space="preserve"> </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绩效预算：</w:t>
      </w:r>
      <w:r>
        <w:rPr>
          <w:rFonts w:hint="eastAsia" w:ascii="仿宋_GB2312" w:hAnsi="仿宋_GB2312" w:eastAsia="仿宋_GB2312" w:cs="仿宋_GB2312"/>
          <w:sz w:val="32"/>
          <w:szCs w:val="32"/>
        </w:rPr>
        <w:t>就是政府首先制定有关的事业计划和工程计划，再依据政府职能和施政计划制定计划实施方案，并在成本效益分析的基础上确定实施方案所需费用来编制预算的一种方法。</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政府采购</w:t>
      </w:r>
      <w:r>
        <w:rPr>
          <w:rFonts w:hint="eastAsia" w:ascii="仿宋_GB2312" w:hAnsi="仿宋_GB2312" w:eastAsia="仿宋_GB2312" w:cs="仿宋_GB2312"/>
          <w:sz w:val="32"/>
          <w:szCs w:val="32"/>
        </w:rPr>
        <w:t>：指各级政府为从事日常的政务活动或为了满足公共服务的目的，利用财政性资金和政府借款购买货物、工程和服务的行为。</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九、</w:t>
      </w:r>
      <w:r>
        <w:rPr>
          <w:rFonts w:hint="eastAsia" w:ascii="仿宋_GB2312" w:hAnsi="仿宋_GB2312" w:eastAsia="仿宋_GB2312" w:cs="仿宋_GB2312"/>
          <w:sz w:val="32"/>
          <w:szCs w:val="32"/>
        </w:rPr>
        <w:t>其他需要说明的事项</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无       </w:t>
      </w:r>
    </w:p>
    <w:sectPr>
      <w:pgSz w:w="16838" w:h="11906" w:orient="landscape"/>
      <w:pgMar w:top="1418" w:right="1440" w:bottom="1418"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B16C1"/>
    <w:multiLevelType w:val="multilevel"/>
    <w:tmpl w:val="002B16C1"/>
    <w:lvl w:ilvl="0" w:tentative="0">
      <w:start w:val="4"/>
      <w:numFmt w:val="japaneseCounting"/>
      <w:lvlText w:val="%1、"/>
      <w:lvlJc w:val="left"/>
      <w:pPr>
        <w:tabs>
          <w:tab w:val="left" w:pos="1520"/>
        </w:tabs>
        <w:ind w:left="1520" w:hanging="720"/>
      </w:pPr>
      <w:rPr>
        <w:rFonts w:hint="default" w:cs="Times New Roman"/>
      </w:rPr>
    </w:lvl>
    <w:lvl w:ilvl="1" w:tentative="0">
      <w:start w:val="1"/>
      <w:numFmt w:val="lowerLetter"/>
      <w:lvlText w:val="%2)"/>
      <w:lvlJc w:val="left"/>
      <w:pPr>
        <w:tabs>
          <w:tab w:val="left" w:pos="1640"/>
        </w:tabs>
        <w:ind w:left="1640" w:hanging="420"/>
      </w:pPr>
      <w:rPr>
        <w:rFonts w:cs="Times New Roman"/>
      </w:rPr>
    </w:lvl>
    <w:lvl w:ilvl="2" w:tentative="0">
      <w:start w:val="1"/>
      <w:numFmt w:val="lowerRoman"/>
      <w:lvlText w:val="%3."/>
      <w:lvlJc w:val="right"/>
      <w:pPr>
        <w:tabs>
          <w:tab w:val="left" w:pos="2060"/>
        </w:tabs>
        <w:ind w:left="2060" w:hanging="420"/>
      </w:pPr>
      <w:rPr>
        <w:rFonts w:cs="Times New Roman"/>
      </w:rPr>
    </w:lvl>
    <w:lvl w:ilvl="3" w:tentative="0">
      <w:start w:val="1"/>
      <w:numFmt w:val="decimal"/>
      <w:lvlText w:val="%4."/>
      <w:lvlJc w:val="left"/>
      <w:pPr>
        <w:tabs>
          <w:tab w:val="left" w:pos="2480"/>
        </w:tabs>
        <w:ind w:left="2480" w:hanging="420"/>
      </w:pPr>
      <w:rPr>
        <w:rFonts w:cs="Times New Roman"/>
      </w:rPr>
    </w:lvl>
    <w:lvl w:ilvl="4" w:tentative="0">
      <w:start w:val="1"/>
      <w:numFmt w:val="lowerLetter"/>
      <w:lvlText w:val="%5)"/>
      <w:lvlJc w:val="left"/>
      <w:pPr>
        <w:tabs>
          <w:tab w:val="left" w:pos="2900"/>
        </w:tabs>
        <w:ind w:left="2900" w:hanging="420"/>
      </w:pPr>
      <w:rPr>
        <w:rFonts w:cs="Times New Roman"/>
      </w:rPr>
    </w:lvl>
    <w:lvl w:ilvl="5" w:tentative="0">
      <w:start w:val="1"/>
      <w:numFmt w:val="lowerRoman"/>
      <w:lvlText w:val="%6."/>
      <w:lvlJc w:val="right"/>
      <w:pPr>
        <w:tabs>
          <w:tab w:val="left" w:pos="3320"/>
        </w:tabs>
        <w:ind w:left="3320" w:hanging="420"/>
      </w:pPr>
      <w:rPr>
        <w:rFonts w:cs="Times New Roman"/>
      </w:rPr>
    </w:lvl>
    <w:lvl w:ilvl="6" w:tentative="0">
      <w:start w:val="1"/>
      <w:numFmt w:val="decimal"/>
      <w:lvlText w:val="%7."/>
      <w:lvlJc w:val="left"/>
      <w:pPr>
        <w:tabs>
          <w:tab w:val="left" w:pos="3740"/>
        </w:tabs>
        <w:ind w:left="3740" w:hanging="420"/>
      </w:pPr>
      <w:rPr>
        <w:rFonts w:cs="Times New Roman"/>
      </w:rPr>
    </w:lvl>
    <w:lvl w:ilvl="7" w:tentative="0">
      <w:start w:val="1"/>
      <w:numFmt w:val="lowerLetter"/>
      <w:lvlText w:val="%8)"/>
      <w:lvlJc w:val="left"/>
      <w:pPr>
        <w:tabs>
          <w:tab w:val="left" w:pos="4160"/>
        </w:tabs>
        <w:ind w:left="4160" w:hanging="420"/>
      </w:pPr>
      <w:rPr>
        <w:rFonts w:cs="Times New Roman"/>
      </w:rPr>
    </w:lvl>
    <w:lvl w:ilvl="8" w:tentative="0">
      <w:start w:val="1"/>
      <w:numFmt w:val="lowerRoman"/>
      <w:lvlText w:val="%9."/>
      <w:lvlJc w:val="right"/>
      <w:pPr>
        <w:tabs>
          <w:tab w:val="left" w:pos="4580"/>
        </w:tabs>
        <w:ind w:left="4580" w:hanging="420"/>
      </w:pPr>
      <w:rPr>
        <w:rFonts w:cs="Times New Roman"/>
      </w:rPr>
    </w:lvl>
  </w:abstractNum>
  <w:abstractNum w:abstractNumId="1">
    <w:nsid w:val="58D1D9B3"/>
    <w:multiLevelType w:val="singleLevel"/>
    <w:tmpl w:val="58D1D9B3"/>
    <w:lvl w:ilvl="0" w:tentative="0">
      <w:start w:val="1"/>
      <w:numFmt w:val="chineseCounting"/>
      <w:suff w:val="nothing"/>
      <w:lvlText w:val="%1、"/>
      <w:lvlJc w:val="left"/>
      <w:rPr>
        <w:rFonts w:cs="Times New Roman"/>
      </w:rPr>
    </w:lvl>
  </w:abstractNum>
  <w:abstractNum w:abstractNumId="2">
    <w:nsid w:val="58D1E27E"/>
    <w:multiLevelType w:val="singleLevel"/>
    <w:tmpl w:val="58D1E27E"/>
    <w:lvl w:ilvl="0" w:tentative="0">
      <w:start w:val="1"/>
      <w:numFmt w:val="chineseCounting"/>
      <w:suff w:val="nothing"/>
      <w:lvlText w:val="（%1）"/>
      <w:lvlJc w:val="left"/>
      <w:rPr>
        <w:rFonts w:cs="Times New Roman"/>
      </w:rPr>
    </w:lvl>
  </w:abstractNum>
  <w:abstractNum w:abstractNumId="3">
    <w:nsid w:val="58D23527"/>
    <w:multiLevelType w:val="singleLevel"/>
    <w:tmpl w:val="58D23527"/>
    <w:lvl w:ilvl="0" w:tentative="0">
      <w:start w:val="6"/>
      <w:numFmt w:val="chineseCounting"/>
      <w:suff w:val="nothing"/>
      <w:lvlText w:val="%1、"/>
      <w:lvlJc w:val="left"/>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15C0"/>
    <w:rsid w:val="00054197"/>
    <w:rsid w:val="00080829"/>
    <w:rsid w:val="00096DF1"/>
    <w:rsid w:val="000A60F7"/>
    <w:rsid w:val="000E54A7"/>
    <w:rsid w:val="00152970"/>
    <w:rsid w:val="00172A27"/>
    <w:rsid w:val="001F1129"/>
    <w:rsid w:val="001F5A56"/>
    <w:rsid w:val="00211A3E"/>
    <w:rsid w:val="002621BA"/>
    <w:rsid w:val="00263771"/>
    <w:rsid w:val="00281C1F"/>
    <w:rsid w:val="002B4FA9"/>
    <w:rsid w:val="002F64A2"/>
    <w:rsid w:val="00336ADD"/>
    <w:rsid w:val="003B7D92"/>
    <w:rsid w:val="003C6709"/>
    <w:rsid w:val="004028E1"/>
    <w:rsid w:val="00415DA5"/>
    <w:rsid w:val="004C2792"/>
    <w:rsid w:val="004D5EF8"/>
    <w:rsid w:val="005271CA"/>
    <w:rsid w:val="00545630"/>
    <w:rsid w:val="005A7709"/>
    <w:rsid w:val="005D0DBE"/>
    <w:rsid w:val="00662ABD"/>
    <w:rsid w:val="00665D3A"/>
    <w:rsid w:val="006E40D3"/>
    <w:rsid w:val="00783A3A"/>
    <w:rsid w:val="007A0E61"/>
    <w:rsid w:val="008A61D0"/>
    <w:rsid w:val="00904164"/>
    <w:rsid w:val="009F1DF5"/>
    <w:rsid w:val="00A173C2"/>
    <w:rsid w:val="00A64C07"/>
    <w:rsid w:val="00B16DE3"/>
    <w:rsid w:val="00B9470C"/>
    <w:rsid w:val="00B97D18"/>
    <w:rsid w:val="00BB5BC3"/>
    <w:rsid w:val="00BB6035"/>
    <w:rsid w:val="00BE545D"/>
    <w:rsid w:val="00C006BF"/>
    <w:rsid w:val="00C45666"/>
    <w:rsid w:val="00C45C46"/>
    <w:rsid w:val="00CF6476"/>
    <w:rsid w:val="00D30940"/>
    <w:rsid w:val="00D32BA3"/>
    <w:rsid w:val="00D674E8"/>
    <w:rsid w:val="00E22464"/>
    <w:rsid w:val="00E233F1"/>
    <w:rsid w:val="00E6469C"/>
    <w:rsid w:val="00E84130"/>
    <w:rsid w:val="00F010B8"/>
    <w:rsid w:val="00F03939"/>
    <w:rsid w:val="00F647D8"/>
    <w:rsid w:val="00F7277F"/>
    <w:rsid w:val="00FA6C61"/>
    <w:rsid w:val="00FE2A86"/>
    <w:rsid w:val="02895CF3"/>
    <w:rsid w:val="2922004A"/>
    <w:rsid w:val="29293F13"/>
    <w:rsid w:val="2CC42D88"/>
    <w:rsid w:val="3A2B1507"/>
    <w:rsid w:val="463745DF"/>
    <w:rsid w:val="561273BB"/>
    <w:rsid w:val="643F4357"/>
    <w:rsid w:val="691A7322"/>
    <w:rsid w:val="6A36147E"/>
    <w:rsid w:val="7D5E5A0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Normal]"/>
    <w:qFormat/>
    <w:uiPriority w:val="99"/>
    <w:pPr>
      <w:widowControl w:val="0"/>
      <w:autoSpaceDE w:val="0"/>
      <w:autoSpaceDN w:val="0"/>
      <w:adjustRightInd w:val="0"/>
    </w:pPr>
    <w:rPr>
      <w:rFonts w:ascii="宋体" w:hAnsi="宋体" w:eastAsia="宋体" w:cs="Times New Roman"/>
      <w:sz w:val="24"/>
      <w:lang w:val="en-US" w:eastAsia="zh-CN" w:bidi="ar-SA"/>
    </w:rPr>
  </w:style>
  <w:style w:type="character" w:customStyle="1" w:styleId="8">
    <w:name w:val="批注框文本 Char"/>
    <w:basedOn w:val="6"/>
    <w:link w:val="2"/>
    <w:semiHidden/>
    <w:qFormat/>
    <w:uiPriority w:val="99"/>
    <w:rPr>
      <w:rFonts w:ascii="Calibri" w:hAnsi="Calibri"/>
      <w:sz w:val="18"/>
      <w:szCs w:val="18"/>
    </w:rPr>
  </w:style>
  <w:style w:type="character" w:customStyle="1" w:styleId="9">
    <w:name w:val="页眉 Char"/>
    <w:basedOn w:val="6"/>
    <w:link w:val="4"/>
    <w:semiHidden/>
    <w:qFormat/>
    <w:uiPriority w:val="99"/>
    <w:rPr>
      <w:rFonts w:ascii="Calibri" w:hAnsi="Calibri"/>
      <w:sz w:val="18"/>
      <w:szCs w:val="18"/>
    </w:rPr>
  </w:style>
  <w:style w:type="character" w:customStyle="1" w:styleId="10">
    <w:name w:val="页脚 Char"/>
    <w:basedOn w:val="6"/>
    <w:link w:val="3"/>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4051</Words>
  <Characters>4390</Characters>
  <Lines>33</Lines>
  <Paragraphs>9</Paragraphs>
  <TotalTime>1152</TotalTime>
  <ScaleCrop>false</ScaleCrop>
  <LinksUpToDate>false</LinksUpToDate>
  <CharactersWithSpaces>4434</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2018-08-23T08:58:00Z</dcterms:created>
  <dc:creator>Stela</dc:creator>
  <cp:lastModifiedBy>Administrator</cp:lastModifiedBy>
  <cp:lastPrinted>2018-08-27T02:37:00Z</cp:lastPrinted>
  <dcterms:modified xsi:type="dcterms:W3CDTF">2024-04-10T05:45:50Z</dcterms:modified>
  <dc:title>中共沙河市委党校</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BA584010E2CF41288D346C9CFB8F7FE7</vt:lpwstr>
  </property>
</Properties>
</file>