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eastAsia="宋体" w:cs="宋体"/>
          <w:b/>
          <w:sz w:val="44"/>
        </w:rPr>
      </w:pPr>
      <w:r>
        <w:rPr>
          <w:rFonts w:ascii="宋体" w:hAnsi="宋体" w:eastAsia="宋体" w:cs="宋体"/>
          <w:b/>
          <w:sz w:val="44"/>
        </w:rPr>
        <w:t>沙河市城市管理综合行政执法局</w:t>
      </w:r>
    </w:p>
    <w:p>
      <w:pPr>
        <w:spacing w:line="480" w:lineRule="auto"/>
        <w:jc w:val="center"/>
        <w:rPr>
          <w:rFonts w:ascii="宋体" w:hAnsi="宋体" w:eastAsia="宋体" w:cs="宋体"/>
          <w:b/>
          <w:sz w:val="44"/>
        </w:rPr>
      </w:pPr>
      <w:r>
        <w:rPr>
          <w:rFonts w:hint="eastAsia" w:ascii="宋体" w:hAnsi="宋体" w:eastAsia="宋体" w:cs="宋体"/>
          <w:b/>
          <w:sz w:val="44"/>
        </w:rPr>
        <w:t>202</w:t>
      </w:r>
      <w:r>
        <w:rPr>
          <w:rFonts w:ascii="宋体" w:hAnsi="宋体" w:eastAsia="宋体" w:cs="宋体"/>
          <w:b/>
          <w:sz w:val="44"/>
        </w:rPr>
        <w:t>1</w:t>
      </w:r>
      <w:r>
        <w:rPr>
          <w:rFonts w:hint="eastAsia" w:ascii="宋体" w:hAnsi="宋体" w:eastAsia="宋体" w:cs="宋体"/>
          <w:b/>
          <w:sz w:val="44"/>
        </w:rPr>
        <w:t>年</w:t>
      </w:r>
      <w:r>
        <w:rPr>
          <w:rFonts w:ascii="宋体" w:hAnsi="宋体" w:eastAsia="宋体" w:cs="宋体"/>
          <w:b/>
          <w:sz w:val="44"/>
        </w:rPr>
        <w:t>部门整体支出绩效评价</w:t>
      </w:r>
    </w:p>
    <w:p>
      <w:pPr>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部门</w:t>
      </w:r>
      <w:r>
        <w:rPr>
          <w:rFonts w:ascii="Calibri" w:hAnsi="Calibri" w:eastAsia="方正仿宋_GBK" w:cs="Times New Roman"/>
          <w:b/>
          <w:sz w:val="32"/>
          <w:szCs w:val="32"/>
        </w:rPr>
        <w:t>职责：</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（一）贯彻执行国家、省和邢台市城市管理方面的方针、政策和法律、法规。拟订全市城市管理方面发展规划并组织实施；研究提出城市管理方面重大问题的政策建议。</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（二）指导全市城市管理工作，拟</w:t>
      </w:r>
      <w:r>
        <w:rPr>
          <w:rFonts w:hint="eastAsia" w:ascii="仿宋_GB2312" w:hAnsi="Calibri" w:eastAsia="仿宋_GB2312" w:cs="Times New Roman"/>
          <w:sz w:val="32"/>
          <w:szCs w:val="32"/>
          <w:lang w:val="en-US" w:eastAsia="zh-CN"/>
        </w:rPr>
        <w:t>定</w:t>
      </w:r>
      <w:r>
        <w:rPr>
          <w:rFonts w:hint="eastAsia" w:ascii="仿宋_GB2312" w:hAnsi="Calibri" w:eastAsia="仿宋_GB2312" w:cs="Times New Roman"/>
          <w:sz w:val="32"/>
          <w:szCs w:val="32"/>
        </w:rPr>
        <w:t>城市管理的规范、标准、政策并组织实施；参与指导城市市容环卫、生活垃圾处置、园林绿化专业规划的编制和实施；指导城市市容市貌、环境卫生、生活垃圾清理和处理、环境综合整治工作；指导数字化城市管理工作。负</w:t>
      </w:r>
      <w:r>
        <w:rPr>
          <w:rFonts w:hint="eastAsia" w:ascii="仿宋_GB2312" w:hAnsi="黑体" w:eastAsia="仿宋_GB2312" w:cs="Times New Roman"/>
          <w:sz w:val="32"/>
          <w:szCs w:val="32"/>
        </w:rPr>
        <w:t>责对全市城市管理工作的业务指导、监督检查和考核评价</w:t>
      </w:r>
      <w:r>
        <w:rPr>
          <w:rFonts w:hint="eastAsia" w:ascii="仿宋_GB2312" w:hAnsi="Calibri" w:eastAsia="仿宋_GB2312" w:cs="Times New Roman"/>
          <w:sz w:val="32"/>
          <w:szCs w:val="32"/>
        </w:rPr>
        <w:t>。</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（三）负责城市环境卫生管理。负责城市环卫设施建设和维护的管理工作；负责城市建筑垃圾的处置和管理工作；负责城市消毒杀虫灭鼠工作；负责道路扬尘整治；负责故河道管理。</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负责城市园林绿化管理。参与制定城市绿化规划；指导城市公园和园林绿化建设管理；指导城市园林水域安全监管工作；负责市区园林设施建设和维护的管理工作；指导市区风景林地的管护工作。负责园林城市和生态园林城市创建工作；承担城镇古树名木保护工作；会同有关部门负责历史文化名城的保护和监督管理工作。</w:t>
      </w:r>
    </w:p>
    <w:p>
      <w:pPr>
        <w:spacing w:line="600" w:lineRule="exact"/>
        <w:ind w:firstLine="640" w:firstLineChars="200"/>
        <w:rPr>
          <w:rFonts w:ascii="仿宋_GB2312" w:hAnsi="Calibri" w:eastAsia="仿宋_GB2312" w:cs="Times New Roman"/>
          <w:strike/>
          <w:sz w:val="32"/>
          <w:szCs w:val="32"/>
        </w:rPr>
      </w:pPr>
      <w:r>
        <w:rPr>
          <w:rFonts w:hint="eastAsia" w:ascii="仿宋_GB2312" w:hAnsi="Calibri" w:eastAsia="仿宋_GB2312" w:cs="Times New Roman"/>
          <w:sz w:val="32"/>
          <w:szCs w:val="32"/>
        </w:rPr>
        <w:t>（五）指导城市公用设施运行管理。指导城市市政公用设施安全运行；指导城市公共供水、节水、排水防涝、道路桥梁、照明设施运行管理工作；指导城市生活污水处理设施和管网配套建设及运行管理；指导城镇燃气、城市集中供热等设施的建设和运行管理；指导燃气、热力行业完善落实安全管理制度；负责市政公用设施运行管理的监督检查和考核评价；指导建制镇生活垃圾及农村生活垃圾收运处置体系建设。</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（六）负责城市容貌秩序管理。负责城市容貌、户外广告设置、门头牌匾及城市街道家具管理和露天烧烤整治工作。</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（七）负责城市车辆停放管理。负责公共自行车建设管理、机动车及非机动车停放管理、机动车停车场及临时泊位设置管理工作。</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（八）负责城区防汛应急管理；负责城市道路清融雪、公园和广场应急避难场所建设管理；负责城市道路、桥梁、照明、园林绿化的应急保障和供水、燃气、供热、污水处理的应急指导。</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九）认真落实中央、省、邢台市和沙河市关于加强综合执法工作的部署要求，继续深入推动城市管理跨领域跨部门综合执法，推进城市管理领域行政处罚权相对集中。按照集中的范围，集中行使市容环境卫生、市政、绿化、供水、燃气、供热用热、排水与污水处理、公安交通、环境保护、市场监管、水务等城市管理方面的行政处罚权及有关行政强制措施。</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（十）负责城管综合行政执法监督。指导全市城管执法工作</w:t>
      </w:r>
      <w:r>
        <w:rPr>
          <w:rFonts w:hint="eastAsia" w:ascii="仿宋_GB2312" w:hAnsi="黑体" w:eastAsia="仿宋_GB2312" w:cs="Times New Roman"/>
          <w:sz w:val="32"/>
          <w:szCs w:val="32"/>
        </w:rPr>
        <w:t>；</w:t>
      </w:r>
      <w:r>
        <w:rPr>
          <w:rFonts w:hint="eastAsia" w:ascii="仿宋_GB2312" w:hAnsi="Calibri" w:eastAsia="仿宋_GB2312" w:cs="Times New Roman"/>
          <w:sz w:val="32"/>
          <w:szCs w:val="32"/>
        </w:rPr>
        <w:t>开展城管执法行为监督与考核；负责城市管理行政执法协调工作；负责城市管理行政执法中的投诉受理、应诉和行政复议工作；组织查处城市管理领域重大案件、跨区域案件以及依法应由市城管综合行政执法局实施行政处罚的案件。</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（十一）完成市委、市政府交办的其他任务。</w:t>
      </w:r>
    </w:p>
    <w:p>
      <w:pPr>
        <w:ind w:firstLine="643"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机构设置情况：</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（1）、内设机构4个，办公室、计划财务装备股、法规和监察股、工程管理股(公用事业股)。</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下属事业单位10个，其中全额事业单位5个,分别为市政维护中心、环境卫生维护中心、园林绿化维护中心（故河道维护中心）、综合执法大队（交通管理执法大队）、数字化城市管理服务中心。自收自支事业单位5个，分别为城市照明维护中心、建筑垃圾服务中心、公用事业中心、污水处理中心、污水处理厂。</w:t>
      </w:r>
    </w:p>
    <w:p>
      <w:pPr>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460" w:lineRule="exact"/>
        <w:ind w:firstLine="640" w:firstLineChars="200"/>
        <w:rPr>
          <w:rFonts w:ascii="宋体" w:hAnsi="宋体" w:eastAsia="宋体" w:cs="Times New Roman"/>
          <w:sz w:val="28"/>
          <w:szCs w:val="28"/>
        </w:rPr>
      </w:pPr>
      <w:r>
        <w:rPr>
          <w:rFonts w:hint="eastAsia" w:ascii="仿宋_GB2312" w:hAnsi="Calibri" w:eastAsia="仿宋_GB2312" w:cs="Times New Roman"/>
          <w:sz w:val="32"/>
          <w:szCs w:val="32"/>
        </w:rPr>
        <w:t>按照预算管理有关规定，目前我局部门预算的编制实行综合预算制度，即全部收入和支出都反映预算中。沙河市城市管理综合行政执法局机关及所属事业单位的收支包含在部门预算中。</w:t>
      </w:r>
    </w:p>
    <w:p>
      <w:pPr>
        <w:autoSpaceDE w:val="0"/>
        <w:autoSpaceDN w:val="0"/>
        <w:rPr>
          <w:rFonts w:ascii="仿宋" w:hAnsi="仿宋" w:eastAsia="仿宋" w:cs="Times New Roman"/>
          <w:b/>
          <w:bCs/>
          <w:sz w:val="32"/>
        </w:rPr>
      </w:pPr>
      <w:r>
        <w:rPr>
          <w:rFonts w:hint="eastAsia" w:ascii="仿宋" w:hAnsi="仿宋" w:eastAsia="仿宋" w:cs="Times New Roman"/>
          <w:sz w:val="32"/>
        </w:rPr>
        <w:t xml:space="preserve">     </w:t>
      </w:r>
      <w:r>
        <w:rPr>
          <w:rFonts w:hint="eastAsia" w:ascii="仿宋" w:hAnsi="仿宋" w:eastAsia="仿宋" w:cs="Times New Roman"/>
          <w:b/>
          <w:bCs/>
          <w:sz w:val="32"/>
        </w:rPr>
        <w:t>1、收入说明</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反映本部门当年全部收入。202</w:t>
      </w:r>
      <w:r>
        <w:rPr>
          <w:rFonts w:ascii="仿宋_GB2312" w:hAnsi="Calibri" w:eastAsia="仿宋_GB2312" w:cs="Times New Roman"/>
          <w:sz w:val="32"/>
          <w:szCs w:val="32"/>
        </w:rPr>
        <w:t>1</w:t>
      </w:r>
      <w:r>
        <w:rPr>
          <w:rFonts w:hint="eastAsia" w:ascii="仿宋_GB2312" w:hAnsi="Calibri" w:eastAsia="仿宋_GB2312" w:cs="Times New Roman"/>
          <w:sz w:val="32"/>
          <w:szCs w:val="32"/>
        </w:rPr>
        <w:t>年财政拨款预算收入</w:t>
      </w:r>
      <w:r>
        <w:rPr>
          <w:rFonts w:ascii="仿宋_GB2312" w:hAnsi="Calibri" w:eastAsia="仿宋_GB2312" w:cs="Times New Roman"/>
          <w:sz w:val="32"/>
          <w:szCs w:val="32"/>
        </w:rPr>
        <w:t>15093.41</w:t>
      </w:r>
      <w:r>
        <w:rPr>
          <w:rFonts w:hint="eastAsia" w:ascii="仿宋_GB2312" w:hAnsi="Calibri" w:eastAsia="仿宋_GB2312" w:cs="Times New Roman"/>
          <w:sz w:val="32"/>
          <w:szCs w:val="32"/>
        </w:rPr>
        <w:t>万元。</w:t>
      </w:r>
    </w:p>
    <w:p>
      <w:pPr>
        <w:autoSpaceDE w:val="0"/>
        <w:autoSpaceDN w:val="0"/>
        <w:rPr>
          <w:rFonts w:ascii="仿宋" w:hAnsi="仿宋" w:eastAsia="仿宋" w:cs="Times New Roman"/>
          <w:b/>
          <w:bCs/>
          <w:sz w:val="32"/>
        </w:rPr>
      </w:pPr>
      <w:r>
        <w:rPr>
          <w:rFonts w:hint="eastAsia" w:ascii="仿宋" w:hAnsi="仿宋" w:eastAsia="仿宋" w:cs="Times New Roman"/>
          <w:sz w:val="32"/>
        </w:rPr>
        <w:t xml:space="preserve">     </w:t>
      </w:r>
      <w:r>
        <w:rPr>
          <w:rFonts w:hint="eastAsia" w:ascii="仿宋" w:hAnsi="仿宋" w:eastAsia="仿宋" w:cs="Times New Roman"/>
          <w:b/>
          <w:bCs/>
          <w:sz w:val="32"/>
        </w:rPr>
        <w:t>2、支出说明</w:t>
      </w:r>
    </w:p>
    <w:p>
      <w:pPr>
        <w:spacing w:line="460" w:lineRule="exact"/>
        <w:ind w:firstLine="640" w:firstLineChars="200"/>
        <w:rPr>
          <w:rFonts w:ascii="仿宋" w:hAnsi="仿宋" w:eastAsia="仿宋" w:cs="仿宋"/>
          <w:kern w:val="0"/>
          <w:sz w:val="32"/>
          <w:szCs w:val="32"/>
          <w:shd w:val="clear" w:color="auto" w:fill="FFFFFF"/>
        </w:rPr>
      </w:pPr>
      <w:r>
        <w:rPr>
          <w:rFonts w:hint="eastAsia" w:ascii="仿宋_GB2312" w:hAnsi="Calibri" w:eastAsia="仿宋_GB2312" w:cs="Times New Roman"/>
          <w:sz w:val="32"/>
          <w:szCs w:val="32"/>
        </w:rPr>
        <w:t>收支预算总表支出栏、基本支出表、项目支出表按经济分类和支出功能分类科目编制，反映沙河市城市管理综合行政执法局年度部门预算中支出预算的总体情况。202</w:t>
      </w:r>
      <w:r>
        <w:rPr>
          <w:rFonts w:ascii="仿宋_GB2312" w:hAnsi="Calibri" w:eastAsia="仿宋_GB2312" w:cs="Times New Roman"/>
          <w:sz w:val="32"/>
          <w:szCs w:val="32"/>
        </w:rPr>
        <w:t>1</w:t>
      </w:r>
      <w:r>
        <w:rPr>
          <w:rFonts w:hint="eastAsia" w:ascii="仿宋_GB2312" w:hAnsi="Calibri" w:eastAsia="仿宋_GB2312" w:cs="Times New Roman"/>
          <w:sz w:val="32"/>
          <w:szCs w:val="32"/>
        </w:rPr>
        <w:t>年支出</w:t>
      </w:r>
      <w:r>
        <w:rPr>
          <w:rFonts w:ascii="仿宋_GB2312" w:hAnsi="Calibri" w:eastAsia="仿宋_GB2312" w:cs="Times New Roman"/>
          <w:sz w:val="32"/>
          <w:szCs w:val="32"/>
        </w:rPr>
        <w:t>15093.41</w:t>
      </w:r>
      <w:r>
        <w:rPr>
          <w:rFonts w:hint="eastAsia" w:ascii="仿宋_GB2312" w:hAnsi="Calibri" w:eastAsia="仿宋_GB2312" w:cs="Times New Roman"/>
          <w:sz w:val="32"/>
          <w:szCs w:val="32"/>
        </w:rPr>
        <w:t>万元，其中一般公共服务支出</w:t>
      </w:r>
      <w:r>
        <w:rPr>
          <w:rFonts w:ascii="仿宋_GB2312" w:hAnsi="Calibri" w:eastAsia="仿宋_GB2312" w:cs="Times New Roman"/>
          <w:sz w:val="32"/>
          <w:szCs w:val="32"/>
        </w:rPr>
        <w:t>1795.24</w:t>
      </w:r>
      <w:r>
        <w:rPr>
          <w:rFonts w:hint="eastAsia" w:ascii="仿宋_GB2312" w:hAnsi="Calibri" w:eastAsia="仿宋_GB2312" w:cs="Times New Roman"/>
          <w:sz w:val="32"/>
          <w:szCs w:val="32"/>
        </w:rPr>
        <w:t>万元，包括人员经费</w:t>
      </w:r>
      <w:r>
        <w:rPr>
          <w:rFonts w:ascii="仿宋_GB2312" w:hAnsi="Calibri" w:eastAsia="仿宋_GB2312" w:cs="Times New Roman"/>
          <w:sz w:val="32"/>
          <w:szCs w:val="32"/>
        </w:rPr>
        <w:t>1777.13</w:t>
      </w:r>
      <w:r>
        <w:rPr>
          <w:rFonts w:hint="eastAsia" w:ascii="仿宋_GB2312" w:hAnsi="Calibri" w:eastAsia="仿宋_GB2312" w:cs="Times New Roman"/>
          <w:sz w:val="32"/>
          <w:szCs w:val="32"/>
        </w:rPr>
        <w:t>万元和日常公用经费</w:t>
      </w:r>
      <w:r>
        <w:rPr>
          <w:rFonts w:ascii="仿宋_GB2312" w:hAnsi="Calibri" w:eastAsia="仿宋_GB2312" w:cs="Times New Roman"/>
          <w:sz w:val="32"/>
          <w:szCs w:val="32"/>
        </w:rPr>
        <w:t>18.11</w:t>
      </w:r>
      <w:r>
        <w:rPr>
          <w:rFonts w:hint="eastAsia" w:ascii="仿宋_GB2312" w:hAnsi="Calibri" w:eastAsia="仿宋_GB2312" w:cs="Times New Roman"/>
          <w:sz w:val="32"/>
          <w:szCs w:val="32"/>
        </w:rPr>
        <w:t>万元；项目支出</w:t>
      </w:r>
      <w:r>
        <w:rPr>
          <w:rFonts w:ascii="仿宋_GB2312" w:hAnsi="Calibri" w:eastAsia="仿宋_GB2312" w:cs="Times New Roman"/>
          <w:sz w:val="32"/>
          <w:szCs w:val="32"/>
        </w:rPr>
        <w:t>13298.17</w:t>
      </w:r>
      <w:r>
        <w:rPr>
          <w:rFonts w:hint="eastAsia" w:ascii="仿宋_GB2312" w:hAnsi="Calibri" w:eastAsia="仿宋_GB2312" w:cs="Times New Roman"/>
          <w:sz w:val="32"/>
          <w:szCs w:val="32"/>
        </w:rPr>
        <w:t>万元，主要项目为道路清扫环卫运转经费、城市绿地维护费、市政设施维护费、道路洗扫车及洒水车费用、污水处理厂运行经费、垃圾处理厂运行经费、道路照明经费等。</w:t>
      </w:r>
    </w:p>
    <w:p>
      <w:pPr>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w:t>
      </w:r>
      <w:r>
        <w:rPr>
          <w:rFonts w:ascii="黑体" w:hAnsi="黑体" w:eastAsia="黑体" w:cs="Times New Roman"/>
          <w:sz w:val="32"/>
          <w:szCs w:val="32"/>
        </w:rPr>
        <w:t>总体绩效目标：</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w:t>
      </w:r>
      <w:r>
        <w:rPr>
          <w:rFonts w:ascii="仿宋_GB2312" w:hAnsi="Calibri" w:eastAsia="仿宋_GB2312" w:cs="Times New Roman"/>
          <w:sz w:val="32"/>
          <w:szCs w:val="32"/>
        </w:rPr>
        <w:t>城区道路、广场、居民区的清扫保洁，垃圾清运、公厕维护、环卫设施管理等项工作实施精细化、长效化管理，不断改善人居环境，使各类环境卫生管理问题做到及时发现、不留盲区、不留死角，且做到处理及时、精确到位，实现道路清扫保洁达到“五净一彻底”质量标准；垃圾清运达到日产日清无积存；公厕设施完好无损，卫生达到要达到“六净一及时”标准；垃圾中转站、垃圾箱、果皮箱等环卫设施完好无损干净、整洁干净。进一步减少道路扬尘，不断提高机械化清扫率，全面提升城市环境卫生管理水平，给全市人民创造整洁、优美的生活环境。</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w:t>
      </w:r>
      <w:r>
        <w:rPr>
          <w:rFonts w:ascii="仿宋_GB2312" w:hAnsi="Calibri" w:eastAsia="仿宋_GB2312" w:cs="Times New Roman"/>
          <w:sz w:val="32"/>
          <w:szCs w:val="32"/>
        </w:rPr>
        <w:t>市区公园、广场、游园、街旁绿地、道路绿地实施精细化管理。做到绿地整洁，绿化设施完好，绿地灌溉及时足量，合理有效施肥，随时监控病虫害，苗木生长健壮，绿篱、色块等无缺株断档，草坪无斑秃，修剪科学美观。</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w:t>
      </w:r>
      <w:r>
        <w:rPr>
          <w:rFonts w:ascii="仿宋_GB2312" w:hAnsi="Calibri" w:eastAsia="仿宋_GB2312" w:cs="Times New Roman"/>
          <w:sz w:val="32"/>
          <w:szCs w:val="32"/>
        </w:rPr>
        <w:t>做好全城区市政排水管网的疏通、清掏及井篦、井盖更换，做好八个抽水泵站的管理及抽水设施的日常操作保养，负责城市道路挖掘的手续办理工作。做好组织实施城市防汛工作。为正常生产生活提供市政工程设施管理维护保障。</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w:t>
      </w:r>
      <w:r>
        <w:rPr>
          <w:rFonts w:ascii="仿宋_GB2312" w:hAnsi="Calibri" w:eastAsia="仿宋_GB2312" w:cs="Times New Roman"/>
          <w:sz w:val="32"/>
          <w:szCs w:val="32"/>
        </w:rPr>
        <w:t>对市区73平方公里内的所有街道、各类市场及便民服务点等，实施城市规划方面、城市市政工程设施方面、城市公用事业方面、城市市容环境卫生方面、城市园林绿化方面的监管，为城市美化提供市容管理保障。大力实施城市环境长效管理，创新精细化管理机制。按照重心下移的要求，积极探索城市管理机制的问题，结合多年综合整治的标准，将执法的末梢逐步向次干道延伸，进一步增强城管执法的服务意识，调动社会联动、全民参与的积极性，努力为广大市民创造一个整洁、优美的社会环境。</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w:t>
      </w:r>
      <w:r>
        <w:rPr>
          <w:rFonts w:ascii="仿宋_GB2312" w:hAnsi="Calibri" w:eastAsia="仿宋_GB2312" w:cs="Times New Roman"/>
          <w:sz w:val="32"/>
          <w:szCs w:val="32"/>
        </w:rPr>
        <w:t>强化路灯管护，保障照明设施安全、平稳运行，着力消除市区无灯路、黑灯路，做到主干道亮灯率达到98%；次干道、支路的亮灯率达到96%，道路照明设施完好率达到95%；积极淘汰落后高耗能产品，严格按照上级规定使用符合标准的节能高效产品，努力尽早实现单灯远程集中控制，让我市路灯变得智能化，向着智慧城市发展。</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w:t>
      </w:r>
      <w:r>
        <w:rPr>
          <w:rFonts w:ascii="仿宋_GB2312" w:hAnsi="Calibri" w:eastAsia="仿宋_GB2312" w:cs="Times New Roman"/>
          <w:sz w:val="32"/>
          <w:szCs w:val="32"/>
        </w:rPr>
        <w:t>借鉴外地成功经验，积极研讨、协调沟通，力争尽早建立完善的城市管理工作联席会议制度，建成齐抓共管、责任明确、沟通便捷、处置及时的城市综合管理机制。同时，结合数字化城管平台运行情况，我们将进一步细化事件处置规范和立结案标准，强化考核，确保管理标准刚性化、业务运行规范化。</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（七）</w:t>
      </w:r>
      <w:r>
        <w:rPr>
          <w:rFonts w:ascii="仿宋_GB2312" w:hAnsi="Calibri" w:eastAsia="仿宋_GB2312" w:cs="Times New Roman"/>
          <w:sz w:val="32"/>
          <w:szCs w:val="32"/>
        </w:rPr>
        <w:t>深入贯彻落实党的十九大精神，按照上级部署要求，以大气污染治理为重点，为创建园林和文明城市，努力提高各生产岗位工作效率，改进完善设施设备，确保我市生活垃圾无害化处理率为100%。</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（八）</w:t>
      </w:r>
      <w:r>
        <w:rPr>
          <w:rFonts w:ascii="仿宋_GB2312" w:hAnsi="Calibri" w:eastAsia="仿宋_GB2312" w:cs="Times New Roman"/>
          <w:sz w:val="32"/>
          <w:szCs w:val="32"/>
        </w:rPr>
        <w:t>以习近平新时代中国特色社会主义思想为引领，特别是深入贯彻总书记提出的“绿水青山就是金山银山”的精神指示，按照省委省政府对河道工作的重要批示和要求，围绕我市创建“美丽沙河”，大力实施“十大民心工程”战略，不遗余力提升故河道整体环境。做到故河道砂土资源零流失，安全事故零发生，乱排乱倒零容忍，环境卫生零差评。</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（九）</w:t>
      </w:r>
      <w:r>
        <w:rPr>
          <w:rFonts w:ascii="仿宋_GB2312" w:hAnsi="Calibri" w:eastAsia="仿宋_GB2312" w:cs="Times New Roman"/>
          <w:sz w:val="32"/>
          <w:szCs w:val="32"/>
        </w:rPr>
        <w:t>认真贯彻省、市关于推进城市建设的相关要求，对照要求及国家园林城市、省人居环境奖创建标准，依托市场，利用PPP模式进一步做好绿化、亮化、净化、畅化文章，力争营造宜居宜业的城市环境，确保城市承载力和人民群众幸福指数不断提升。</w:t>
      </w:r>
    </w:p>
    <w:p>
      <w:pPr>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各项绩效目标的实现程度</w:t>
      </w:r>
    </w:p>
    <w:p>
      <w:pPr>
        <w:spacing w:line="460" w:lineRule="exact"/>
        <w:ind w:firstLine="640" w:firstLineChars="200"/>
        <w:rPr>
          <w:rFonts w:ascii="方正仿宋_GBK" w:hAnsi="方正仿宋_GBK"/>
          <w:sz w:val="28"/>
          <w:szCs w:val="28"/>
        </w:rPr>
      </w:pPr>
      <w:r>
        <w:rPr>
          <w:rFonts w:hint="eastAsia" w:ascii="仿宋_GB2312" w:hAnsi="Calibri" w:eastAsia="仿宋_GB2312" w:cs="Times New Roman"/>
          <w:sz w:val="32"/>
          <w:szCs w:val="32"/>
        </w:rPr>
        <w:t>截至202</w:t>
      </w:r>
      <w:r>
        <w:rPr>
          <w:rFonts w:ascii="仿宋_GB2312" w:hAnsi="Calibri" w:eastAsia="仿宋_GB2312" w:cs="Times New Roman"/>
          <w:sz w:val="32"/>
          <w:szCs w:val="32"/>
        </w:rPr>
        <w:t>1</w:t>
      </w:r>
      <w:r>
        <w:rPr>
          <w:rFonts w:hint="eastAsia" w:ascii="仿宋_GB2312" w:hAnsi="Calibri" w:eastAsia="仿宋_GB2312" w:cs="Times New Roman"/>
          <w:sz w:val="32"/>
          <w:szCs w:val="32"/>
        </w:rPr>
        <w:t>年12月31日，我局各项绩效目标均已完成年初预期目标，各项资金全部到位并且支付完成。</w:t>
      </w:r>
    </w:p>
    <w:p>
      <w:pPr>
        <w:rPr>
          <w:rFonts w:ascii="黑体" w:hAnsi="黑体" w:eastAsia="黑体" w:cs="Times New Roman"/>
          <w:sz w:val="32"/>
          <w:szCs w:val="32"/>
        </w:rPr>
      </w:pPr>
      <w:r>
        <w:rPr>
          <w:rFonts w:hint="eastAsia" w:ascii="黑体" w:hAnsi="黑体" w:eastAsia="黑体" w:cs="Times New Roman"/>
          <w:sz w:val="32"/>
          <w:szCs w:val="32"/>
        </w:rPr>
        <w:t>五、实现年度发展规划目标的保障措施</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w:t>
      </w:r>
      <w:r>
        <w:rPr>
          <w:rFonts w:ascii="仿宋_GB2312" w:hAnsi="Calibri" w:eastAsia="仿宋_GB2312" w:cs="Times New Roman"/>
          <w:sz w:val="32"/>
          <w:szCs w:val="32"/>
        </w:rPr>
        <w:t>建立健全精细化、长效化管理机制。随着城市的发展，市民对环境卫生的管理水平的要求越来越高。为此，实行环境卫生管理精细化、长效化管理是提高城市市容市貌管理水平的迫切需要，这给环境卫生管理工作提出了更高的要求。1.严格落实责任制。制订了严谨的网格化管理方案，根据定人定岗定责定效的原则，将所有工作人员及工作岗位进行科学的细化和量化，切实做到处处有岗位、人人有责任、件件有落实，确保精细化管理工作在各个工作岗位中得到具体落实。2.加强督查制度。成立专职的督查部门，对城区内的管辖范围内进行督查查，做到及时发现、及时讲评、及时处理，采取日巡查、周检查的办法，及时发现问题，限时督促整改到位。</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w:t>
      </w:r>
      <w:r>
        <w:rPr>
          <w:rFonts w:ascii="仿宋_GB2312" w:hAnsi="Calibri" w:eastAsia="仿宋_GB2312" w:cs="Times New Roman"/>
          <w:sz w:val="32"/>
          <w:szCs w:val="32"/>
        </w:rPr>
        <w:t>强化绿地养护措施，提高养护质量。完善绿地设施，加强保洁力度，全面提高公共绿地养护水平，使精细化管理水平更明显提升：1、建立健全长效管理机制。2、加强职工的技能培训。3、全面提高园林养管水平。4、加强病虫害防治。5、整治公共绿地环境卫生。6、完善园林设施维护。</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w:t>
      </w:r>
      <w:r>
        <w:rPr>
          <w:rFonts w:ascii="仿宋_GB2312" w:hAnsi="Calibri" w:eastAsia="仿宋_GB2312" w:cs="Times New Roman"/>
          <w:sz w:val="32"/>
          <w:szCs w:val="32"/>
        </w:rPr>
        <w:t>积极做好市政基础设施管理维护工作。认真贯彻省、市关于推进城市建设管理的相关要求，对照国家园林城市、省级文明城市创建标准，按照沙河市委、市政府《关于创建省级文明城市工作的实施意见》等文件要求，积极做好市政基础设施管理维护工作，及时修复完善道路</w:t>
      </w:r>
      <w:bookmarkStart w:id="0" w:name="_GoBack"/>
      <w:bookmarkEnd w:id="0"/>
      <w:r>
        <w:rPr>
          <w:rFonts w:ascii="仿宋_GB2312" w:hAnsi="Calibri" w:eastAsia="仿宋_GB2312" w:cs="Times New Roman"/>
          <w:sz w:val="32"/>
          <w:szCs w:val="32"/>
        </w:rPr>
        <w:t>及便道坑洼破损、疏通维护排水管网、检修排水泵站设备，保障市政设施安全高效运行。1.建立健全精细化管理机制2.在我市主汛期来临前，全面完成城区排水管网清淤工作。对重点部位（18处积水点及各地道桥等）清掏疏浚两次以上；完成8座泵站设备检修，保证运转正常；对排水井更换、加装“防坠网”，盘点、补足防汛物资，为城市安全度汛夯实基础。3.强化道路便道排查力度。4.强化市政设施监管力度。</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w:t>
      </w:r>
      <w:r>
        <w:rPr>
          <w:rFonts w:ascii="仿宋_GB2312" w:hAnsi="Calibri" w:eastAsia="仿宋_GB2312" w:cs="Times New Roman"/>
          <w:sz w:val="32"/>
          <w:szCs w:val="32"/>
        </w:rPr>
        <w:t>强抓城管监察工作，从细小着手。1.“四抓四提”加强执法队伍建设。2.扎实开展各项日常城市管理工作。3.制定拆违工作方案，加大城区拆迁力度，本着“和谐、文明、公平、公正、自拆、助拆”的拆违原则，加大巡查和查处力度，从源头上遏制违法建设的发生。4.加强露天烧烤整治，安排执法人员组成夜间执法队，采取日常巡查与突击检查相结合的方式，按照“市区内严禁露天烧烤，所有烧烤摊点要入室经营”的管理标准，对市区烧烤摊点进行“拉网式”排查整治，5.加大对市区破损、未经审批、不规范的门头广告、墙体广告、布幅广告的巡查、整治力度。6.制定完善的应急预案，抽调精干执法力量，在不影响正常执法的情况下组建一支反应迅速、高效灵活的应急处置突击队，从而有效提升对突发事件、防汛防灾、大气污染等应急处置能力和水平，加强早、中、晚城市环境的巡查治理，遵守24小时值班制度，基本实现了城市环境的全天候、全方位管理。</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w:t>
      </w:r>
      <w:r>
        <w:rPr>
          <w:rFonts w:ascii="仿宋_GB2312" w:hAnsi="Calibri" w:eastAsia="仿宋_GB2312" w:cs="Times New Roman"/>
          <w:sz w:val="32"/>
          <w:szCs w:val="32"/>
        </w:rPr>
        <w:t>严格按照我处制度的各项规章制度维修维护路灯。1.做好路灯巡查工作; 2.做好路灯维护工作;3.做好路灯维修工作.</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w:t>
      </w:r>
      <w:r>
        <w:rPr>
          <w:rFonts w:ascii="仿宋_GB2312" w:hAnsi="Calibri" w:eastAsia="仿宋_GB2312" w:cs="Times New Roman"/>
          <w:sz w:val="32"/>
          <w:szCs w:val="32"/>
        </w:rPr>
        <w:t>进一步完善数字化平台建设，保障系统正常运行。加强专业技术人员的培训，通过对服务器、UPS、网络交换、摄像头、视频软件、办公软件、平台操作系统等软硬件相关知识的不断培训，逐步提升专职队伍的人员素质和业务水平。并且通过严格的</w:t>
      </w:r>
      <w:r>
        <w:rPr>
          <w:rFonts w:hint="eastAsia" w:ascii="仿宋_GB2312" w:hAnsi="Calibri" w:eastAsia="仿宋_GB2312" w:cs="Times New Roman"/>
          <w:sz w:val="32"/>
          <w:szCs w:val="32"/>
          <w:lang w:val="en-US" w:eastAsia="zh-CN"/>
        </w:rPr>
        <w:t>量</w:t>
      </w:r>
      <w:r>
        <w:rPr>
          <w:rFonts w:ascii="仿宋_GB2312" w:hAnsi="Calibri" w:eastAsia="仿宋_GB2312" w:cs="Times New Roman"/>
          <w:sz w:val="32"/>
          <w:szCs w:val="32"/>
        </w:rPr>
        <w:t>化评分考核机制，在机关效能和业务能力等多方面进行综合考核，使队伍管理和建设更科学，更合理。进一步完善平台建设，保障系统正常运行。及时检修中心内服务器、交换机、DLP大屏、网络、室外监控、PC、发电机、平台操作系统等软硬件设备，保障数字城管整体系统的安全正常运转。及时更新基础数据，对市区新增或改造的城市部件及时普查更新，确保系统稳定、有效运行。进一步协调沟通，强化案件考核机制。</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（七）</w:t>
      </w:r>
      <w:r>
        <w:rPr>
          <w:rFonts w:ascii="仿宋_GB2312" w:hAnsi="Calibri" w:eastAsia="仿宋_GB2312" w:cs="Times New Roman"/>
          <w:sz w:val="32"/>
          <w:szCs w:val="32"/>
        </w:rPr>
        <w:t>严格按照《生活垃圾卫生填埋场运行维护技术规程》、《生活垃圾填埋场无害化评价标准》等国家和省定行业相关标准。细化管理和责任，确保各岗位工作按标准运行，实现垃圾无害化处理。1.定期开展工作总结会议，对场区垃圾填埋、渗滤液处理、环境检测等工作进行计划和部署，明确各岗位工作目标，提升工作效率。2.组织工作人员进行技术培训，掌握先进工作技术，进一步提高工作能力。</w:t>
      </w:r>
    </w:p>
    <w:p>
      <w:pPr>
        <w:spacing w:line="4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（八）</w:t>
      </w:r>
      <w:r>
        <w:rPr>
          <w:rFonts w:ascii="仿宋_GB2312" w:hAnsi="Calibri" w:eastAsia="仿宋_GB2312" w:cs="Times New Roman"/>
          <w:sz w:val="32"/>
          <w:szCs w:val="32"/>
        </w:rPr>
        <w:t>加强对故河道整体的治理。一、确保完成黑臭水体治理工作。1.督导污水处理厂改进排水方式，避免污水进河；2.实施跟进，不定期取水检测；3.跟进平台销号工作。二、故河道整体维护工作。1.加强工作人员监督，确保各项工作早预防、早发现、早治理；2.安装安全警示标牌，严防安全事故的发生；3.汛期之前做好河道疏通工作，确保行洪通畅；4.制定实施故河道整体提升工作。</w:t>
      </w:r>
    </w:p>
    <w:p>
      <w:pPr>
        <w:rPr>
          <w:rFonts w:ascii="黑体" w:hAnsi="黑体" w:eastAsia="黑体" w:cs="Times New Roman"/>
          <w:sz w:val="32"/>
          <w:szCs w:val="32"/>
        </w:rPr>
      </w:pPr>
      <w:r>
        <w:rPr>
          <w:rFonts w:hint="eastAsia" w:ascii="黑体" w:hAnsi="黑体" w:eastAsia="黑体" w:cs="Times New Roman"/>
          <w:sz w:val="32"/>
          <w:szCs w:val="32"/>
        </w:rPr>
        <w:t>六、部门整体支出绩效评价指标体系评分表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p>
            <w:pPr>
              <w:widowControl/>
              <w:spacing w:line="240" w:lineRule="exact"/>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w:t>
            </w:r>
            <w:r>
              <w:rPr>
                <w:rFonts w:hint="eastAsia" w:ascii="仿宋_GB2312" w:hAnsi="新宋体" w:eastAsia="仿宋_GB2312" w:cs="仿宋_GB2312"/>
                <w:kern w:val="0"/>
                <w:szCs w:val="21"/>
                <w:lang w:val="en-US" w:eastAsia="zh-CN"/>
              </w:rPr>
              <w:t>账</w:t>
            </w:r>
            <w:r>
              <w:rPr>
                <w:rFonts w:ascii="仿宋_GB2312" w:hAnsi="新宋体" w:eastAsia="仿宋_GB2312" w:cs="仿宋_GB2312"/>
                <w:kern w:val="0"/>
                <w:szCs w:val="21"/>
              </w:rPr>
              <w:t>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r>
              <w:rPr>
                <w:rFonts w:hint="eastAsia" w:ascii="宋体"/>
                <w:szCs w:val="21"/>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kern w:val="0"/>
                <w:szCs w:val="21"/>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ascii="仿宋_GB2312" w:hAnsi="新宋体" w:eastAsia="仿宋_GB2312" w:cs="仿宋_GB2312"/>
                <w:kern w:val="0"/>
                <w:szCs w:val="21"/>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97</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mZDg0MjFiMTYwOGM1NWVmYWVlZDQ3NzRmYjU4OGE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3624E"/>
    <w:rsid w:val="00255783"/>
    <w:rsid w:val="00290BA1"/>
    <w:rsid w:val="002A6AEA"/>
    <w:rsid w:val="002F2268"/>
    <w:rsid w:val="00347F94"/>
    <w:rsid w:val="003C50C2"/>
    <w:rsid w:val="0041099F"/>
    <w:rsid w:val="00436A1D"/>
    <w:rsid w:val="004379D7"/>
    <w:rsid w:val="004A68B1"/>
    <w:rsid w:val="004B64F3"/>
    <w:rsid w:val="004E3B64"/>
    <w:rsid w:val="005020C5"/>
    <w:rsid w:val="00567FE6"/>
    <w:rsid w:val="0058162A"/>
    <w:rsid w:val="00593F3D"/>
    <w:rsid w:val="005B3616"/>
    <w:rsid w:val="005E12FA"/>
    <w:rsid w:val="00606980"/>
    <w:rsid w:val="006305A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804DA"/>
    <w:rsid w:val="00A9624E"/>
    <w:rsid w:val="00AA09C8"/>
    <w:rsid w:val="00AD5F30"/>
    <w:rsid w:val="00B0681D"/>
    <w:rsid w:val="00B212CA"/>
    <w:rsid w:val="00B9023F"/>
    <w:rsid w:val="00BC1FDC"/>
    <w:rsid w:val="00BD0FD8"/>
    <w:rsid w:val="00C44804"/>
    <w:rsid w:val="00C6362A"/>
    <w:rsid w:val="00C81363"/>
    <w:rsid w:val="00CB27A5"/>
    <w:rsid w:val="00CD55ED"/>
    <w:rsid w:val="00CD63C0"/>
    <w:rsid w:val="00CE62A0"/>
    <w:rsid w:val="00D21F0C"/>
    <w:rsid w:val="00D366C1"/>
    <w:rsid w:val="00D71A90"/>
    <w:rsid w:val="00D877F7"/>
    <w:rsid w:val="00DB2D43"/>
    <w:rsid w:val="00E266F1"/>
    <w:rsid w:val="00EB16A8"/>
    <w:rsid w:val="00EC7904"/>
    <w:rsid w:val="00F72E93"/>
    <w:rsid w:val="00F87A11"/>
    <w:rsid w:val="00FB7E01"/>
    <w:rsid w:val="00FE3ADF"/>
    <w:rsid w:val="00FE5F4C"/>
    <w:rsid w:val="00FF0D78"/>
    <w:rsid w:val="00FF39F6"/>
    <w:rsid w:val="031418F0"/>
    <w:rsid w:val="05374814"/>
    <w:rsid w:val="0C8F0285"/>
    <w:rsid w:val="0E721BC1"/>
    <w:rsid w:val="0F8F6BFC"/>
    <w:rsid w:val="107166F3"/>
    <w:rsid w:val="15AC3C0A"/>
    <w:rsid w:val="1C841DE7"/>
    <w:rsid w:val="23623044"/>
    <w:rsid w:val="292A14D4"/>
    <w:rsid w:val="3791647A"/>
    <w:rsid w:val="455969D8"/>
    <w:rsid w:val="48725571"/>
    <w:rsid w:val="4BDB04ED"/>
    <w:rsid w:val="526A3656"/>
    <w:rsid w:val="53CD5365"/>
    <w:rsid w:val="57142075"/>
    <w:rsid w:val="5D643D56"/>
    <w:rsid w:val="64283056"/>
    <w:rsid w:val="69BD0A47"/>
    <w:rsid w:val="71A911C9"/>
    <w:rsid w:val="7339496F"/>
    <w:rsid w:val="7793669D"/>
    <w:rsid w:val="78EA0C27"/>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1553</Words>
  <Characters>8856</Characters>
  <Lines>73</Lines>
  <Paragraphs>20</Paragraphs>
  <TotalTime>14</TotalTime>
  <ScaleCrop>false</ScaleCrop>
  <LinksUpToDate>false</LinksUpToDate>
  <CharactersWithSpaces>10389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2022-05-16T01:11:00Z</dcterms:created>
  <dc:creator>Administrator</dc:creator>
  <cp:lastModifiedBy>不二臣</cp:lastModifiedBy>
  <cp:lastPrinted>2022-05-16T01:12:00Z</cp:lastPrinted>
  <dcterms:modified xsi:type="dcterms:W3CDTF">2025-02-13T05:54:05Z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FE487368AB344C2296551D2D48FBC4AE_12</vt:lpwstr>
  </property>
</Properties>
</file>