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794" w:bottom="1361" w:left="79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181沙河市经济团体联合会</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63.06</w:t>
            </w:r>
          </w:p>
        </w:tc>
        <w:tc>
          <w:tcPr>
            <w:tcW w:w="4535" w:type="dxa"/>
            <w:vAlign w:val="center"/>
          </w:tcPr>
          <w:p>
            <w:pPr>
              <w:pStyle w:val="10"/>
            </w:pPr>
            <w:r>
              <w:t>一、一般公共服务支出</w:t>
            </w:r>
          </w:p>
        </w:tc>
        <w:tc>
          <w:tcPr>
            <w:tcW w:w="2126" w:type="dxa"/>
            <w:vAlign w:val="center"/>
          </w:tcPr>
          <w:p>
            <w:pPr>
              <w:pStyle w:val="11"/>
            </w:pPr>
            <w:r>
              <w:t>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十一、卫生健康支出</w:t>
            </w:r>
          </w:p>
        </w:tc>
        <w:tc>
          <w:tcPr>
            <w:tcW w:w="2126"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二十一、住房保障支出</w:t>
            </w:r>
          </w:p>
        </w:tc>
        <w:tc>
          <w:tcPr>
            <w:tcW w:w="2126" w:type="dxa"/>
            <w:vAlign w:val="center"/>
          </w:tcPr>
          <w:p>
            <w:pPr>
              <w:pStyle w:val="11"/>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本年收入合计</w:t>
            </w:r>
          </w:p>
        </w:tc>
        <w:tc>
          <w:tcPr>
            <w:tcW w:w="2126" w:type="dxa"/>
            <w:vAlign w:val="center"/>
          </w:tcPr>
          <w:p>
            <w:pPr>
              <w:pStyle w:val="13"/>
            </w:pPr>
            <w:r>
              <w:t>63.06</w:t>
            </w:r>
          </w:p>
        </w:tc>
        <w:tc>
          <w:tcPr>
            <w:tcW w:w="4535" w:type="dxa"/>
            <w:vAlign w:val="center"/>
          </w:tcPr>
          <w:p>
            <w:pPr>
              <w:pStyle w:val="12"/>
            </w:pPr>
            <w:r>
              <w:t>本年支出合计</w:t>
            </w:r>
          </w:p>
        </w:tc>
        <w:tc>
          <w:tcPr>
            <w:tcW w:w="2126" w:type="dxa"/>
            <w:vAlign w:val="center"/>
          </w:tcPr>
          <w:p>
            <w:pPr>
              <w:pStyle w:val="13"/>
            </w:pPr>
            <w:r>
              <w:t>63.06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4535" w:type="dxa"/>
            <w:vAlign w:val="center"/>
          </w:tcPr>
          <w:p>
            <w:pPr>
              <w:pStyle w:val="12"/>
            </w:pPr>
            <w:r>
              <w:t>收入总计</w:t>
            </w:r>
          </w:p>
        </w:tc>
        <w:tc>
          <w:tcPr>
            <w:tcW w:w="2126" w:type="dxa"/>
            <w:vAlign w:val="center"/>
          </w:tcPr>
          <w:p>
            <w:pPr>
              <w:pStyle w:val="13"/>
            </w:pPr>
            <w:r>
              <w:t>63.06</w:t>
            </w:r>
          </w:p>
        </w:tc>
        <w:tc>
          <w:tcPr>
            <w:tcW w:w="4535" w:type="dxa"/>
            <w:vAlign w:val="center"/>
          </w:tcPr>
          <w:p>
            <w:pPr>
              <w:pStyle w:val="12"/>
            </w:pPr>
            <w:r>
              <w:t>支出总计</w:t>
            </w:r>
          </w:p>
        </w:tc>
        <w:tc>
          <w:tcPr>
            <w:tcW w:w="2126" w:type="dxa"/>
            <w:vAlign w:val="center"/>
          </w:tcPr>
          <w:p>
            <w:pPr>
              <w:pStyle w:val="13"/>
            </w:pPr>
            <w:r>
              <w:t>63.06</w:t>
            </w:r>
          </w:p>
        </w:tc>
      </w:tr>
    </w:tbl>
    <w:p>
      <w:pPr>
        <w:sectPr>
          <w:footerReference r:id="rId3" w:type="default"/>
          <w:footerReference r:id="rId4" w:type="even"/>
          <w:pgSz w:w="16840" w:h="11900" w:orient="landscape"/>
          <w:pgMar w:top="567" w:right="567" w:bottom="567" w:left="567"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181沙河市经济团体联合会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63.06</w:t>
            </w:r>
          </w:p>
        </w:tc>
        <w:tc>
          <w:tcPr>
            <w:tcW w:w="1134" w:type="dxa"/>
            <w:vAlign w:val="center"/>
          </w:tcPr>
          <w:p>
            <w:pPr>
              <w:pStyle w:val="13"/>
            </w:pPr>
            <w:r>
              <w:t>63.06</w:t>
            </w:r>
          </w:p>
        </w:tc>
        <w:tc>
          <w:tcPr>
            <w:tcW w:w="1134" w:type="dxa"/>
            <w:vAlign w:val="center"/>
          </w:tcPr>
          <w:p>
            <w:pPr>
              <w:pStyle w:val="13"/>
            </w:pPr>
            <w:r>
              <w:t>63.06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49.82</w:t>
            </w:r>
          </w:p>
        </w:tc>
        <w:tc>
          <w:tcPr>
            <w:tcW w:w="1134" w:type="dxa"/>
            <w:vAlign w:val="center"/>
          </w:tcPr>
          <w:p>
            <w:pPr>
              <w:pStyle w:val="11"/>
            </w:pPr>
            <w:r>
              <w:t>49.82</w:t>
            </w:r>
          </w:p>
        </w:tc>
        <w:tc>
          <w:tcPr>
            <w:tcW w:w="1134" w:type="dxa"/>
            <w:vAlign w:val="center"/>
          </w:tcPr>
          <w:p>
            <w:pPr>
              <w:pStyle w:val="11"/>
            </w:pPr>
            <w:r>
              <w:t>49.82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20128</w:t>
            </w:r>
          </w:p>
        </w:tc>
        <w:tc>
          <w:tcPr>
            <w:tcW w:w="1559" w:type="dxa"/>
            <w:vAlign w:val="center"/>
          </w:tcPr>
          <w:p>
            <w:pPr>
              <w:pStyle w:val="10"/>
            </w:pPr>
            <w:r>
              <w:t>民主党派及工商联事务</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r>
              <w:t>48.27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2012801</w:t>
            </w:r>
          </w:p>
        </w:tc>
        <w:tc>
          <w:tcPr>
            <w:tcW w:w="1559" w:type="dxa"/>
            <w:vAlign w:val="center"/>
          </w:tcPr>
          <w:p>
            <w:pPr>
              <w:pStyle w:val="10"/>
            </w:pPr>
            <w:r>
              <w:t>行政运行</w:t>
            </w:r>
          </w:p>
        </w:tc>
        <w:tc>
          <w:tcPr>
            <w:tcW w:w="1134" w:type="dxa"/>
            <w:vAlign w:val="center"/>
          </w:tcPr>
          <w:p>
            <w:pPr>
              <w:pStyle w:val="11"/>
            </w:pPr>
            <w:r>
              <w:t>46.27</w:t>
            </w:r>
          </w:p>
        </w:tc>
        <w:tc>
          <w:tcPr>
            <w:tcW w:w="1134" w:type="dxa"/>
            <w:vAlign w:val="center"/>
          </w:tcPr>
          <w:p>
            <w:pPr>
              <w:pStyle w:val="11"/>
            </w:pPr>
            <w:r>
              <w:t>46.27</w:t>
            </w:r>
          </w:p>
        </w:tc>
        <w:tc>
          <w:tcPr>
            <w:tcW w:w="1134" w:type="dxa"/>
            <w:vAlign w:val="center"/>
          </w:tcPr>
          <w:p>
            <w:pPr>
              <w:pStyle w:val="11"/>
            </w:pPr>
            <w:r>
              <w:t>46.27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2012899</w:t>
            </w:r>
          </w:p>
        </w:tc>
        <w:tc>
          <w:tcPr>
            <w:tcW w:w="1559" w:type="dxa"/>
            <w:vAlign w:val="center"/>
          </w:tcPr>
          <w:p>
            <w:pPr>
              <w:pStyle w:val="10"/>
            </w:pPr>
            <w:r>
              <w:t>其他民主党派及工商联事务支出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181沙河市经济团体联合会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63.06</w:t>
            </w:r>
          </w:p>
        </w:tc>
        <w:tc>
          <w:tcPr>
            <w:tcW w:w="1361" w:type="dxa"/>
            <w:vAlign w:val="center"/>
          </w:tcPr>
          <w:p>
            <w:pPr>
              <w:pStyle w:val="13"/>
            </w:pPr>
            <w:r>
              <w:t>61.06</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49.82</w:t>
            </w:r>
          </w:p>
        </w:tc>
        <w:tc>
          <w:tcPr>
            <w:tcW w:w="1361" w:type="dxa"/>
            <w:vAlign w:val="center"/>
          </w:tcPr>
          <w:p>
            <w:pPr>
              <w:pStyle w:val="11"/>
            </w:pPr>
            <w:r>
              <w:t>47.82</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20128</w:t>
            </w:r>
          </w:p>
        </w:tc>
        <w:tc>
          <w:tcPr>
            <w:tcW w:w="4535" w:type="dxa"/>
            <w:vAlign w:val="center"/>
          </w:tcPr>
          <w:p>
            <w:pPr>
              <w:pStyle w:val="10"/>
            </w:pPr>
            <w:r>
              <w:t>民主党派及工商联事务</w:t>
            </w:r>
          </w:p>
        </w:tc>
        <w:tc>
          <w:tcPr>
            <w:tcW w:w="1361" w:type="dxa"/>
            <w:vAlign w:val="center"/>
          </w:tcPr>
          <w:p>
            <w:pPr>
              <w:pStyle w:val="11"/>
            </w:pPr>
            <w:r>
              <w:t>48.27</w:t>
            </w:r>
          </w:p>
        </w:tc>
        <w:tc>
          <w:tcPr>
            <w:tcW w:w="1361" w:type="dxa"/>
            <w:vAlign w:val="center"/>
          </w:tcPr>
          <w:p>
            <w:pPr>
              <w:pStyle w:val="11"/>
            </w:pPr>
            <w:r>
              <w:t>46.27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2012801</w:t>
            </w:r>
          </w:p>
        </w:tc>
        <w:tc>
          <w:tcPr>
            <w:tcW w:w="4535" w:type="dxa"/>
            <w:vAlign w:val="center"/>
          </w:tcPr>
          <w:p>
            <w:pPr>
              <w:pStyle w:val="10"/>
            </w:pPr>
            <w:r>
              <w:t>行政运行</w:t>
            </w:r>
          </w:p>
        </w:tc>
        <w:tc>
          <w:tcPr>
            <w:tcW w:w="1361" w:type="dxa"/>
            <w:vAlign w:val="center"/>
          </w:tcPr>
          <w:p>
            <w:pPr>
              <w:pStyle w:val="11"/>
            </w:pPr>
            <w:r>
              <w:t>46.27</w:t>
            </w:r>
          </w:p>
        </w:tc>
        <w:tc>
          <w:tcPr>
            <w:tcW w:w="1361" w:type="dxa"/>
            <w:vAlign w:val="center"/>
          </w:tcPr>
          <w:p>
            <w:pPr>
              <w:pStyle w:val="11"/>
            </w:pPr>
            <w:r>
              <w:t>46.27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2012899</w:t>
            </w:r>
          </w:p>
        </w:tc>
        <w:tc>
          <w:tcPr>
            <w:tcW w:w="4535" w:type="dxa"/>
            <w:vAlign w:val="center"/>
          </w:tcPr>
          <w:p>
            <w:pPr>
              <w:pStyle w:val="10"/>
            </w:pPr>
            <w:r>
              <w:t>其他民主党派及工商联事务支出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11"/>
            </w:pPr>
            <w:r>
              <w:t>1.55</w:t>
            </w:r>
          </w:p>
        </w:tc>
        <w:tc>
          <w:tcPr>
            <w:tcW w:w="1361" w:type="dxa"/>
            <w:vAlign w:val="center"/>
          </w:tcPr>
          <w:p>
            <w:pPr>
              <w:pStyle w:val="11"/>
            </w:pPr>
            <w: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11"/>
            </w:pPr>
            <w:r>
              <w:t>1.55</w:t>
            </w:r>
          </w:p>
        </w:tc>
        <w:tc>
          <w:tcPr>
            <w:tcW w:w="1361" w:type="dxa"/>
            <w:vAlign w:val="center"/>
          </w:tcPr>
          <w:p>
            <w:pPr>
              <w:pStyle w:val="11"/>
            </w:pPr>
            <w: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2.50</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2.50</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11"/>
            </w:pPr>
            <w:r>
              <w:t>2.50</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181沙河市经济团体联合会</w:t>
            </w:r>
          </w:p>
        </w:tc>
        <w:tc>
          <w:tcPr>
            <w:tcW w:w="1232" w:type="dxa"/>
            <w:tcBorders>
              <w:top w:val="single" w:color="FFFFFF" w:sz="6" w:space="0"/>
              <w:left w:val="single" w:color="FFFFFF" w:sz="6" w:space="0"/>
              <w:right w:val="single" w:color="FFFFFF" w:sz="6" w:space="0"/>
            </w:tcBorders>
            <w:vAlign w:val="center"/>
          </w:tcPr>
          <w:p>
            <w:pPr>
              <w:pStyle w:val="6"/>
            </w:pPr>
            <w:r>
              <w:t>预算</w:t>
            </w:r>
            <w:r>
              <w:rPr>
                <w:rFonts w:hint="eastAsia"/>
                <w:lang w:eastAsia="zh-CN"/>
              </w:rPr>
              <w:t>年</w:t>
            </w:r>
            <w:r>
              <w:rPr>
                <w:rFonts w:hint="eastAsia"/>
                <w:lang w:val="en-US" w:eastAsia="zh-CN"/>
              </w:rPr>
              <w:t xml:space="preserve">  </w:t>
            </w:r>
            <w:r>
              <w:t>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63.06</w:t>
            </w:r>
          </w:p>
        </w:tc>
        <w:tc>
          <w:tcPr>
            <w:tcW w:w="1232" w:type="dxa"/>
            <w:vAlign w:val="center"/>
          </w:tcPr>
          <w:p>
            <w:pPr>
              <w:pStyle w:val="10"/>
            </w:pPr>
            <w:r>
              <w:t>一、一般公共服务支出</w:t>
            </w:r>
          </w:p>
        </w:tc>
        <w:tc>
          <w:tcPr>
            <w:tcW w:w="1232" w:type="dxa"/>
            <w:vAlign w:val="center"/>
          </w:tcPr>
          <w:p>
            <w:pPr>
              <w:pStyle w:val="11"/>
            </w:pPr>
            <w:r>
              <w:t>49.82</w:t>
            </w:r>
          </w:p>
        </w:tc>
        <w:tc>
          <w:tcPr>
            <w:tcW w:w="1232" w:type="dxa"/>
            <w:vAlign w:val="center"/>
          </w:tcPr>
          <w:p>
            <w:pPr>
              <w:pStyle w:val="11"/>
            </w:pPr>
            <w:r>
              <w:t>49.82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5.81</w:t>
            </w:r>
          </w:p>
        </w:tc>
        <w:tc>
          <w:tcPr>
            <w:tcW w:w="1232" w:type="dxa"/>
            <w:vAlign w:val="center"/>
          </w:tcPr>
          <w:p>
            <w:pPr>
              <w:pStyle w:val="11"/>
            </w:pPr>
            <w:r>
              <w:t>5.81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十、其他机关事业单位基本养老保险基金支出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十一、卫生健康支出</w:t>
            </w:r>
          </w:p>
        </w:tc>
        <w:tc>
          <w:tcPr>
            <w:tcW w:w="1232" w:type="dxa"/>
            <w:vAlign w:val="center"/>
          </w:tcPr>
          <w:p>
            <w:pPr>
              <w:pStyle w:val="11"/>
            </w:pPr>
            <w:r>
              <w:t>2.50</w:t>
            </w:r>
          </w:p>
        </w:tc>
        <w:tc>
          <w:tcPr>
            <w:tcW w:w="1232" w:type="dxa"/>
            <w:vAlign w:val="center"/>
          </w:tcPr>
          <w:p>
            <w:pPr>
              <w:pStyle w:val="11"/>
            </w:pPr>
            <w:r>
              <w:t>2.50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二十一、住房保障支出</w:t>
            </w:r>
          </w:p>
        </w:tc>
        <w:tc>
          <w:tcPr>
            <w:tcW w:w="1232" w:type="dxa"/>
            <w:vAlign w:val="center"/>
          </w:tcPr>
          <w:p>
            <w:pPr>
              <w:pStyle w:val="11"/>
            </w:pPr>
            <w:r>
              <w:t>4.93</w:t>
            </w:r>
          </w:p>
        </w:tc>
        <w:tc>
          <w:tcPr>
            <w:tcW w:w="1232" w:type="dxa"/>
            <w:vAlign w:val="center"/>
          </w:tcPr>
          <w:p>
            <w:pPr>
              <w:pStyle w:val="11"/>
            </w:pPr>
            <w:r>
              <w:t>4.93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三十二、人行科目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2"/>
            </w:pPr>
            <w:r>
              <w:t>本年收入合计</w:t>
            </w:r>
          </w:p>
        </w:tc>
        <w:tc>
          <w:tcPr>
            <w:tcW w:w="1232" w:type="dxa"/>
            <w:vAlign w:val="center"/>
          </w:tcPr>
          <w:p>
            <w:pPr>
              <w:pStyle w:val="13"/>
            </w:pPr>
            <w:r>
              <w:t>63.06</w:t>
            </w:r>
          </w:p>
        </w:tc>
        <w:tc>
          <w:tcPr>
            <w:tcW w:w="1232" w:type="dxa"/>
            <w:vAlign w:val="center"/>
          </w:tcPr>
          <w:p>
            <w:pPr>
              <w:pStyle w:val="12"/>
            </w:pPr>
            <w:r>
              <w:t>本年支出合计</w:t>
            </w:r>
          </w:p>
        </w:tc>
        <w:tc>
          <w:tcPr>
            <w:tcW w:w="1232" w:type="dxa"/>
            <w:vAlign w:val="center"/>
          </w:tcPr>
          <w:p>
            <w:pPr>
              <w:pStyle w:val="13"/>
            </w:pPr>
            <w:r>
              <w:t>63.06</w:t>
            </w:r>
          </w:p>
        </w:tc>
        <w:tc>
          <w:tcPr>
            <w:tcW w:w="1232" w:type="dxa"/>
            <w:vAlign w:val="center"/>
          </w:tcPr>
          <w:p>
            <w:pPr>
              <w:pStyle w:val="13"/>
            </w:pPr>
            <w:r>
              <w:t>63.06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38</w:t>
            </w:r>
          </w:p>
        </w:tc>
        <w:tc>
          <w:tcPr>
            <w:tcW w:w="1232" w:type="dxa"/>
            <w:vAlign w:val="center"/>
          </w:tcPr>
          <w:p>
            <w:pPr>
              <w:pStyle w:val="12"/>
            </w:pPr>
            <w:r>
              <w:t>收入总计</w:t>
            </w:r>
          </w:p>
        </w:tc>
        <w:tc>
          <w:tcPr>
            <w:tcW w:w="1232" w:type="dxa"/>
            <w:vAlign w:val="center"/>
          </w:tcPr>
          <w:p>
            <w:pPr>
              <w:pStyle w:val="13"/>
            </w:pPr>
            <w:r>
              <w:t>63.06</w:t>
            </w:r>
          </w:p>
        </w:tc>
        <w:tc>
          <w:tcPr>
            <w:tcW w:w="1232" w:type="dxa"/>
            <w:vAlign w:val="center"/>
          </w:tcPr>
          <w:p>
            <w:pPr>
              <w:pStyle w:val="12"/>
            </w:pPr>
            <w:r>
              <w:t>支出总计</w:t>
            </w:r>
          </w:p>
        </w:tc>
        <w:tc>
          <w:tcPr>
            <w:tcW w:w="1232" w:type="dxa"/>
            <w:vAlign w:val="center"/>
          </w:tcPr>
          <w:p>
            <w:pPr>
              <w:pStyle w:val="13"/>
            </w:pPr>
            <w:r>
              <w:t>63.06</w:t>
            </w:r>
          </w:p>
        </w:tc>
        <w:tc>
          <w:tcPr>
            <w:tcW w:w="1232" w:type="dxa"/>
            <w:vAlign w:val="center"/>
          </w:tcPr>
          <w:p>
            <w:pPr>
              <w:pStyle w:val="13"/>
            </w:pPr>
            <w:r>
              <w:t>63.06</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63.06</w:t>
            </w:r>
          </w:p>
        </w:tc>
        <w:tc>
          <w:tcPr>
            <w:tcW w:w="2551" w:type="dxa"/>
            <w:vAlign w:val="center"/>
          </w:tcPr>
          <w:p>
            <w:pPr>
              <w:pStyle w:val="13"/>
            </w:pPr>
            <w:r>
              <w:t>61.06</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49.82</w:t>
            </w:r>
          </w:p>
        </w:tc>
        <w:tc>
          <w:tcPr>
            <w:tcW w:w="2551" w:type="dxa"/>
            <w:vAlign w:val="center"/>
          </w:tcPr>
          <w:p>
            <w:pPr>
              <w:pStyle w:val="11"/>
            </w:pPr>
            <w:r>
              <w:t>47.82</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20128</w:t>
            </w:r>
          </w:p>
        </w:tc>
        <w:tc>
          <w:tcPr>
            <w:tcW w:w="4535" w:type="dxa"/>
            <w:vAlign w:val="center"/>
          </w:tcPr>
          <w:p>
            <w:pPr>
              <w:pStyle w:val="10"/>
            </w:pPr>
            <w:r>
              <w:t>民主党派及工商联事务</w:t>
            </w:r>
          </w:p>
        </w:tc>
        <w:tc>
          <w:tcPr>
            <w:tcW w:w="2551" w:type="dxa"/>
            <w:vAlign w:val="center"/>
          </w:tcPr>
          <w:p>
            <w:pPr>
              <w:pStyle w:val="11"/>
            </w:pPr>
            <w:r>
              <w:t>48.27</w:t>
            </w:r>
          </w:p>
        </w:tc>
        <w:tc>
          <w:tcPr>
            <w:tcW w:w="2551" w:type="dxa"/>
            <w:vAlign w:val="center"/>
          </w:tcPr>
          <w:p>
            <w:pPr>
              <w:pStyle w:val="11"/>
            </w:pPr>
            <w:r>
              <w:t>46.27</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2012801</w:t>
            </w:r>
          </w:p>
        </w:tc>
        <w:tc>
          <w:tcPr>
            <w:tcW w:w="4535" w:type="dxa"/>
            <w:vAlign w:val="center"/>
          </w:tcPr>
          <w:p>
            <w:pPr>
              <w:pStyle w:val="10"/>
            </w:pPr>
            <w:r>
              <w:t>行政运行</w:t>
            </w:r>
          </w:p>
        </w:tc>
        <w:tc>
          <w:tcPr>
            <w:tcW w:w="2551" w:type="dxa"/>
            <w:vAlign w:val="center"/>
          </w:tcPr>
          <w:p>
            <w:pPr>
              <w:pStyle w:val="11"/>
            </w:pPr>
            <w:r>
              <w:t>46.27</w:t>
            </w:r>
          </w:p>
        </w:tc>
        <w:tc>
          <w:tcPr>
            <w:tcW w:w="2551" w:type="dxa"/>
            <w:vAlign w:val="center"/>
          </w:tcPr>
          <w:p>
            <w:pPr>
              <w:pStyle w:val="11"/>
            </w:pPr>
            <w:r>
              <w:t>46.27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2012899</w:t>
            </w:r>
          </w:p>
        </w:tc>
        <w:tc>
          <w:tcPr>
            <w:tcW w:w="4535" w:type="dxa"/>
            <w:vAlign w:val="center"/>
          </w:tcPr>
          <w:p>
            <w:pPr>
              <w:pStyle w:val="10"/>
            </w:pPr>
            <w:r>
              <w:t>其他民主党派及工商联事务支出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61.06</w:t>
            </w:r>
          </w:p>
        </w:tc>
        <w:tc>
          <w:tcPr>
            <w:tcW w:w="2551" w:type="dxa"/>
            <w:vAlign w:val="center"/>
          </w:tcPr>
          <w:p>
            <w:pPr>
              <w:pStyle w:val="13"/>
            </w:pPr>
            <w:r>
              <w:t>56.73</w:t>
            </w:r>
          </w:p>
        </w:tc>
        <w:tc>
          <w:tcPr>
            <w:tcW w:w="2551" w:type="dxa"/>
            <w:vAlign w:val="center"/>
          </w:tcPr>
          <w:p>
            <w:pPr>
              <w:pStyle w:val="13"/>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54.29</w:t>
            </w:r>
          </w:p>
        </w:tc>
        <w:tc>
          <w:tcPr>
            <w:tcW w:w="2551" w:type="dxa"/>
            <w:vAlign w:val="center"/>
          </w:tcPr>
          <w:p>
            <w:pPr>
              <w:pStyle w:val="11"/>
            </w:pPr>
            <w:r>
              <w:t>54.29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21.65</w:t>
            </w:r>
          </w:p>
        </w:tc>
        <w:tc>
          <w:tcPr>
            <w:tcW w:w="2551" w:type="dxa"/>
            <w:vAlign w:val="center"/>
          </w:tcPr>
          <w:p>
            <w:pPr>
              <w:pStyle w:val="11"/>
            </w:pPr>
            <w:r>
              <w:t>21.65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7.55</w:t>
            </w:r>
          </w:p>
        </w:tc>
        <w:tc>
          <w:tcPr>
            <w:tcW w:w="2551" w:type="dxa"/>
            <w:vAlign w:val="center"/>
          </w:tcPr>
          <w:p>
            <w:pPr>
              <w:pStyle w:val="11"/>
            </w:pPr>
            <w:r>
              <w:t>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6.99</w:t>
            </w:r>
          </w:p>
        </w:tc>
        <w:tc>
          <w:tcPr>
            <w:tcW w:w="2551" w:type="dxa"/>
            <w:vAlign w:val="center"/>
          </w:tcPr>
          <w:p>
            <w:pPr>
              <w:pStyle w:val="11"/>
            </w:pPr>
            <w:r>
              <w:t>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4.33</w:t>
            </w:r>
          </w:p>
        </w:tc>
        <w:tc>
          <w:tcPr>
            <w:tcW w:w="2551" w:type="dxa"/>
            <w:vAlign w:val="center"/>
          </w:tcPr>
          <w:p>
            <w:pPr>
              <w:pStyle w:val="11"/>
            </w:pPr>
          </w:p>
        </w:tc>
        <w:tc>
          <w:tcPr>
            <w:tcW w:w="2551"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0.43</w:t>
            </w:r>
          </w:p>
        </w:tc>
        <w:tc>
          <w:tcPr>
            <w:tcW w:w="2551" w:type="dxa"/>
            <w:vAlign w:val="center"/>
          </w:tcPr>
          <w:p>
            <w:pPr>
              <w:pStyle w:val="11"/>
            </w:pPr>
          </w:p>
        </w:tc>
        <w:tc>
          <w:tcPr>
            <w:tcW w:w="2551"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2.04</w:t>
            </w:r>
          </w:p>
        </w:tc>
        <w:tc>
          <w:tcPr>
            <w:tcW w:w="2551" w:type="dxa"/>
            <w:vAlign w:val="center"/>
          </w:tcPr>
          <w:p>
            <w:pPr>
              <w:pStyle w:val="11"/>
            </w:pPr>
          </w:p>
        </w:tc>
        <w:tc>
          <w:tcPr>
            <w:tcW w:w="2551"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181沙河市经济团体联合会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181沙河市经济团体联合会</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沙河市经济团体联合会2024年部门预算信息公开情况说明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沙河市经济团体联合会2024年部门预算信息公开情况说明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按照《中华人民共和国预算法》、《地方预决算公开操作规程》和《关于进一步推进预算公开工作的实施意见》规定，现将沙河市经济团体联合会2024年部门预算公开如下：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3" w:firstLineChars="200"/>
        <w:jc w:val="left"/>
        <w:rPr>
          <w:rFonts w:hint="eastAsia" w:ascii="新宋体" w:hAnsi="新宋体" w:eastAsia="新宋体" w:cs="新宋体"/>
          <w:sz w:val="30"/>
          <w:szCs w:val="30"/>
        </w:rPr>
      </w:pPr>
      <w:r>
        <w:rPr>
          <w:rFonts w:ascii="方正楷体_GBK" w:hAnsi="方正楷体_GBK" w:eastAsia="方正楷体_GBK" w:cs="方正楷体_GBK"/>
          <w:b/>
          <w:color w:val="000000"/>
          <w:sz w:val="32"/>
        </w:rPr>
        <w:t>部门职责：</w:t>
      </w:r>
      <w:r>
        <w:rPr>
          <w:rFonts w:hint="eastAsia" w:ascii="新宋体" w:hAnsi="新宋体" w:eastAsia="新宋体" w:cs="新宋体"/>
          <w:sz w:val="30"/>
          <w:szCs w:val="30"/>
        </w:rPr>
        <w:t>一是贯彻执行党和国家的路线、方针和政策，加强和完善对会员单位的思想政治工作，围绕党和政府的中心工作开展各项活动，保证协会组织的社会主义方向。</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二是研究行业协会建设和加强自律性行业管理等问题，为政府有关部门加强对行业协会工作的领导提供决策依据和服务，指导全市性行业协会工作的开展，交流经验，沟通信息，加强行业自律，促进行业发展。</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三是反映会员要求，协调会员关系，维护会员的合法权益。</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四是对行业协会进行“组织、协调、指导”。</w:t>
      </w:r>
    </w:p>
    <w:p>
      <w:pPr>
        <w:spacing w:line="500" w:lineRule="exac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五是负责指导全市性经济类行业协会的思想政治工作和党的建设；负责全市性经济类行业协会筹备申请、成立登记、变更登记、注销登记前的审查和年度检查的初审等工作，协助登记管理机关和其他有关部门查处行业协会违法行为；会同有关部门指导经济类行业协会的清算事宜。</w:t>
      </w:r>
    </w:p>
    <w:p>
      <w:pPr>
        <w:spacing w:before="0" w:after="0" w:line="240" w:lineRule="auto"/>
        <w:ind w:firstLine="640"/>
        <w:jc w:val="left"/>
        <w:outlineLvl w:val="9"/>
        <w:rPr>
          <w:rFonts w:hint="eastAsia" w:ascii="新宋体" w:hAnsi="新宋体" w:eastAsia="新宋体" w:cs="新宋体"/>
          <w:sz w:val="30"/>
          <w:szCs w:val="30"/>
        </w:rPr>
      </w:pPr>
    </w:p>
    <w:p>
      <w:pPr>
        <w:pStyle w:val="15"/>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沙河市经济团体联合会本级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按照预算管理有关规定，目前部门预算的编制实行综合预算管理，即全部收入和支出都反映在预算中。沙河市经济团体联合会机关及所属事业单位的收支包含在部门预算中。</w:t>
      </w:r>
    </w:p>
    <w:p>
      <w:pPr>
        <w:pStyle w:val="16"/>
      </w:pPr>
      <w:r>
        <w:t>1、收入说明</w:t>
      </w:r>
    </w:p>
    <w:p>
      <w:pPr>
        <w:pStyle w:val="16"/>
      </w:pPr>
      <w:r>
        <w:t>反映本部门当年全部收入。2024年预算收入63.06万元，其中：一般公共预算收入63.06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沙河市经济团体联合会年度部门预算中支出预算的总体情况。2024年支出预算63.06万元，其中基本支出61.06万元，包括人员经费56.73万元和日常公用经费4.33万元；项目支出2.00万元，主要为人员经费和日常公用开支。</w:t>
      </w:r>
    </w:p>
    <w:p>
      <w:pPr>
        <w:pStyle w:val="16"/>
      </w:pPr>
      <w:r>
        <w:t>3、比上年增减情况</w:t>
      </w:r>
    </w:p>
    <w:p>
      <w:pPr>
        <w:pStyle w:val="16"/>
      </w:pPr>
      <w:r>
        <w:t>2024年预算收支安排63.06万元，较2023年预算增加15.58万元，其中：基本支出增加13.58万元，主要为人员经费和办公经费增加。项目支出增加2.00万元，主要为办公费、邮电费、差旅费及其他日常经费开支。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2024年，我部门机关运行经费共计安排4.33万元，主要用于日常维修、办公用房水电费、办公用房取暖费、办公用房物业管理费等日常运行支出。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今年没有“三公”经费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高举习近平新时代中国特色社会主义思想伟大旗帜，切实把握新发展阶段，全面理解新发展理念，努力构建新发展格局。紧紧围绕市委、市政府确定的重点工作，坚持立大格局，树进取心，施非常策，兴落实风。按照市委市政府的总体发展思路，改革创新，锐意进取，调查研究，建言献策，积极服务，努力为建设经济强市、美丽沙河</w:t>
      </w:r>
      <w:bookmarkStart w:id="20" w:name="_GoBack"/>
      <w:bookmarkEnd w:id="20"/>
      <w:r>
        <w:t>做出新的贡献，。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（一）深入基层，定期走访企业、行业、协会</w:t>
      </w:r>
    </w:p>
    <w:p>
      <w:pPr>
        <w:pStyle w:val="20"/>
      </w:pPr>
      <w:r>
        <w:t>绩效目标：探讨市场经济条件下发展市域经济的新特点、探讨农业规模化、产业化、现代化的新经验、新路子。</w:t>
      </w:r>
    </w:p>
    <w:p>
      <w:pPr>
        <w:pStyle w:val="20"/>
      </w:pPr>
      <w:r>
        <w:t>绩效指标：了解企业、行业、协会在发展中的新问题、新建议、新进展。</w:t>
      </w:r>
    </w:p>
    <w:p>
      <w:pPr>
        <w:pStyle w:val="20"/>
      </w:pPr>
      <w:r>
        <w:t>（二）搞好服务，努力办好《经济信息》</w:t>
      </w:r>
    </w:p>
    <w:p>
      <w:pPr>
        <w:pStyle w:val="20"/>
      </w:pPr>
      <w:r>
        <w:t>绩效目标：充分发挥经团联的桥梁和纽带作用，发挥智囊团和参谋部的作用，为企业，行业，协会搞好经济信息服务。</w:t>
      </w:r>
    </w:p>
    <w:p>
      <w:pPr>
        <w:pStyle w:val="20"/>
      </w:pPr>
      <w:r>
        <w:t>绩效指标：发行《经济信息》，每月两期。定期转发中央、省，市有关经济发展政策；定期转发有关金融、银行、税务单位的有关信息；把《经济信息》当做沙河经济界一个新交流平台，定期发布有关企业、行业、协会在工作中的新经验、好办法，互相交流，促进沙河经济发展。</w:t>
      </w:r>
    </w:p>
    <w:p>
      <w:pPr>
        <w:pStyle w:val="20"/>
      </w:pPr>
      <w:r>
        <w:t>（三）开展调研，努力为市委、市政府当好参谋</w:t>
      </w:r>
    </w:p>
    <w:p>
      <w:pPr>
        <w:pStyle w:val="20"/>
      </w:pPr>
      <w:r>
        <w:t>绩效目标：围绕沙河市经济工作中心，根据经济发展的新特点，当好企业的帮手、政府的助手、为企业增效，农民增收</w:t>
      </w:r>
      <w:r>
        <w:rPr>
          <w:rFonts w:hint="eastAsia"/>
          <w:lang w:val="en-US" w:eastAsia="zh-CN"/>
        </w:rPr>
        <w:t>作</w:t>
      </w:r>
      <w:r>
        <w:t>出贡献，当好市委、市政府的参谋。</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一是要提升产业服务功能，反映企业诉求，提出措施建议，帮助企业破解发展难题，组织行业协会编制好行业发展规划建议。</w:t>
      </w:r>
    </w:p>
    <w:p>
      <w:pPr>
        <w:pStyle w:val="21"/>
      </w:pPr>
      <w:r>
        <w:t>二是要在服务经济为主导的产业结构调整中，当好政府和企业的参谋，发挥导向、预测、预警作用。进一步加强技术服务工作，、组织行业协会为企业做好技术交流、技术开发、成果运用、项目发布、项目对接等工作。</w:t>
      </w:r>
    </w:p>
    <w:p>
      <w:pPr>
        <w:pStyle w:val="21"/>
        <w:sectPr>
          <w:pgSz w:w="16840" w:h="11900" w:orient="landscape"/>
          <w:pgMar w:top="1361" w:right="1020" w:bottom="1361" w:left="1020" w:header="720" w:footer="720" w:gutter="0"/>
          <w:cols w:space="720" w:num="1"/>
        </w:sectPr>
      </w:pPr>
      <w:r>
        <w:t xml:space="preserve">三是要为企业提供多样的市场服务，举办行业协会、企业的展览、展示会，为上下游产业链及产品市场对接提供服务。    </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1、经团联工作经费绩效目标表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13058224P00WW20100030</w:t>
            </w:r>
          </w:p>
        </w:tc>
        <w:tc>
          <w:tcPr>
            <w:tcW w:w="2835" w:type="dxa"/>
            <w:vAlign w:val="center"/>
          </w:tcPr>
          <w:p>
            <w:pPr>
              <w:pStyle w:val="8"/>
            </w:pPr>
            <w:r>
              <w:t>项目名称</w:t>
            </w:r>
          </w:p>
        </w:tc>
        <w:tc>
          <w:tcPr>
            <w:tcW w:w="6094" w:type="dxa"/>
            <w:gridSpan w:val="3"/>
            <w:vAlign w:val="center"/>
          </w:tcPr>
          <w:p>
            <w:pPr>
              <w:pStyle w:val="10"/>
            </w:pPr>
            <w:r>
              <w:t>经团联工作经费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0.50</w:t>
            </w:r>
          </w:p>
        </w:tc>
        <w:tc>
          <w:tcPr>
            <w:tcW w:w="2835" w:type="dxa"/>
            <w:vAlign w:val="center"/>
          </w:tcPr>
          <w:p>
            <w:pPr>
              <w:pStyle w:val="9"/>
            </w:pPr>
            <w:r>
              <w:t>1.00</w:t>
            </w:r>
          </w:p>
        </w:tc>
        <w:tc>
          <w:tcPr>
            <w:tcW w:w="2551" w:type="dxa"/>
            <w:vAlign w:val="center"/>
          </w:tcPr>
          <w:p>
            <w:pPr>
              <w:pStyle w:val="9"/>
            </w:pPr>
            <w:r>
              <w:t>1.50</w:t>
            </w:r>
          </w:p>
        </w:tc>
        <w:tc>
          <w:tcPr>
            <w:tcW w:w="3543" w:type="dxa"/>
            <w:gridSpan w:val="2"/>
            <w:vAlign w:val="center"/>
          </w:tcPr>
          <w:p>
            <w:pPr>
              <w:pStyle w:val="9"/>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≥4人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冬季供暖达标率</w:t>
            </w:r>
          </w:p>
        </w:tc>
        <w:tc>
          <w:tcPr>
            <w:tcW w:w="5386" w:type="dxa"/>
            <w:vAlign w:val="center"/>
          </w:tcPr>
          <w:p>
            <w:pPr>
              <w:pStyle w:val="10"/>
            </w:pPr>
            <w:r>
              <w:t>18度（含）以上供暖天数/供暖总天数*100%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人均公用经费成本</w:t>
            </w:r>
          </w:p>
        </w:tc>
        <w:tc>
          <w:tcPr>
            <w:tcW w:w="5386" w:type="dxa"/>
            <w:vAlign w:val="center"/>
          </w:tcPr>
          <w:p>
            <w:pPr>
              <w:pStyle w:val="10"/>
            </w:pPr>
            <w:r>
              <w:t>人均公用经费成本</w:t>
            </w:r>
          </w:p>
        </w:tc>
        <w:tc>
          <w:tcPr>
            <w:tcW w:w="2268" w:type="dxa"/>
            <w:vAlign w:val="center"/>
          </w:tcPr>
          <w:p>
            <w:pPr>
              <w:pStyle w:val="10"/>
            </w:pPr>
            <w:r>
              <w:t>≤1200元/人/年</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5386" w:type="dxa"/>
            <w:vAlign w:val="center"/>
          </w:tcPr>
          <w:p>
            <w:pPr>
              <w:pStyle w:val="10"/>
            </w:pPr>
            <w:r>
              <w:t>上级部门（或组织部门）对本单位年终考核成绩</w:t>
            </w:r>
          </w:p>
        </w:tc>
        <w:tc>
          <w:tcPr>
            <w:tcW w:w="2268" w:type="dxa"/>
            <w:vAlign w:val="center"/>
          </w:tcPr>
          <w:p>
            <w:pPr>
              <w:pStyle w:val="10"/>
            </w:pPr>
            <w:r>
              <w:t>良好</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181沙河市经济团体联合会</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沙河市经济团体联合会（含所属单位）上年末固定资产金额为0.00万元（详见下表）。本年度拟购置固定资产总额为0.00万元，已按要求列入政府采购预算，详见政府采购预算表。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181沙河市经济团体联合会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CA458"/>
    <w:multiLevelType w:val="singleLevel"/>
    <w:tmpl w:val="653CA45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74564933"/>
    <w:rsid w:val="240A211D"/>
    <w:rsid w:val="2D4E183C"/>
    <w:rsid w:val="7456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2024-02-02T02:59:00Z</dcterms:created>
  <dc:creator>ZXY</dc:creator>
  <cp:lastModifiedBy>Administrator</cp:lastModifiedBy>
  <dcterms:modified xsi:type="dcterms:W3CDTF">2024-04-10T05:55:23Z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4EF4C96B600840FAA906A7C9BF4D2193_11</vt:lpwstr>
  </property>
</Properties>
</file>