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沙河市地方志</w:t>
      </w:r>
      <w:r>
        <w:rPr>
          <w:rFonts w:hint="eastAsia" w:ascii="宋体" w:hAnsi="宋体" w:eastAsia="宋体" w:cs="宋体"/>
          <w:b/>
          <w:bCs/>
          <w:sz w:val="44"/>
          <w:szCs w:val="44"/>
          <w:lang w:val="en-US" w:eastAsia="zh-CN"/>
        </w:rPr>
        <w:t>研究中心</w:t>
      </w:r>
    </w:p>
    <w:p>
      <w:pPr>
        <w:jc w:val="center"/>
        <w:rPr>
          <w:rFonts w:hint="eastAsia" w:ascii="宋体" w:hAnsi="宋体" w:eastAsia="宋体" w:cs="宋体"/>
          <w:b/>
          <w:bCs/>
          <w:sz w:val="44"/>
          <w:szCs w:val="44"/>
        </w:rPr>
      </w:pP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21</w:t>
      </w:r>
      <w:r>
        <w:rPr>
          <w:rFonts w:hint="eastAsia" w:ascii="宋体" w:hAnsi="宋体" w:eastAsia="宋体" w:cs="宋体"/>
          <w:b/>
          <w:bCs/>
          <w:sz w:val="44"/>
          <w:szCs w:val="44"/>
        </w:rPr>
        <w:t>年</w:t>
      </w:r>
      <w:r>
        <w:rPr>
          <w:rFonts w:hint="eastAsia" w:ascii="宋体" w:hAnsi="宋体" w:eastAsia="宋体" w:cs="宋体"/>
          <w:b/>
          <w:bCs/>
          <w:sz w:val="44"/>
          <w:szCs w:val="44"/>
          <w:lang w:val="en-US" w:eastAsia="zh-CN"/>
        </w:rPr>
        <w:t>单位</w:t>
      </w:r>
      <w:r>
        <w:rPr>
          <w:rFonts w:hint="eastAsia" w:ascii="宋体" w:hAnsi="宋体" w:eastAsia="宋体" w:cs="宋体"/>
          <w:b/>
          <w:bCs/>
          <w:sz w:val="44"/>
          <w:szCs w:val="44"/>
        </w:rPr>
        <w:t>预算信息公开情况说明</w:t>
      </w:r>
    </w:p>
    <w:p>
      <w:pPr>
        <w:jc w:val="left"/>
        <w:rPr>
          <w:rFonts w:hint="eastAsia" w:ascii="仿宋" w:hAnsi="仿宋" w:eastAsia="仿宋"/>
          <w:color w:val="000000"/>
          <w:sz w:val="32"/>
          <w:lang w:val="en-US" w:eastAsia="zh-CN"/>
        </w:rPr>
      </w:pPr>
      <w:r>
        <w:rPr>
          <w:rFonts w:hint="eastAsia" w:ascii="仿宋" w:hAnsi="仿宋" w:eastAsia="仿宋"/>
          <w:color w:val="000000"/>
          <w:sz w:val="32"/>
          <w:lang w:val="en-US" w:eastAsia="zh-CN"/>
        </w:rPr>
        <w:t xml:space="preserve">    </w:t>
      </w:r>
    </w:p>
    <w:p>
      <w:pPr>
        <w:jc w:val="left"/>
        <w:rPr>
          <w:rFonts w:hint="eastAsia" w:ascii="仿宋_GB2312" w:hAnsi="仿宋_GB2312" w:eastAsia="仿宋_GB2312"/>
          <w:sz w:val="32"/>
        </w:rPr>
      </w:pPr>
      <w:r>
        <w:rPr>
          <w:rFonts w:hint="eastAsia" w:ascii="仿宋" w:hAnsi="仿宋" w:eastAsia="仿宋"/>
          <w:color w:val="000000"/>
          <w:sz w:val="32"/>
          <w:lang w:val="en-US" w:eastAsia="zh-CN"/>
        </w:rPr>
        <w:t xml:space="preserve">    </w:t>
      </w:r>
      <w:r>
        <w:rPr>
          <w:rFonts w:hint="eastAsia" w:ascii="仿宋_GB2312" w:hAnsi="仿宋_GB2312" w:eastAsia="仿宋_GB2312"/>
          <w:color w:val="000000"/>
          <w:sz w:val="32"/>
        </w:rPr>
        <w:t>按照《</w:t>
      </w:r>
      <w:r>
        <w:rPr>
          <w:rFonts w:hint="eastAsia" w:ascii="仿宋_GB2312" w:hAnsi="仿宋_GB2312" w:eastAsia="仿宋_GB2312"/>
          <w:color w:val="000000"/>
          <w:sz w:val="32"/>
          <w:lang w:val="en-US" w:eastAsia="zh-CN"/>
        </w:rPr>
        <w:t>中华人民共和国</w:t>
      </w:r>
      <w:r>
        <w:rPr>
          <w:rFonts w:hint="eastAsia" w:ascii="仿宋_GB2312" w:hAnsi="仿宋_GB2312" w:eastAsia="仿宋_GB2312"/>
          <w:color w:val="000000"/>
          <w:sz w:val="32"/>
        </w:rPr>
        <w:t>预算法》《地方预决算公开操作规程》《河北省省级预算公开办法》规定</w:t>
      </w:r>
      <w:r>
        <w:rPr>
          <w:rFonts w:hint="eastAsia" w:ascii="仿宋_GB2312" w:hAnsi="仿宋_GB2312" w:eastAsia="仿宋_GB2312"/>
          <w:color w:val="000000"/>
          <w:sz w:val="32"/>
          <w:lang w:eastAsia="zh-CN"/>
        </w:rPr>
        <w:t>和《关于做好</w:t>
      </w:r>
      <w:r>
        <w:rPr>
          <w:rFonts w:hint="eastAsia" w:ascii="仿宋_GB2312" w:hAnsi="仿宋_GB2312" w:eastAsia="仿宋_GB2312"/>
          <w:color w:val="000000"/>
          <w:sz w:val="32"/>
          <w:lang w:val="en-US" w:eastAsia="zh-CN"/>
        </w:rPr>
        <w:t>2021年单位预算公开工作的通知》的要求</w:t>
      </w:r>
      <w:r>
        <w:rPr>
          <w:rFonts w:hint="eastAsia" w:ascii="仿宋_GB2312" w:hAnsi="仿宋_GB2312" w:eastAsia="仿宋_GB2312"/>
          <w:color w:val="000000"/>
          <w:sz w:val="32"/>
        </w:rPr>
        <w:t>，现将</w:t>
      </w:r>
      <w:r>
        <w:rPr>
          <w:rFonts w:hint="eastAsia" w:ascii="仿宋_GB2312" w:hAnsi="仿宋_GB2312" w:eastAsia="仿宋_GB2312"/>
          <w:color w:val="000000"/>
          <w:sz w:val="32"/>
          <w:lang w:eastAsia="zh-CN"/>
        </w:rPr>
        <w:t>沙河市地方志办公室</w:t>
      </w:r>
      <w:r>
        <w:rPr>
          <w:rFonts w:hint="eastAsia" w:ascii="仿宋_GB2312" w:hAnsi="仿宋_GB2312" w:eastAsia="仿宋_GB2312"/>
          <w:color w:val="000000"/>
          <w:sz w:val="32"/>
          <w:lang w:val="en-US" w:eastAsia="zh-CN"/>
        </w:rPr>
        <w:t>2021</w:t>
      </w:r>
      <w:r>
        <w:rPr>
          <w:rFonts w:hint="eastAsia" w:ascii="仿宋_GB2312" w:hAnsi="仿宋_GB2312" w:eastAsia="仿宋_GB2312"/>
          <w:color w:val="000000"/>
          <w:sz w:val="32"/>
        </w:rPr>
        <w:t>年</w:t>
      </w:r>
      <w:r>
        <w:rPr>
          <w:rFonts w:hint="eastAsia" w:ascii="仿宋_GB2312" w:hAnsi="仿宋_GB2312" w:eastAsia="仿宋_GB2312"/>
          <w:color w:val="000000"/>
          <w:sz w:val="32"/>
          <w:lang w:val="en-US" w:eastAsia="zh-CN"/>
        </w:rPr>
        <w:t>单位</w:t>
      </w:r>
      <w:r>
        <w:rPr>
          <w:rFonts w:hint="eastAsia" w:ascii="仿宋_GB2312" w:hAnsi="仿宋_GB2312" w:eastAsia="仿宋_GB2312"/>
          <w:color w:val="000000"/>
          <w:sz w:val="32"/>
        </w:rPr>
        <w:t>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w:t>
      </w:r>
      <w:r>
        <w:rPr>
          <w:rFonts w:hint="eastAsia" w:ascii="黑体" w:hAnsi="黑体" w:eastAsia="黑体" w:cs="Times New Roman"/>
          <w:sz w:val="32"/>
          <w:szCs w:val="32"/>
          <w:lang w:val="en-US" w:eastAsia="zh-CN"/>
        </w:rPr>
        <w:t>单位</w:t>
      </w:r>
      <w:r>
        <w:rPr>
          <w:rFonts w:hint="eastAsia" w:ascii="黑体" w:hAnsi="黑体" w:eastAsia="黑体" w:cs="Times New Roman"/>
          <w:sz w:val="32"/>
          <w:szCs w:val="32"/>
        </w:rPr>
        <w:t>职责及机构设置情况</w:t>
      </w:r>
    </w:p>
    <w:p>
      <w:pPr>
        <w:widowControl/>
        <w:spacing w:line="580" w:lineRule="exact"/>
        <w:ind w:firstLine="640" w:firstLineChars="200"/>
        <w:jc w:val="left"/>
        <w:rPr>
          <w:rFonts w:ascii="仿宋" w:hAnsi="仿宋" w:eastAsia="仿宋" w:cs="Times New Roman"/>
          <w:sz w:val="32"/>
          <w:szCs w:val="32"/>
        </w:rPr>
      </w:pPr>
      <w:r>
        <w:rPr>
          <w:rFonts w:hint="eastAsia" w:ascii="楷体" w:hAnsi="楷体" w:eastAsia="楷体" w:cs="楷体"/>
          <w:b w:val="0"/>
          <w:bCs/>
          <w:sz w:val="32"/>
          <w:szCs w:val="32"/>
          <w:lang w:val="en-US" w:eastAsia="zh-CN"/>
        </w:rPr>
        <w:t>单位</w:t>
      </w:r>
      <w:r>
        <w:rPr>
          <w:rFonts w:hint="eastAsia" w:ascii="楷体" w:hAnsi="楷体" w:eastAsia="楷体" w:cs="楷体"/>
          <w:b w:val="0"/>
          <w:bCs/>
          <w:sz w:val="32"/>
          <w:szCs w:val="32"/>
        </w:rPr>
        <w:t>职责：</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组织、指导、督促和检查地方志工作；拟定地方志工作规划和编纂方案；组织编纂地方志书、地方综合年鉴；搜集、保存地方志文献和资料，组织整理旧志，推动方志理论研究；组织开发利用地方志资源。</w:t>
      </w:r>
    </w:p>
    <w:p>
      <w:pPr>
        <w:ind w:firstLine="640" w:firstLineChars="200"/>
        <w:rPr>
          <w:rFonts w:hint="eastAsia" w:ascii="仿宋" w:hAnsi="仿宋" w:eastAsia="仿宋" w:cs="Times New Roman"/>
          <w:b/>
          <w:sz w:val="32"/>
          <w:szCs w:val="32"/>
        </w:rPr>
      </w:pPr>
      <w:r>
        <w:rPr>
          <w:rFonts w:hint="eastAsia" w:ascii="楷体" w:hAnsi="楷体" w:eastAsia="楷体" w:cs="楷体"/>
          <w:b w:val="0"/>
          <w:bCs/>
          <w:sz w:val="32"/>
          <w:szCs w:val="32"/>
        </w:rPr>
        <w:t>机构设置：</w:t>
      </w:r>
    </w:p>
    <w:tbl>
      <w:tblPr>
        <w:tblStyle w:val="6"/>
        <w:tblW w:w="9096" w:type="dxa"/>
        <w:tblInd w:w="0" w:type="dxa"/>
        <w:tblLayout w:type="fixed"/>
        <w:tblCellMar>
          <w:top w:w="0" w:type="dxa"/>
          <w:left w:w="0" w:type="dxa"/>
          <w:bottom w:w="0" w:type="dxa"/>
          <w:right w:w="0" w:type="dxa"/>
        </w:tblCellMar>
      </w:tblPr>
      <w:tblGrid>
        <w:gridCol w:w="3334"/>
        <w:gridCol w:w="1560"/>
        <w:gridCol w:w="1965"/>
        <w:gridCol w:w="2237"/>
      </w:tblGrid>
      <w:tr>
        <w:tblPrEx>
          <w:tblCellMar>
            <w:top w:w="0" w:type="dxa"/>
            <w:left w:w="0" w:type="dxa"/>
            <w:bottom w:w="0" w:type="dxa"/>
            <w:right w:w="0" w:type="dxa"/>
          </w:tblCellMar>
        </w:tblPrEx>
        <w:trPr>
          <w:trHeight w:val="642" w:hRule="atLeast"/>
        </w:trPr>
        <w:tc>
          <w:tcPr>
            <w:tcW w:w="33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单位名称</w:t>
            </w:r>
          </w:p>
        </w:tc>
        <w:tc>
          <w:tcPr>
            <w:tcW w:w="1560"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单位性质</w:t>
            </w:r>
          </w:p>
        </w:tc>
        <w:tc>
          <w:tcPr>
            <w:tcW w:w="196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单位规格</w:t>
            </w:r>
          </w:p>
        </w:tc>
        <w:tc>
          <w:tcPr>
            <w:tcW w:w="2237"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经费保障形式</w:t>
            </w:r>
          </w:p>
        </w:tc>
      </w:tr>
      <w:tr>
        <w:tblPrEx>
          <w:tblCellMar>
            <w:top w:w="0" w:type="dxa"/>
            <w:left w:w="0" w:type="dxa"/>
            <w:bottom w:w="0" w:type="dxa"/>
            <w:right w:w="0" w:type="dxa"/>
          </w:tblCellMar>
        </w:tblPrEx>
        <w:trPr>
          <w:trHeight w:val="642" w:hRule="atLeast"/>
        </w:trPr>
        <w:tc>
          <w:tcPr>
            <w:tcW w:w="3334" w:type="dxa"/>
            <w:tcBorders>
              <w:top w:val="nil"/>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lang w:val="en-US" w:eastAsia="zh-CN"/>
              </w:rPr>
            </w:pPr>
            <w:r>
              <w:rPr>
                <w:rFonts w:hint="eastAsia" w:ascii="仿宋_GB2312" w:hAnsi="宋体" w:eastAsia="仿宋_GB2312" w:cs="仿宋_GB2312"/>
                <w:i w:val="0"/>
                <w:color w:val="auto"/>
                <w:kern w:val="0"/>
                <w:sz w:val="32"/>
                <w:szCs w:val="32"/>
                <w:u w:val="none"/>
                <w:lang w:val="en-US" w:eastAsia="zh-CN" w:bidi="ar"/>
              </w:rPr>
              <w:t>沙河市地方志研究中心</w:t>
            </w:r>
          </w:p>
        </w:tc>
        <w:tc>
          <w:tcPr>
            <w:tcW w:w="1560"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参公事业</w:t>
            </w:r>
          </w:p>
        </w:tc>
        <w:tc>
          <w:tcPr>
            <w:tcW w:w="1965"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正科级</w:t>
            </w:r>
          </w:p>
        </w:tc>
        <w:tc>
          <w:tcPr>
            <w:tcW w:w="2237"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eastAsia="zh-CN"/>
        </w:rPr>
        <w:t>单位</w:t>
      </w:r>
      <w:r>
        <w:rPr>
          <w:rFonts w:hint="eastAsia" w:ascii="黑体" w:hAnsi="黑体" w:eastAsia="黑体" w:cs="Times New Roman"/>
          <w:sz w:val="32"/>
          <w:szCs w:val="32"/>
        </w:rPr>
        <w:t>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val="en-US" w:eastAsia="zh-CN"/>
        </w:rPr>
        <w:t>市</w:t>
      </w:r>
      <w:r>
        <w:rPr>
          <w:rFonts w:hint="eastAsia" w:ascii="Times New Roman" w:hAnsi="Times New Roman" w:eastAsia="仿宋" w:cs="Times New Roman"/>
          <w:sz w:val="32"/>
          <w:szCs w:val="32"/>
          <w:lang w:eastAsia="zh-CN"/>
        </w:rPr>
        <w:t>单位</w:t>
      </w:r>
      <w:r>
        <w:rPr>
          <w:rFonts w:ascii="Times New Roman" w:hAnsi="Times New Roman" w:eastAsia="仿宋" w:cs="Times New Roman"/>
          <w:sz w:val="32"/>
          <w:szCs w:val="32"/>
        </w:rPr>
        <w:t>预算的编制实行综合预算制度，即全部收入和支出都反映的预算中</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单位的收支包含在</w:t>
      </w:r>
      <w:r>
        <w:rPr>
          <w:rFonts w:hint="eastAsia" w:ascii="Times New Roman" w:hAnsi="Times New Roman" w:eastAsia="仿宋" w:cs="Times New Roman"/>
          <w:sz w:val="32"/>
          <w:szCs w:val="32"/>
          <w:lang w:eastAsia="zh-CN"/>
        </w:rPr>
        <w:t>单位</w:t>
      </w:r>
      <w:r>
        <w:rPr>
          <w:rFonts w:ascii="Times New Roman" w:hAnsi="Times New Roman" w:eastAsia="仿宋" w:cs="Times New Roman"/>
          <w:sz w:val="32"/>
          <w:szCs w:val="32"/>
        </w:rPr>
        <w:t>预算中。</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反映本单位当年全部收入。2021年预算收入63.33万元，其中：一般公共预算收入63.33万元，基金预算拨款0元。</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ascii="Times New Roman" w:hAnsi="Times New Roman" w:eastAsia="仿宋" w:cs="Times New Roman"/>
          <w:sz w:val="32"/>
          <w:szCs w:val="32"/>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沙河市地方志研究中心年2021年度单位预算中支出预算的总体情况。2021年支出预算63.33万元，其中基本支出63.33万元，包括人员经费55.2万元，正常公用经费5.43万元，项目支出2.7万元，全部为本级支出的地方志工作运转经费。</w:t>
      </w:r>
    </w:p>
    <w:p>
      <w:pPr>
        <w:numPr>
          <w:ilvl w:val="0"/>
          <w:numId w:val="0"/>
        </w:numPr>
        <w:ind w:left="640" w:leftChars="0"/>
        <w:rPr>
          <w:rFonts w:hint="default" w:ascii="Times New Roman" w:hAnsi="Times New Roman" w:eastAsia="仿宋" w:cs="Times New Roman"/>
          <w:sz w:val="32"/>
          <w:szCs w:val="32"/>
          <w:lang w:val="en-US"/>
        </w:rPr>
      </w:pPr>
      <w:r>
        <w:rPr>
          <w:rFonts w:hint="eastAsia" w:ascii="楷体" w:hAnsi="楷体" w:eastAsia="楷体" w:cs="楷体"/>
          <w:sz w:val="32"/>
          <w:szCs w:val="32"/>
          <w:lang w:val="en-US" w:eastAsia="zh-CN"/>
        </w:rPr>
        <w:t>3、</w:t>
      </w:r>
      <w:r>
        <w:rPr>
          <w:rFonts w:hint="eastAsia" w:ascii="楷体" w:hAnsi="楷体" w:eastAsia="楷体" w:cs="楷体"/>
          <w:sz w:val="32"/>
          <w:szCs w:val="32"/>
        </w:rPr>
        <w:t>比上年增减情况</w:t>
      </w:r>
      <w:r>
        <w:rPr>
          <w:rFonts w:hint="eastAsia" w:ascii="楷体" w:hAnsi="楷体" w:eastAsia="楷体" w:cs="楷体"/>
          <w:sz w:val="32"/>
          <w:szCs w:val="32"/>
          <w:lang w:val="en-US" w:eastAsia="zh-CN"/>
        </w:rPr>
        <w:t xml:space="preserve">  </w:t>
      </w:r>
      <w:r>
        <w:rPr>
          <w:rFonts w:hint="eastAsia" w:ascii="Times New Roman" w:hAnsi="Times New Roman" w:eastAsia="仿宋"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ascii="Times New Roman" w:hAnsi="Times New Roman" w:eastAsia="仿宋" w:cs="Times New Roman"/>
          <w:sz w:val="32"/>
          <w:szCs w:val="32"/>
        </w:rPr>
      </w:pPr>
      <w:r>
        <w:rPr>
          <w:rFonts w:hint="eastAsia" w:ascii="仿宋_GB2312" w:hAnsi="仿宋_GB2312" w:eastAsia="仿宋_GB2312" w:cs="仿宋_GB2312"/>
          <w:sz w:val="32"/>
          <w:szCs w:val="32"/>
          <w:lang w:val="en-US" w:eastAsia="zh-CN"/>
        </w:rPr>
        <w:t>2021年预算收支安排63.33万元，较2020年预算增加1.02万元，其中人员经费增加1.15万元、正常公用经费减少0.13万元，主要原因是人员工作基数上调随之工资费用的增加。项目支出同2020年一样无增减变化。</w:t>
      </w:r>
    </w:p>
    <w:p>
      <w:pPr>
        <w:numPr>
          <w:ilvl w:val="0"/>
          <w:numId w:val="0"/>
        </w:num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Times New Roman"/>
          <w:sz w:val="32"/>
          <w:szCs w:val="32"/>
        </w:rPr>
      </w:pPr>
      <w:r>
        <w:rPr>
          <w:rFonts w:hint="eastAsia" w:ascii="仿宋_GB2312" w:hAnsi="仿宋_GB2312" w:eastAsia="仿宋_GB2312" w:cs="仿宋_GB2312"/>
          <w:sz w:val="32"/>
          <w:szCs w:val="32"/>
          <w:lang w:val="en-US" w:eastAsia="zh-CN"/>
        </w:rPr>
        <w:t>机关运行经费安排5.43万元，主要用于机关正常运转、交通补贴等日常运行支出。</w:t>
      </w:r>
    </w:p>
    <w:p>
      <w:pPr>
        <w:numPr>
          <w:ilvl w:val="0"/>
          <w:numId w:val="0"/>
        </w:numPr>
        <w:autoSpaceDE w:val="0"/>
        <w:autoSpaceDN w:val="0"/>
        <w:adjustRightInd w:val="0"/>
        <w:ind w:left="800" w:leftChars="0"/>
        <w:jc w:val="left"/>
        <w:rPr>
          <w:rFonts w:hint="eastAsia" w:ascii="黑体" w:hAnsi="黑体" w:eastAsia="黑体" w:cs="Times New Roman"/>
          <w:sz w:val="32"/>
          <w:szCs w:val="32"/>
          <w:lang w:val="en-US" w:eastAsia="zh-CN"/>
        </w:rPr>
      </w:pPr>
    </w:p>
    <w:p>
      <w:pPr>
        <w:numPr>
          <w:ilvl w:val="0"/>
          <w:numId w:val="0"/>
        </w:numPr>
        <w:autoSpaceDE w:val="0"/>
        <w:autoSpaceDN w:val="0"/>
        <w:adjustRightInd w:val="0"/>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numPr>
          <w:ilvl w:val="0"/>
          <w:numId w:val="0"/>
        </w:numPr>
        <w:autoSpaceDE w:val="0"/>
        <w:autoSpaceDN w:val="0"/>
        <w:adjustRightInd w:val="0"/>
        <w:ind w:firstLine="640" w:firstLineChars="200"/>
        <w:jc w:val="left"/>
        <w:rPr>
          <w:rFonts w:hint="eastAsia" w:ascii="仿宋_GB2312" w:hAnsi="仿宋_GB2312" w:eastAsia="仿宋_GB2312" w:cs="Times New Roman"/>
          <w:sz w:val="32"/>
          <w:szCs w:val="32"/>
          <w:lang w:eastAsia="zh-CN"/>
        </w:rPr>
      </w:pPr>
      <w:r>
        <w:rPr>
          <w:rFonts w:hint="eastAsia" w:ascii="仿宋_GB2312" w:hAnsi="仿宋_GB2312" w:eastAsia="仿宋_GB2312" w:cs="仿宋_GB2312"/>
          <w:sz w:val="32"/>
          <w:szCs w:val="32"/>
          <w:lang w:val="en-US" w:eastAsia="zh-CN"/>
        </w:rPr>
        <w:t>2021年，我单位“三公”经费预算安排0万元，其中因公出国（境）费0元；公务用车购置及运维费0万元；公务接待费0万元。</w:t>
      </w:r>
      <w:r>
        <w:rPr>
          <w:rFonts w:hint="eastAsia" w:ascii="仿宋_GB2312" w:hAnsi="仿宋_GB2312" w:eastAsia="仿宋_GB2312" w:cs="Times New Roman"/>
          <w:sz w:val="32"/>
          <w:szCs w:val="32"/>
          <w:lang w:eastAsia="zh-CN"/>
        </w:rPr>
        <w:t>“三公”经费</w:t>
      </w:r>
      <w:r>
        <w:rPr>
          <w:rFonts w:hint="eastAsia" w:ascii="仿宋_GB2312" w:hAnsi="仿宋_GB2312" w:eastAsia="仿宋_GB2312" w:cs="Times New Roman"/>
          <w:sz w:val="32"/>
          <w:szCs w:val="32"/>
        </w:rPr>
        <w:t>与20</w:t>
      </w:r>
      <w:r>
        <w:rPr>
          <w:rFonts w:hint="eastAsia" w:ascii="仿宋_GB2312" w:hAnsi="仿宋_GB2312" w:eastAsia="仿宋_GB2312" w:cs="Times New Roman"/>
          <w:sz w:val="32"/>
          <w:szCs w:val="32"/>
          <w:lang w:val="en-US" w:eastAsia="zh-CN"/>
        </w:rPr>
        <w:t>20</w:t>
      </w:r>
      <w:r>
        <w:rPr>
          <w:rFonts w:hint="eastAsia" w:ascii="仿宋_GB2312" w:hAnsi="仿宋_GB2312" w:eastAsia="仿宋_GB2312" w:cs="Times New Roman"/>
          <w:sz w:val="32"/>
          <w:szCs w:val="32"/>
        </w:rPr>
        <w:t>年</w:t>
      </w:r>
      <w:r>
        <w:rPr>
          <w:rFonts w:hint="eastAsia" w:ascii="仿宋_GB2312" w:hAnsi="仿宋_GB2312" w:eastAsia="仿宋_GB2312" w:cs="Times New Roman"/>
          <w:sz w:val="32"/>
          <w:szCs w:val="32"/>
          <w:lang w:eastAsia="zh-CN"/>
        </w:rPr>
        <w:t>持平，无增减变化。</w:t>
      </w:r>
    </w:p>
    <w:p>
      <w:pPr>
        <w:numPr>
          <w:ilvl w:val="0"/>
          <w:numId w:val="0"/>
        </w:numPr>
        <w:autoSpaceDE w:val="0"/>
        <w:autoSpaceDN w:val="0"/>
        <w:adjustRightInd w:val="0"/>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绩效预算信息</w:t>
      </w:r>
    </w:p>
    <w:p>
      <w:pPr>
        <w:jc w:val="center"/>
        <w:outlineLvl w:val="0"/>
        <w:rPr>
          <w:rFonts w:hAnsi="宋体"/>
          <w:sz w:val="32"/>
          <w:szCs w:val="32"/>
        </w:rPr>
      </w:pPr>
      <w:r>
        <w:rPr>
          <w:rFonts w:hint="eastAsia" w:ascii="楷体" w:hAnsi="楷体" w:eastAsia="楷体" w:cs="楷体"/>
          <w:sz w:val="32"/>
          <w:szCs w:val="32"/>
          <w:lang w:eastAsia="zh-CN"/>
        </w:rPr>
        <w:t>第一部分</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单位</w:t>
      </w:r>
      <w:r>
        <w:rPr>
          <w:rFonts w:hint="eastAsia" w:ascii="楷体" w:hAnsi="楷体" w:eastAsia="楷体" w:cs="楷体"/>
          <w:sz w:val="32"/>
          <w:szCs w:val="32"/>
        </w:rPr>
        <w:t>整体绩效目标</w:t>
      </w:r>
      <w:r>
        <w:rPr>
          <w:sz w:val="32"/>
          <w:szCs w:val="32"/>
        </w:rPr>
        <w:fldChar w:fldCharType="begin"/>
      </w:r>
      <w:r>
        <w:rPr>
          <w:rFonts w:ascii="方正黑体_GBK" w:eastAsia="方正黑体_GBK"/>
          <w:sz w:val="32"/>
          <w:szCs w:val="32"/>
        </w:rPr>
        <w:instrText xml:space="preserve"> </w:instrText>
      </w:r>
      <w:r>
        <w:rPr>
          <w:rFonts w:hint="eastAsia" w:ascii="方正黑体_GBK" w:eastAsia="方正黑体_GBK"/>
          <w:sz w:val="32"/>
          <w:szCs w:val="32"/>
        </w:rPr>
        <w:instrText xml:space="preserve">TC 总体绩效目标 \f A \l 1</w:instrText>
      </w:r>
      <w:r>
        <w:rPr>
          <w:rFonts w:ascii="方正黑体_GBK" w:eastAsia="方正黑体_GBK"/>
          <w:sz w:val="32"/>
          <w:szCs w:val="32"/>
        </w:rPr>
        <w:instrText xml:space="preserve"> </w:instrText>
      </w:r>
      <w:r>
        <w:rPr>
          <w:rFonts w:ascii="方正黑体_GBK" w:eastAsia="方正黑体_GBK"/>
          <w:sz w:val="32"/>
          <w:szCs w:val="32"/>
        </w:rPr>
        <w:fldChar w:fldCharType="end"/>
      </w:r>
    </w:p>
    <w:p>
      <w:pPr>
        <w:spacing w:line="500" w:lineRule="exact"/>
        <w:ind w:firstLine="640" w:firstLineChars="200"/>
        <w:jc w:val="left"/>
        <w:rPr>
          <w:rFonts w:hint="eastAsia" w:ascii="仿宋" w:hAnsi="仿宋" w:eastAsia="仿宋" w:cs="仿宋"/>
          <w:sz w:val="32"/>
          <w:szCs w:val="32"/>
        </w:rPr>
      </w:pPr>
    </w:p>
    <w:p>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总体绩效目标：</w:t>
      </w:r>
      <w:r>
        <w:rPr>
          <w:rFonts w:hint="eastAsia" w:ascii="仿宋" w:hAnsi="仿宋" w:eastAsia="仿宋" w:cs="仿宋"/>
          <w:sz w:val="32"/>
          <w:szCs w:val="32"/>
        </w:rPr>
        <w:t>在沙河市委、市政府的正确领导下，在省、市方志办的具体指导下，深入贯彻党的十九大和十九届二中、三中、四中、五中全会精神，坚持以马克思列宁主义、毛泽东思想、邓小平理论、“三个代表”重要思想、科学发展观、习近平新时代中国特色社会主义思想为指导，认真开展“不忘初心</w:t>
      </w:r>
      <w:r>
        <w:rPr>
          <w:rFonts w:hint="eastAsia" w:ascii="仿宋" w:hAnsi="仿宋" w:eastAsia="仿宋" w:cs="仿宋"/>
          <w:sz w:val="32"/>
          <w:szCs w:val="32"/>
          <w:lang w:eastAsia="zh-CN"/>
        </w:rPr>
        <w:t>、</w:t>
      </w:r>
      <w:r>
        <w:rPr>
          <w:rFonts w:hint="eastAsia" w:ascii="仿宋" w:hAnsi="仿宋" w:eastAsia="仿宋" w:cs="仿宋"/>
          <w:sz w:val="32"/>
          <w:szCs w:val="32"/>
        </w:rPr>
        <w:t>牢记使命”主题教育，全面实施国务院《地方志工作条例》,紧紧围绕年初制定的工作目标，将质量意识贯穿于修志编鉴工作全过程,以地方志“两全目标”工作为重点,着力推进志鉴编纂并合理有序地开发利用方志资源,开拓创新求突破，凝心聚力抓落实。弘扬和传承优秀文化传统，充分发挥志书“资政、存史、教化”的综合功能，为社会各界方便快捷提供市情，为沙河市经济社会建设服务。</w:t>
      </w:r>
    </w:p>
    <w:p>
      <w:pPr>
        <w:spacing w:before="156" w:beforeLines="50" w:after="156" w:afterLines="50" w:line="500" w:lineRule="exact"/>
        <w:ind w:firstLine="643" w:firstLineChars="200"/>
        <w:jc w:val="left"/>
        <w:outlineLvl w:val="1"/>
        <w:rPr>
          <w:rFonts w:hint="eastAsia" w:ascii="仿宋" w:hAnsi="仿宋" w:eastAsia="仿宋" w:cs="仿宋"/>
          <w:b/>
          <w:bCs/>
          <w:sz w:val="32"/>
          <w:szCs w:val="32"/>
        </w:rPr>
      </w:pPr>
      <w:bookmarkStart w:id="0" w:name="_Toc67381037"/>
      <w:r>
        <w:rPr>
          <w:rFonts w:hint="eastAsia" w:ascii="仿宋" w:hAnsi="仿宋" w:eastAsia="仿宋" w:cs="仿宋"/>
          <w:b/>
          <w:bCs/>
          <w:sz w:val="32"/>
          <w:szCs w:val="32"/>
        </w:rPr>
        <w:t>分项绩效目标</w:t>
      </w:r>
      <w:bookmarkEnd w:id="0"/>
      <w:r>
        <w:rPr>
          <w:rFonts w:hint="eastAsia" w:ascii="仿宋" w:hAnsi="仿宋" w:eastAsia="仿宋" w:cs="仿宋"/>
          <w:b/>
          <w:bCs/>
          <w:sz w:val="32"/>
          <w:szCs w:val="32"/>
          <w:lang w:eastAsia="zh-CN"/>
        </w:rPr>
        <w:t>：</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TC 分项绩效目标 \f A \l 1 </w:instrText>
      </w:r>
      <w:r>
        <w:rPr>
          <w:rFonts w:hint="eastAsia" w:ascii="仿宋" w:hAnsi="仿宋" w:eastAsia="仿宋" w:cs="仿宋"/>
          <w:b/>
          <w:bCs/>
          <w:sz w:val="32"/>
          <w:szCs w:val="32"/>
        </w:rPr>
        <w:fldChar w:fldCharType="end"/>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绩效目标：组织开展地方志工作提供技术指导；</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绩效指标：拟订方志工作规划分析、论证工作。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绩效目标：组织编纂地方志书、地方综合年鉴；</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绩效指标：保存地方志文献资料，组织整理旧志。</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绩效目标：推动方志理论研究；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绩效指标：组织开发利用地方志资源。</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工作保障措施 \f A \l 1 </w:instrTex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工作保障措施</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完善制度建设。方志研究中心制定了完善预算绩效管理制度、资金管理办法、工作保障制度等，建立健全预算编制、审批、执行、决算与评价等预算内部管理制度，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加强支出管理。建立健全收入、支出内部管理制度；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（三）加强绩效运行监控。方志研究中心共按要求开展绩效运行监控，发现问题并及时采取措施，确保绩效目标如期保质实现。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（四）做好绩效自评。按要求开展年度</w:t>
      </w:r>
      <w:r>
        <w:rPr>
          <w:rFonts w:hint="eastAsia" w:ascii="仿宋" w:hAnsi="仿宋" w:eastAsia="仿宋" w:cs="仿宋"/>
          <w:sz w:val="32"/>
          <w:szCs w:val="32"/>
          <w:lang w:eastAsia="zh-CN"/>
        </w:rPr>
        <w:t>单位</w:t>
      </w:r>
      <w:r>
        <w:rPr>
          <w:rFonts w:hint="eastAsia" w:ascii="仿宋" w:hAnsi="仿宋" w:eastAsia="仿宋" w:cs="仿宋"/>
          <w:sz w:val="32"/>
          <w:szCs w:val="32"/>
        </w:rPr>
        <w:t>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（七）加强宣传培训调研等。方志研究中心将加强人员培训，提高本</w:t>
      </w:r>
      <w:r>
        <w:rPr>
          <w:rFonts w:hint="eastAsia" w:ascii="仿宋" w:hAnsi="仿宋" w:eastAsia="仿宋" w:cs="仿宋"/>
          <w:sz w:val="32"/>
          <w:szCs w:val="32"/>
          <w:lang w:eastAsia="zh-CN"/>
        </w:rPr>
        <w:t>单位</w:t>
      </w:r>
      <w:r>
        <w:rPr>
          <w:rFonts w:hint="eastAsia" w:ascii="仿宋" w:hAnsi="仿宋" w:eastAsia="仿宋" w:cs="仿宋"/>
          <w:sz w:val="32"/>
          <w:szCs w:val="32"/>
        </w:rPr>
        <w:t>职工业务素质；加强调研，提出优化财政资金配置、提高资金使用效益的</w:t>
      </w:r>
      <w:bookmarkStart w:id="2" w:name="_GoBack"/>
      <w:bookmarkEnd w:id="2"/>
      <w:r>
        <w:rPr>
          <w:rFonts w:hint="eastAsia" w:ascii="仿宋" w:hAnsi="仿宋" w:eastAsia="仿宋" w:cs="仿宋"/>
          <w:sz w:val="32"/>
          <w:szCs w:val="32"/>
        </w:rPr>
        <w:t>意见；加大宣传力度，强化预算绩效管理意识，促进预算绩效管理水平进一步提升</w:t>
      </w:r>
      <w:r>
        <w:rPr>
          <w:rFonts w:hint="eastAsia" w:ascii="仿宋" w:hAnsi="仿宋" w:eastAsia="仿宋" w:cs="仿宋"/>
          <w:sz w:val="32"/>
          <w:szCs w:val="32"/>
          <w:lang w:eastAsia="zh-CN"/>
        </w:rPr>
        <w:t>。</w:t>
      </w:r>
    </w:p>
    <w:p>
      <w:pPr>
        <w:spacing w:line="500" w:lineRule="exact"/>
        <w:jc w:val="center"/>
        <w:rPr>
          <w:rFonts w:hint="eastAsia" w:ascii="楷体" w:hAnsi="楷体" w:eastAsia="楷体" w:cs="楷体"/>
          <w:sz w:val="32"/>
          <w:szCs w:val="32"/>
        </w:rPr>
      </w:pPr>
      <w:r>
        <w:rPr>
          <w:rFonts w:hint="eastAsia" w:ascii="楷体" w:hAnsi="楷体" w:eastAsia="楷体" w:cs="楷体"/>
          <w:sz w:val="32"/>
          <w:szCs w:val="32"/>
        </w:rPr>
        <w:t>第二部分 预算项目绩效目标</w:t>
      </w:r>
    </w:p>
    <w:p>
      <w:pPr>
        <w:jc w:val="center"/>
        <w:sectPr>
          <w:footerReference r:id="rId3" w:type="default"/>
          <w:pgSz w:w="11907" w:h="16839"/>
          <w:pgMar w:top="1984" w:right="1304" w:bottom="1134" w:left="1304" w:header="851" w:footer="992" w:gutter="0"/>
          <w:pgNumType w:fmt="numberInDash"/>
          <w:cols w:space="425" w:num="1"/>
          <w:docGrid w:type="lines" w:linePitch="312" w:charSpace="0"/>
        </w:sectPr>
      </w:pPr>
    </w:p>
    <w:p>
      <w:pPr>
        <w:jc w:val="center"/>
        <w:outlineLvl w:val="3"/>
        <w:rPr>
          <w:rFonts w:hAnsi="宋体"/>
          <w:b/>
          <w:sz w:val="28"/>
        </w:rPr>
      </w:pPr>
      <w:bookmarkStart w:id="1" w:name="_Toc67381039"/>
      <w:r>
        <w:rPr>
          <w:rFonts w:hint="eastAsia" w:ascii="方正仿宋_GBK" w:eastAsia="方正仿宋_GBK"/>
          <w:b w:val="0"/>
          <w:bCs/>
          <w:sz w:val="28"/>
        </w:rPr>
        <w:t>方志业务经费绩效目标表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1、方志业务经费绩效目标表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val="0"/>
                <w:bCs/>
              </w:rPr>
            </w:pPr>
            <w:r>
              <w:rPr>
                <w:rFonts w:hint="eastAsia" w:ascii="方正书宋_GBK" w:eastAsia="方正书宋_GBK"/>
                <w:b w:val="0"/>
                <w:bCs/>
              </w:rPr>
              <w:t>152002沙河市地方志研究中心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b w:val="0"/>
                <w:bCs/>
              </w:rPr>
            </w:pPr>
            <w:r>
              <w:rPr>
                <w:rFonts w:hint="eastAsia" w:ascii="方正书宋_GBK" w:eastAsia="方正书宋_GBK"/>
                <w:b w:val="0"/>
                <w:bCs/>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项目编码</w:t>
            </w:r>
          </w:p>
        </w:tc>
        <w:tc>
          <w:tcPr>
            <w:tcW w:w="2410" w:type="dxa"/>
            <w:gridSpan w:val="2"/>
            <w:shd w:val="clear" w:color="auto" w:fill="auto"/>
            <w:vAlign w:val="center"/>
          </w:tcPr>
          <w:p>
            <w:pPr>
              <w:spacing w:line="300" w:lineRule="exact"/>
              <w:jc w:val="left"/>
              <w:rPr>
                <w:rFonts w:ascii="方正书宋_GBK" w:eastAsia="方正书宋_GBK"/>
                <w:b w:val="0"/>
                <w:bCs/>
              </w:rPr>
            </w:pPr>
            <w:r>
              <w:rPr>
                <w:rFonts w:ascii="方正书宋_GBK" w:eastAsia="方正书宋_GBK"/>
                <w:b w:val="0"/>
                <w:bCs/>
              </w:rPr>
              <w:t>13058221UWK3XIRM81K8C</w:t>
            </w:r>
          </w:p>
        </w:tc>
        <w:tc>
          <w:tcPr>
            <w:tcW w:w="1587" w:type="dxa"/>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项目名称</w:t>
            </w:r>
          </w:p>
        </w:tc>
        <w:tc>
          <w:tcPr>
            <w:tcW w:w="4281" w:type="dxa"/>
            <w:gridSpan w:val="3"/>
            <w:shd w:val="clear" w:color="auto" w:fill="auto"/>
            <w:vAlign w:val="center"/>
          </w:tcPr>
          <w:p>
            <w:pPr>
              <w:spacing w:line="300" w:lineRule="exact"/>
              <w:jc w:val="left"/>
              <w:rPr>
                <w:rFonts w:ascii="方正书宋_GBK" w:eastAsia="方正书宋_GBK"/>
                <w:b w:val="0"/>
                <w:bCs/>
              </w:rPr>
            </w:pPr>
            <w:r>
              <w:rPr>
                <w:rFonts w:hint="eastAsia" w:ascii="方正书宋_GBK" w:eastAsia="方正书宋_GBK"/>
                <w:b w:val="0"/>
                <w:bCs/>
              </w:rPr>
              <w:t>方志业务经费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预算规模及资金用途</w:t>
            </w:r>
          </w:p>
        </w:tc>
        <w:tc>
          <w:tcPr>
            <w:tcW w:w="1134" w:type="dxa"/>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预算数</w:t>
            </w:r>
          </w:p>
        </w:tc>
        <w:tc>
          <w:tcPr>
            <w:tcW w:w="1276" w:type="dxa"/>
            <w:shd w:val="clear" w:color="auto" w:fill="auto"/>
            <w:vAlign w:val="center"/>
          </w:tcPr>
          <w:p>
            <w:pPr>
              <w:spacing w:line="300" w:lineRule="exact"/>
              <w:jc w:val="left"/>
              <w:rPr>
                <w:rFonts w:ascii="方正书宋_GBK" w:eastAsia="方正书宋_GBK"/>
                <w:b w:val="0"/>
                <w:bCs/>
              </w:rPr>
            </w:pPr>
            <w:r>
              <w:rPr>
                <w:rFonts w:ascii="方正书宋_GBK" w:eastAsia="方正书宋_GBK"/>
                <w:b w:val="0"/>
                <w:bCs/>
              </w:rPr>
              <w:t>27000.00</w:t>
            </w:r>
          </w:p>
        </w:tc>
        <w:tc>
          <w:tcPr>
            <w:tcW w:w="1587" w:type="dxa"/>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其中：财政资金</w:t>
            </w:r>
          </w:p>
        </w:tc>
        <w:tc>
          <w:tcPr>
            <w:tcW w:w="1304" w:type="dxa"/>
            <w:shd w:val="clear" w:color="auto" w:fill="auto"/>
            <w:vAlign w:val="center"/>
          </w:tcPr>
          <w:p>
            <w:pPr>
              <w:spacing w:line="300" w:lineRule="exact"/>
              <w:jc w:val="left"/>
              <w:rPr>
                <w:rFonts w:ascii="方正书宋_GBK" w:eastAsia="方正书宋_GBK"/>
                <w:b w:val="0"/>
                <w:bCs/>
              </w:rPr>
            </w:pPr>
            <w:r>
              <w:rPr>
                <w:rFonts w:ascii="方正书宋_GBK" w:eastAsia="方正书宋_GBK"/>
                <w:b w:val="0"/>
                <w:bCs/>
              </w:rPr>
              <w:t>27000.00</w:t>
            </w:r>
          </w:p>
        </w:tc>
        <w:tc>
          <w:tcPr>
            <w:tcW w:w="1276" w:type="dxa"/>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其他资金</w:t>
            </w:r>
          </w:p>
        </w:tc>
        <w:tc>
          <w:tcPr>
            <w:tcW w:w="1701" w:type="dxa"/>
            <w:shd w:val="clear" w:color="auto" w:fill="auto"/>
            <w:vAlign w:val="center"/>
          </w:tcPr>
          <w:p>
            <w:pPr>
              <w:spacing w:line="300" w:lineRule="exact"/>
              <w:jc w:val="left"/>
              <w:rPr>
                <w:rFonts w:ascii="方正书宋_GBK" w:eastAsia="方正书宋_GBK"/>
                <w:b w:val="0"/>
                <w:bCs/>
              </w:rPr>
            </w:pPr>
            <w:r>
              <w:rPr>
                <w:rFonts w:ascii="方正书宋_GBK" w:eastAsia="方正书宋_GBK"/>
                <w:b w:val="0"/>
                <w:bC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b w:val="0"/>
                <w:bCs/>
              </w:rPr>
            </w:pPr>
          </w:p>
        </w:tc>
        <w:tc>
          <w:tcPr>
            <w:tcW w:w="8278" w:type="dxa"/>
            <w:gridSpan w:val="6"/>
            <w:shd w:val="clear" w:color="auto" w:fill="auto"/>
            <w:vAlign w:val="center"/>
          </w:tcPr>
          <w:p>
            <w:pPr>
              <w:spacing w:line="300" w:lineRule="exact"/>
              <w:jc w:val="left"/>
              <w:rPr>
                <w:rFonts w:ascii="方正书宋_GBK" w:eastAsia="方正书宋_GBK"/>
                <w:b w:val="0"/>
                <w:bCs/>
              </w:rPr>
            </w:pPr>
            <w:r>
              <w:rPr>
                <w:rFonts w:hint="eastAsia" w:ascii="方正书宋_GBK" w:eastAsia="方正书宋_GBK"/>
                <w:b w:val="0"/>
                <w:bCs/>
              </w:rPr>
              <w:t>沙河年鉴的编纂印刷出版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资金支出计划（%）</w:t>
            </w:r>
          </w:p>
        </w:tc>
        <w:tc>
          <w:tcPr>
            <w:tcW w:w="2410" w:type="dxa"/>
            <w:gridSpan w:val="2"/>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3月底</w:t>
            </w:r>
          </w:p>
        </w:tc>
        <w:tc>
          <w:tcPr>
            <w:tcW w:w="1587" w:type="dxa"/>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6月底</w:t>
            </w:r>
          </w:p>
        </w:tc>
        <w:tc>
          <w:tcPr>
            <w:tcW w:w="1304" w:type="dxa"/>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10月底</w:t>
            </w:r>
          </w:p>
        </w:tc>
        <w:tc>
          <w:tcPr>
            <w:tcW w:w="2977" w:type="dxa"/>
            <w:gridSpan w:val="2"/>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b w:val="0"/>
                <w:bCs/>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b w:val="0"/>
                <w:bCs/>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b w:val="0"/>
                <w:bCs/>
              </w:rPr>
            </w:pPr>
            <w:r>
              <w:rPr>
                <w:rFonts w:hint="eastAsia" w:ascii="方正书宋_GBK" w:eastAsia="方正书宋_GBK"/>
                <w:b w:val="0"/>
                <w:bCs/>
              </w:rPr>
              <w:t>1.《沙河年鉴（2016）》出版印刷发行</w:t>
            </w:r>
          </w:p>
          <w:p>
            <w:pPr>
              <w:spacing w:line="300" w:lineRule="exact"/>
              <w:jc w:val="left"/>
              <w:rPr>
                <w:rFonts w:hint="eastAsia" w:ascii="方正书宋_GBK" w:eastAsia="方正书宋_GBK"/>
                <w:b w:val="0"/>
                <w:bCs/>
              </w:rPr>
            </w:pPr>
            <w:r>
              <w:rPr>
                <w:rFonts w:hint="eastAsia" w:ascii="方正书宋_GBK" w:eastAsia="方正书宋_GBK"/>
                <w:b w:val="0"/>
                <w:bCs/>
              </w:rPr>
              <w:t>2.《沙河年鉴（2019）》出版印刷发行</w:t>
            </w:r>
          </w:p>
          <w:p>
            <w:pPr>
              <w:spacing w:line="300" w:lineRule="exact"/>
              <w:jc w:val="left"/>
              <w:rPr>
                <w:rFonts w:ascii="方正书宋_GBK" w:eastAsia="方正书宋_GBK"/>
                <w:b w:val="0"/>
                <w:bCs/>
              </w:rPr>
            </w:pPr>
            <w:r>
              <w:rPr>
                <w:rFonts w:hint="eastAsia" w:ascii="方正书宋_GBK" w:eastAsia="方正书宋_GBK"/>
                <w:b w:val="0"/>
                <w:bCs/>
              </w:rPr>
              <w:t>3.《沙河年鉴（2021）》出版印刷发行</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按量完成《沙河年鉴》出版印刷册数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≥600《沙河年鉴》出版印刷产出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按照要求完成比例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≥98《沙河年鉴》出版印刷完成率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《沙河年鉴》完成时间</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&lt;982021年12月31日前完成</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≤90厉行节俭、节约成本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全省文化产业对国民经济发展的贡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反映文化产业对经济发展的拉动作用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≥95全面记录沙河社会各个行业领域在经济发展所取得的成绩</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促进文化事业发展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≥96对外界了解沙河市所起的作用</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年鉴使用年限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≥20年鉴印刷对读者影响力</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调查满意的人数占调查总人数的比例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≥96服务对象对年鉴满意度</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bl>
    <w:p>
      <w:pPr>
        <w:numPr>
          <w:ilvl w:val="0"/>
          <w:numId w:val="0"/>
        </w:numPr>
        <w:autoSpaceDE w:val="0"/>
        <w:autoSpaceDN w:val="0"/>
        <w:adjustRightInd w:val="0"/>
        <w:jc w:val="left"/>
        <w:rPr>
          <w:rFonts w:hint="eastAsia" w:ascii="黑体" w:hAnsi="黑体"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政府采购预算情况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ascii="黑体" w:hAnsi="黑体" w:eastAsia="黑体" w:cs="Times New Roman"/>
          <w:sz w:val="32"/>
          <w:szCs w:val="32"/>
        </w:rPr>
      </w:pPr>
      <w:r>
        <w:rPr>
          <w:rFonts w:hint="eastAsia" w:ascii="仿宋_GB2312" w:hAnsi="仿宋_GB2312" w:eastAsia="仿宋_GB2312" w:cs="仿宋_GB2312"/>
          <w:sz w:val="32"/>
          <w:szCs w:val="32"/>
          <w:lang w:val="en-US" w:eastAsia="zh-CN"/>
        </w:rPr>
        <w:t>2021年，我单位未安排政府采购预算。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lang w:eastAsia="zh-CN"/>
        </w:rPr>
        <w:t>七、</w:t>
      </w:r>
      <w:r>
        <w:rPr>
          <w:rFonts w:hint="eastAsia" w:ascii="黑体" w:hAnsi="黑体" w:eastAsia="黑体" w:cs="Times New Roman"/>
          <w:sz w:val="32"/>
          <w:szCs w:val="32"/>
        </w:rPr>
        <w:t>国有资产信息</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沙河市地方志研究中心上年末固定资产金额为0.1万元，</w:t>
      </w:r>
      <w:r>
        <w:rPr>
          <w:rFonts w:hint="eastAsia" w:ascii="仿宋_GB2312" w:hAnsi="仿宋_GB2312" w:eastAsia="仿宋_GB2312" w:cs="仿宋_GB2312"/>
          <w:kern w:val="2"/>
          <w:sz w:val="32"/>
          <w:szCs w:val="32"/>
          <w:lang w:val="en-US" w:eastAsia="zh-CN" w:bidi="ar"/>
        </w:rPr>
        <w:t>其中房屋面积0平方米，价值0万元；车辆0辆，价值0万元，其他固定资产价值0.1万元。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leftChars="200"/>
        <w:jc w:val="left"/>
        <w:textAlignment w:val="auto"/>
        <w:rPr>
          <w:rFonts w:ascii="黑体" w:hAnsi="黑体" w:eastAsia="黑体" w:cs="Times New Roman"/>
          <w:sz w:val="32"/>
          <w:szCs w:val="32"/>
        </w:rPr>
      </w:pPr>
      <w:r>
        <w:rPr>
          <w:rFonts w:hint="eastAsia" w:ascii="仿宋_GB2312" w:hAnsi="仿宋_GB2312" w:eastAsia="仿宋_GB2312" w:cs="仿宋_GB2312"/>
          <w:sz w:val="32"/>
          <w:szCs w:val="32"/>
          <w:lang w:val="en-US" w:eastAsia="zh-CN"/>
        </w:rPr>
        <w:t>本年度无拟购置固定资产。</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八、名词解释</w:t>
      </w:r>
    </w:p>
    <w:p>
      <w:pPr>
        <w:keepNext w:val="0"/>
        <w:keepLines w:val="0"/>
        <w:pageBreakBefore w:val="0"/>
        <w:widowControl w:val="0"/>
        <w:kinsoku/>
        <w:wordWrap/>
        <w:overflowPunct/>
        <w:topLinePunct w:val="0"/>
        <w:bidi w:val="0"/>
        <w:snapToGrid/>
        <w:spacing w:line="640" w:lineRule="exact"/>
        <w:textAlignment w:val="auto"/>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lang w:val="en-US" w:eastAsia="zh-CN"/>
        </w:rPr>
        <w:t xml:space="preserve">    </w:t>
      </w:r>
      <w:r>
        <w:rPr>
          <w:rFonts w:hint="eastAsia" w:ascii="仿宋_GB2312" w:hAnsi="仿宋_GB2312" w:eastAsia="仿宋_GB2312"/>
          <w:b w:val="0"/>
          <w:bCs/>
          <w:color w:val="000000"/>
          <w:sz w:val="32"/>
        </w:rPr>
        <w:t>1、一般公共预算拨款收入：指市级财政当年拨付的资金。</w:t>
      </w:r>
    </w:p>
    <w:p>
      <w:pPr>
        <w:keepNext w:val="0"/>
        <w:keepLines w:val="0"/>
        <w:pageBreakBefore w:val="0"/>
        <w:widowControl w:val="0"/>
        <w:kinsoku/>
        <w:wordWrap/>
        <w:overflowPunct/>
        <w:topLinePunct w:val="0"/>
        <w:bidi w:val="0"/>
        <w:snapToGrid/>
        <w:spacing w:line="640" w:lineRule="exact"/>
        <w:textAlignment w:val="auto"/>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lang w:eastAsia="zh-CN"/>
        </w:rPr>
        <w:tab/>
      </w:r>
      <w:r>
        <w:rPr>
          <w:rFonts w:hint="eastAsia" w:ascii="仿宋_GB2312" w:hAnsi="仿宋_GB2312" w:eastAsia="仿宋_GB2312"/>
          <w:b w:val="0"/>
          <w:bCs/>
          <w:color w:val="000000"/>
          <w:sz w:val="32"/>
          <w:lang w:val="en-US" w:eastAsia="zh-CN"/>
        </w:rPr>
        <w:t xml:space="preserve">  </w:t>
      </w:r>
      <w:r>
        <w:rPr>
          <w:rFonts w:hint="eastAsia" w:ascii="仿宋_GB2312" w:hAnsi="仿宋_GB2312" w:eastAsia="仿宋_GB2312"/>
          <w:b w:val="0"/>
          <w:bCs/>
          <w:color w:val="000000"/>
          <w:sz w:val="32"/>
        </w:rPr>
        <w:t>2、事业收入：指事业单位开展专业业务活动及辅助活动所取得的收入。</w:t>
      </w:r>
    </w:p>
    <w:p>
      <w:pPr>
        <w:keepNext w:val="0"/>
        <w:keepLines w:val="0"/>
        <w:pageBreakBefore w:val="0"/>
        <w:widowControl w:val="0"/>
        <w:kinsoku/>
        <w:wordWrap/>
        <w:overflowPunct/>
        <w:topLinePunct w:val="0"/>
        <w:autoSpaceDE w:val="0"/>
        <w:autoSpaceDN w:val="0"/>
        <w:bidi w:val="0"/>
        <w:snapToGrid/>
        <w:spacing w:line="640" w:lineRule="exact"/>
        <w:ind w:firstLine="704" w:firstLineChars="220"/>
        <w:textAlignment w:val="auto"/>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rPr>
        <w:t>3、其他收入：指除上述“财政拨款收入”、“事业收入”等以外的收入。</w:t>
      </w:r>
    </w:p>
    <w:p>
      <w:pPr>
        <w:keepNext w:val="0"/>
        <w:keepLines w:val="0"/>
        <w:pageBreakBefore w:val="0"/>
        <w:widowControl w:val="0"/>
        <w:kinsoku/>
        <w:wordWrap/>
        <w:overflowPunct/>
        <w:topLinePunct w:val="0"/>
        <w:autoSpaceDE w:val="0"/>
        <w:autoSpaceDN w:val="0"/>
        <w:bidi w:val="0"/>
        <w:snapToGrid/>
        <w:spacing w:line="640" w:lineRule="exact"/>
        <w:ind w:firstLine="704" w:firstLineChars="220"/>
        <w:textAlignment w:val="auto"/>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snapToGrid/>
        <w:spacing w:line="640" w:lineRule="exact"/>
        <w:ind w:firstLine="704" w:firstLineChars="220"/>
        <w:textAlignment w:val="auto"/>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rPr>
        <w:t>5、项目支出：指在基本支出之外为完成特定行政任务和事业发展目标所发生的支出。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snapToGrid/>
        <w:spacing w:line="640" w:lineRule="exact"/>
        <w:ind w:firstLine="704" w:firstLineChars="220"/>
        <w:textAlignment w:val="auto"/>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rPr>
        <w:t>6、上缴上级支出：指所属单位上缴上级的支出。</w:t>
      </w:r>
    </w:p>
    <w:p>
      <w:pPr>
        <w:keepNext w:val="0"/>
        <w:keepLines w:val="0"/>
        <w:pageBreakBefore w:val="0"/>
        <w:widowControl w:val="0"/>
        <w:kinsoku/>
        <w:wordWrap/>
        <w:overflowPunct/>
        <w:topLinePunct w:val="0"/>
        <w:autoSpaceDE w:val="0"/>
        <w:autoSpaceDN w:val="0"/>
        <w:bidi w:val="0"/>
        <w:snapToGrid/>
        <w:spacing w:line="640" w:lineRule="exact"/>
        <w:ind w:firstLine="704" w:firstLineChars="220"/>
        <w:textAlignment w:val="auto"/>
        <w:rPr>
          <w:rFonts w:hint="eastAsia" w:ascii="仿宋_GB2312" w:hAnsi="仿宋_GB2312" w:eastAsia="仿宋_GB2312"/>
          <w:color w:val="000000"/>
          <w:sz w:val="32"/>
        </w:rPr>
      </w:pPr>
      <w:r>
        <w:rPr>
          <w:rFonts w:hint="eastAsia" w:ascii="仿宋_GB2312" w:hAnsi="仿宋_GB2312" w:eastAsia="仿宋_GB2312"/>
          <w:b w:val="0"/>
          <w:bCs/>
          <w:color w:val="000000"/>
          <w:sz w:val="32"/>
        </w:rPr>
        <w:t>7、“三公”</w:t>
      </w:r>
      <w:r>
        <w:rPr>
          <w:rFonts w:hint="eastAsia" w:ascii="仿宋_GB2312" w:hAnsi="仿宋_GB2312" w:eastAsia="仿宋_GB2312"/>
          <w:color w:val="000000"/>
          <w:sz w:val="32"/>
        </w:rPr>
        <w:t>经费：纳入市级财政预算管理的“三公”经费，是指市级</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bidi w:val="0"/>
        <w:snapToGrid/>
        <w:spacing w:line="640" w:lineRule="exact"/>
        <w:ind w:firstLine="704" w:firstLineChars="220"/>
        <w:textAlignment w:val="auto"/>
        <w:rPr>
          <w:rFonts w:hint="eastAsia" w:ascii="仿宋_GB2312" w:hAnsi="仿宋_GB2312" w:eastAsia="仿宋_GB2312"/>
          <w:color w:val="000000"/>
          <w:sz w:val="32"/>
        </w:rPr>
      </w:pPr>
      <w:r>
        <w:rPr>
          <w:rFonts w:hint="eastAsia" w:ascii="仿宋_GB2312" w:hAnsi="仿宋_GB2312" w:eastAsia="仿宋_GB2312"/>
          <w:b w:val="0"/>
          <w:bCs/>
          <w:color w:val="000000"/>
          <w:sz w:val="32"/>
        </w:rPr>
        <w:t>8、</w:t>
      </w:r>
      <w:r>
        <w:rPr>
          <w:rFonts w:hint="eastAsia" w:ascii="仿宋_GB2312" w:hAnsi="仿宋_GB2312" w:eastAsia="仿宋_GB2312"/>
          <w:color w:val="000000"/>
          <w:sz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snapToGrid/>
        <w:spacing w:line="640" w:lineRule="exact"/>
        <w:ind w:firstLine="643" w:firstLineChars="200"/>
        <w:textAlignment w:val="auto"/>
        <w:rPr>
          <w:rFonts w:hint="eastAsia" w:ascii="黑体" w:hAnsi="黑体" w:eastAsia="黑体" w:cs="黑体"/>
          <w:b w:val="0"/>
          <w:bCs/>
          <w:color w:val="000000"/>
          <w:sz w:val="32"/>
        </w:rPr>
      </w:pPr>
      <w:r>
        <w:rPr>
          <w:rFonts w:hint="eastAsia" w:ascii="仿宋_GB2312" w:hAnsi="仿宋_GB2312" w:eastAsia="仿宋_GB2312"/>
          <w:b/>
          <w:bCs w:val="0"/>
          <w:color w:val="000000"/>
          <w:sz w:val="32"/>
        </w:rPr>
        <w:t xml:space="preserve"> </w:t>
      </w:r>
      <w:r>
        <w:rPr>
          <w:rFonts w:hint="eastAsia" w:ascii="黑体" w:hAnsi="黑体" w:eastAsia="黑体" w:cs="黑体"/>
          <w:b w:val="0"/>
          <w:bCs/>
          <w:color w:val="000000"/>
          <w:sz w:val="32"/>
        </w:rPr>
        <w:t>九、其他需说明事项</w:t>
      </w:r>
    </w:p>
    <w:p>
      <w:pPr>
        <w:keepNext w:val="0"/>
        <w:keepLines w:val="0"/>
        <w:pageBreakBefore w:val="0"/>
        <w:widowControl w:val="0"/>
        <w:kinsoku/>
        <w:wordWrap/>
        <w:overflowPunct/>
        <w:topLinePunct w:val="0"/>
        <w:bidi w:val="0"/>
        <w:snapToGrid/>
        <w:spacing w:line="640" w:lineRule="exact"/>
        <w:ind w:firstLine="480" w:firstLineChars="150"/>
        <w:textAlignment w:val="auto"/>
        <w:rPr>
          <w:rFonts w:hint="eastAsia" w:ascii="仿宋_GB2312" w:hAnsi="仿宋_GB2312" w:eastAsia="仿宋_GB2312"/>
          <w:color w:val="000000"/>
          <w:sz w:val="32"/>
          <w:lang w:eastAsia="zh-CN"/>
        </w:rPr>
      </w:pPr>
      <w:r>
        <w:rPr>
          <w:rFonts w:hint="eastAsia" w:ascii="仿宋_GB2312" w:hAnsi="仿宋_GB2312" w:eastAsia="仿宋_GB2312"/>
          <w:color w:val="000000"/>
          <w:sz w:val="32"/>
        </w:rPr>
        <w:t xml:space="preserve">  无其他需说明事项</w:t>
      </w:r>
      <w:r>
        <w:rPr>
          <w:rFonts w:hint="eastAsia" w:ascii="仿宋_GB2312" w:hAnsi="仿宋_GB2312" w:eastAsia="仿宋_GB2312"/>
          <w:color w:val="000000"/>
          <w:sz w:val="32"/>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640" w:right="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numPr>
          <w:ilvl w:val="0"/>
          <w:numId w:val="0"/>
        </w:numPr>
        <w:autoSpaceDE w:val="0"/>
        <w:autoSpaceDN w:val="0"/>
        <w:adjustRightInd w:val="0"/>
        <w:jc w:val="left"/>
        <w:rPr>
          <w:rFonts w:ascii="Times New Roman" w:hAnsi="Times New Roman" w:eastAsia="仿宋" w:cs="Times New Roman"/>
          <w:sz w:val="32"/>
          <w:szCs w:val="32"/>
        </w:rPr>
      </w:pPr>
    </w:p>
    <w:sectPr>
      <w:pgSz w:w="11906" w:h="16838"/>
      <w:pgMar w:top="1440" w:right="1417" w:bottom="1440"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M2MxMDk3NDFmZGY4ZWM2MGI4N2JiODJmNzliY2YifQ=="/>
  </w:docVars>
  <w:rsids>
    <w:rsidRoot w:val="0027733F"/>
    <w:rsid w:val="00040FBA"/>
    <w:rsid w:val="0004490B"/>
    <w:rsid w:val="000604DF"/>
    <w:rsid w:val="000B6658"/>
    <w:rsid w:val="0013228E"/>
    <w:rsid w:val="0027733F"/>
    <w:rsid w:val="002E4731"/>
    <w:rsid w:val="003277EC"/>
    <w:rsid w:val="00456D84"/>
    <w:rsid w:val="006D7083"/>
    <w:rsid w:val="008003BA"/>
    <w:rsid w:val="00817B30"/>
    <w:rsid w:val="00F171F2"/>
    <w:rsid w:val="01DD6C0C"/>
    <w:rsid w:val="0588682F"/>
    <w:rsid w:val="061F121B"/>
    <w:rsid w:val="06BE117C"/>
    <w:rsid w:val="0AA24D19"/>
    <w:rsid w:val="0BD71CEF"/>
    <w:rsid w:val="146418F2"/>
    <w:rsid w:val="17F36647"/>
    <w:rsid w:val="1BDA18A9"/>
    <w:rsid w:val="1D844683"/>
    <w:rsid w:val="1E6B2BE6"/>
    <w:rsid w:val="24A35BE8"/>
    <w:rsid w:val="258E31F8"/>
    <w:rsid w:val="25973B16"/>
    <w:rsid w:val="27540BC3"/>
    <w:rsid w:val="28AA5D10"/>
    <w:rsid w:val="297162C5"/>
    <w:rsid w:val="2A583EB1"/>
    <w:rsid w:val="2BA86E6C"/>
    <w:rsid w:val="2BF4419C"/>
    <w:rsid w:val="33466B12"/>
    <w:rsid w:val="33B24C11"/>
    <w:rsid w:val="34120BCB"/>
    <w:rsid w:val="34EF4575"/>
    <w:rsid w:val="37303B38"/>
    <w:rsid w:val="379179A7"/>
    <w:rsid w:val="37F72D93"/>
    <w:rsid w:val="39317378"/>
    <w:rsid w:val="41312CB3"/>
    <w:rsid w:val="41517953"/>
    <w:rsid w:val="41FC6561"/>
    <w:rsid w:val="44B51530"/>
    <w:rsid w:val="48F07DE5"/>
    <w:rsid w:val="4A0C5D8A"/>
    <w:rsid w:val="4BED26D2"/>
    <w:rsid w:val="4E2B6E9A"/>
    <w:rsid w:val="4F3F2F3C"/>
    <w:rsid w:val="50E453C1"/>
    <w:rsid w:val="57D97723"/>
    <w:rsid w:val="58031957"/>
    <w:rsid w:val="59700A89"/>
    <w:rsid w:val="5A9E744F"/>
    <w:rsid w:val="5AD805FD"/>
    <w:rsid w:val="603100F9"/>
    <w:rsid w:val="617C77D5"/>
    <w:rsid w:val="62522FBC"/>
    <w:rsid w:val="65E85093"/>
    <w:rsid w:val="68535FC5"/>
    <w:rsid w:val="687D66CD"/>
    <w:rsid w:val="68E861EC"/>
    <w:rsid w:val="6AF3487A"/>
    <w:rsid w:val="6B093D90"/>
    <w:rsid w:val="6B791A90"/>
    <w:rsid w:val="6EB763EB"/>
    <w:rsid w:val="700C1130"/>
    <w:rsid w:val="72652505"/>
    <w:rsid w:val="72F302CD"/>
    <w:rsid w:val="759669AD"/>
    <w:rsid w:val="75F94419"/>
    <w:rsid w:val="76EC7F1E"/>
    <w:rsid w:val="77A079F2"/>
    <w:rsid w:val="7FFD0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Char"/>
    <w:basedOn w:val="1"/>
    <w:qFormat/>
    <w:uiPriority w:val="0"/>
    <w:rPr>
      <w:rFonts w:ascii="Times New Roman" w:hAnsi="Times New Roman" w:cs="Times New Roman"/>
      <w:szCs w:val="24"/>
    </w:rPr>
  </w:style>
  <w:style w:type="character" w:customStyle="1" w:styleId="11">
    <w:name w:val="页脚 Char"/>
    <w:link w:val="2"/>
    <w:semiHidden/>
    <w:qFormat/>
    <w:uiPriority w:val="0"/>
    <w:rPr>
      <w:rFonts w:ascii="Times New Roman" w:hAnsi="Times New Roman" w:eastAsia="宋体" w:cs="Times New Roman"/>
      <w:sz w:val="18"/>
      <w:szCs w:val="18"/>
    </w:rPr>
  </w:style>
  <w:style w:type="character" w:customStyle="1" w:styleId="12">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3041</Words>
  <Characters>3206</Characters>
  <Lines>66</Lines>
  <Paragraphs>18</Paragraphs>
  <TotalTime>0</TotalTime>
  <ScaleCrop>false</ScaleCrop>
  <LinksUpToDate>false</LinksUpToDate>
  <CharactersWithSpaces>3231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不二臣</cp:lastModifiedBy>
  <cp:lastPrinted>2017-02-09T01:57:00Z</cp:lastPrinted>
  <dcterms:modified xsi:type="dcterms:W3CDTF">2024-04-09T05:56:38Z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BFE465F40A0F4662907300E0464EE4B7</vt:lpwstr>
  </property>
</Properties>
</file>