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沙河市人民代表大会常务委员会办公室</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w:t>
      </w:r>
      <w:r>
        <w:rPr>
          <w:rFonts w:hint="eastAsia" w:ascii="仿宋_GB2312" w:hAnsi="仿宋_GB2312" w:eastAsia="仿宋_GB2312" w:cs="仿宋_GB2312"/>
          <w:sz w:val="32"/>
          <w:szCs w:val="32"/>
        </w:rPr>
        <w:t>沙河市人民代表大会常务委员会办公室</w:t>
      </w:r>
      <w:r>
        <w:rPr>
          <w:rFonts w:ascii="仿宋" w:hAnsi="仿宋" w:eastAsia="仿宋" w:cs="Times New Roman"/>
          <w:sz w:val="32"/>
          <w:szCs w:val="32"/>
        </w:rPr>
        <w:t>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Times New Roman"/>
          <w:sz w:val="32"/>
          <w:szCs w:val="32"/>
        </w:rPr>
        <w:t>沙河市人民代表大会常务委员会是沙河市人民代表大会的常设机关。常务委员会对沙河市人民代表大会负责并报告工作。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sz w:val="32"/>
        </w:rPr>
      </w:pPr>
      <w:r>
        <w:rPr>
          <w:rFonts w:hint="eastAsia" w:ascii="仿宋_GB2312" w:eastAsia="仿宋_GB2312"/>
          <w:sz w:val="32"/>
        </w:rPr>
        <w:t>1</w:t>
      </w:r>
      <w:r>
        <w:rPr>
          <w:rFonts w:hint="eastAsia" w:ascii="仿宋_GB2312" w:hAnsi="宋体" w:eastAsia="仿宋_GB2312"/>
          <w:sz w:val="32"/>
        </w:rPr>
        <w:t>：搞好执法监督，深化司法监督。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sz w:val="32"/>
        </w:rPr>
      </w:pPr>
      <w:r>
        <w:rPr>
          <w:rFonts w:hint="eastAsia" w:ascii="仿宋_GB2312" w:eastAsia="仿宋_GB2312"/>
          <w:sz w:val="32"/>
        </w:rPr>
        <w:t>2</w:t>
      </w:r>
      <w:r>
        <w:rPr>
          <w:rFonts w:hint="eastAsia" w:ascii="仿宋_GB2312" w:hAnsi="宋体" w:eastAsia="仿宋_GB2312"/>
          <w:sz w:val="32"/>
        </w:rPr>
        <w:t>：加强计划、预算监督，按照法律规定，严格法定程序，强化对议定事项落实情况的监督。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sz w:val="32"/>
        </w:rPr>
      </w:pPr>
      <w:r>
        <w:rPr>
          <w:rFonts w:hint="eastAsia" w:ascii="仿宋_GB2312" w:eastAsia="仿宋_GB2312"/>
          <w:sz w:val="32"/>
        </w:rPr>
        <w:t>3</w:t>
      </w:r>
      <w:r>
        <w:rPr>
          <w:rFonts w:hint="eastAsia" w:ascii="仿宋_GB2312" w:hAnsi="宋体" w:eastAsia="仿宋_GB2312"/>
          <w:sz w:val="32"/>
        </w:rPr>
        <w:t>：加大代表建议交办、督办力度，密切同代表的经常性联系，组织好代表活动。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sz w:val="32"/>
        </w:rPr>
      </w:pPr>
      <w:r>
        <w:rPr>
          <w:rFonts w:hint="eastAsia" w:ascii="仿宋_GB2312" w:eastAsia="仿宋_GB2312"/>
          <w:sz w:val="32"/>
        </w:rPr>
        <w:t>4</w:t>
      </w:r>
      <w:r>
        <w:rPr>
          <w:rFonts w:hint="eastAsia" w:ascii="仿宋_GB2312" w:hAnsi="宋体" w:eastAsia="仿宋_GB2312"/>
          <w:sz w:val="32"/>
        </w:rPr>
        <w:t>：把党管干部原则与人大依法任免干部有机结合起来，规范任免程序，严格审查，把好选举任免关，坚持既任又管。</w:t>
      </w:r>
    </w:p>
    <w:p>
      <w:pPr>
        <w:widowControl/>
        <w:spacing w:line="580" w:lineRule="exact"/>
        <w:ind w:firstLine="640" w:firstLineChars="200"/>
        <w:jc w:val="left"/>
        <w:rPr>
          <w:rFonts w:ascii="仿宋" w:hAnsi="仿宋" w:eastAsia="仿宋" w:cs="Times New Roman"/>
          <w:sz w:val="32"/>
          <w:szCs w:val="32"/>
        </w:rPr>
      </w:pPr>
      <w:r>
        <w:rPr>
          <w:rFonts w:hint="eastAsia" w:ascii="仿宋_GB2312" w:eastAsia="仿宋_GB2312"/>
          <w:sz w:val="32"/>
        </w:rPr>
        <w:t>5</w:t>
      </w:r>
      <w:r>
        <w:rPr>
          <w:rFonts w:hint="eastAsia" w:ascii="仿宋_GB2312" w:hAnsi="宋体" w:eastAsia="仿宋_GB2312"/>
          <w:sz w:val="32"/>
        </w:rPr>
        <w:t>：组织好常委会组成人员、各专门委员会、机关干部、市人大代表、乡镇人大主席、办事处人大工委主任的培训工作。</w:t>
      </w:r>
    </w:p>
    <w:p>
      <w:pPr>
        <w:spacing w:line="610" w:lineRule="exact"/>
        <w:ind w:firstLine="640"/>
        <w:rPr>
          <w:rFonts w:hint="eastAsia" w:ascii="仿宋_GB2312" w:eastAsia="仿宋_GB2312"/>
          <w:sz w:val="32"/>
          <w:szCs w:val="32"/>
        </w:rPr>
      </w:pPr>
      <w:r>
        <w:rPr>
          <w:rFonts w:hint="eastAsia" w:ascii="仿宋" w:hAnsi="仿宋" w:eastAsia="仿宋" w:cs="Times New Roman"/>
          <w:b/>
          <w:sz w:val="32"/>
          <w:szCs w:val="32"/>
        </w:rPr>
        <w:t>机构设置：</w:t>
      </w:r>
      <w:r>
        <w:rPr>
          <w:rFonts w:hint="eastAsia" w:ascii="仿宋_GB2312" w:eastAsia="仿宋_GB2312"/>
          <w:sz w:val="32"/>
          <w:szCs w:val="32"/>
        </w:rPr>
        <w:t>本部门无下级预算单位，部门预算构成只包括</w:t>
      </w:r>
      <w:r>
        <w:rPr>
          <w:rFonts w:hint="eastAsia" w:ascii="仿宋_GB2312" w:hAnsi="仿宋_GB2312" w:eastAsia="仿宋_GB2312" w:cs="仿宋_GB2312"/>
          <w:sz w:val="32"/>
          <w:szCs w:val="32"/>
        </w:rPr>
        <w:t>沙河市人民代表大会常务委员会办公室</w:t>
      </w:r>
      <w:r>
        <w:rPr>
          <w:rFonts w:hint="eastAsia" w:ascii="仿宋_GB2312" w:eastAsia="仿宋_GB2312"/>
          <w:sz w:val="32"/>
          <w:szCs w:val="32"/>
        </w:rPr>
        <w:t>。</w:t>
      </w:r>
    </w:p>
    <w:p>
      <w:pPr>
        <w:spacing w:line="610" w:lineRule="exact"/>
        <w:ind w:firstLine="640"/>
        <w:jc w:val="center"/>
        <w:rPr>
          <w:rFonts w:hint="eastAsia" w:ascii="仿宋" w:hAnsi="仿宋" w:eastAsia="仿宋" w:cs="Times New Roman"/>
          <w:b/>
          <w:sz w:val="32"/>
          <w:szCs w:val="32"/>
        </w:rPr>
      </w:pPr>
      <w:r>
        <w:rPr>
          <w:rFonts w:hint="eastAsia" w:ascii="仿宋" w:hAnsi="仿宋" w:eastAsia="仿宋" w:cs="Times New Roman"/>
          <w:b/>
          <w:sz w:val="32"/>
          <w:szCs w:val="32"/>
        </w:rPr>
        <w:t>部门机构设置情况</w:t>
      </w:r>
    </w:p>
    <w:p>
      <w:pPr>
        <w:spacing w:line="610" w:lineRule="exact"/>
        <w:ind w:firstLine="640"/>
        <w:jc w:val="center"/>
        <w:rPr>
          <w:rFonts w:hint="eastAsia" w:ascii="仿宋" w:hAnsi="仿宋" w:eastAsia="仿宋" w:cs="Times New Roman"/>
          <w:b/>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8"/>
        <w:gridCol w:w="201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5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单位名称</w:t>
            </w:r>
            <w:r>
              <w:rPr>
                <w:rFonts w:hint="eastAsia" w:ascii="仿宋" w:hAnsi="仿宋" w:eastAsia="仿宋" w:cs="Times New Roman"/>
                <w:b/>
                <w:sz w:val="32"/>
                <w:szCs w:val="32"/>
              </w:rPr>
              <w:tab/>
            </w:r>
            <w:r>
              <w:rPr>
                <w:rFonts w:hint="eastAsia" w:ascii="仿宋" w:hAnsi="仿宋" w:eastAsia="仿宋" w:cs="Times New Roman"/>
                <w:b/>
                <w:sz w:val="32"/>
                <w:szCs w:val="32"/>
              </w:rPr>
              <w:tab/>
            </w:r>
            <w:r>
              <w:rPr>
                <w:rFonts w:hint="eastAsia" w:ascii="仿宋" w:hAnsi="仿宋" w:eastAsia="仿宋" w:cs="Times New Roman"/>
                <w:b/>
                <w:sz w:val="32"/>
                <w:szCs w:val="32"/>
              </w:rPr>
              <w:tab/>
            </w:r>
          </w:p>
        </w:tc>
        <w:tc>
          <w:tcPr>
            <w:tcW w:w="201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单位性质</w:t>
            </w:r>
          </w:p>
        </w:tc>
        <w:tc>
          <w:tcPr>
            <w:tcW w:w="2835"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835"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经费保障形式</w:t>
            </w:r>
            <w:r>
              <w:rPr>
                <w:rFonts w:hint="eastAsia" w:ascii="仿宋" w:hAnsi="仿宋" w:eastAsia="仿宋" w:cs="Times New Roman"/>
                <w:b/>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沙河市人民代表大会常务委员会办公室</w:t>
            </w:r>
          </w:p>
        </w:tc>
        <w:tc>
          <w:tcPr>
            <w:tcW w:w="201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行政</w:t>
            </w:r>
          </w:p>
        </w:tc>
        <w:tc>
          <w:tcPr>
            <w:tcW w:w="2835"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正处</w:t>
            </w:r>
          </w:p>
        </w:tc>
        <w:tc>
          <w:tcPr>
            <w:tcW w:w="2835"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财政拨款</w:t>
            </w:r>
          </w:p>
        </w:tc>
      </w:tr>
    </w:tbl>
    <w:p>
      <w:pPr>
        <w:spacing w:line="610" w:lineRule="exact"/>
        <w:ind w:firstLine="640"/>
        <w:jc w:val="left"/>
        <w:rPr>
          <w:rFonts w:ascii="仿宋" w:hAnsi="仿宋" w:eastAsia="仿宋" w:cs="Times New Roman"/>
          <w:b/>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单位的收支包含在部门预算中。</w:t>
      </w:r>
    </w:p>
    <w:p>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收入说明</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反应本部门当年全部收入。2018年预算收入422.64万元，其中：一般公共预算收入422.64万元，基金预算收入0万元，财政专户核拨收入0万元，其他来源收入0万元。</w:t>
      </w:r>
    </w:p>
    <w:p>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沙河市人民代表大会常务委员会办公室年度部门预算中支出预算的总体情况。2018年部门支出预算为422.64万元，其中基本支出330.44万元，包括人员经费287.44万元和日常公用经费43万元；项目支出92.2万元，主要为人大会议支出44万元，人大执法检查支出5万元，人大代表履职能力提升支出18.2万元，人大“代表之家”支出5万元，代表工作支出20万元。</w:t>
      </w:r>
    </w:p>
    <w:p>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pPr>
        <w:ind w:left="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2018年部门预算较2017年减少3.54万元，其中：基本支出增长31.26万元，主要是增加人员经</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费；项目支出减少34.8万元，主要是由于减少了换届选举的经费。</w:t>
      </w:r>
    </w:p>
    <w:p>
      <w:pPr>
        <w:numPr>
          <w:ilvl w:val="0"/>
          <w:numId w:val="2"/>
        </w:numPr>
        <w:rPr>
          <w:rFonts w:ascii="黑体" w:hAnsi="黑体" w:eastAsia="黑体" w:cs="Times New Roman"/>
          <w:sz w:val="32"/>
          <w:szCs w:val="32"/>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Times New Roman" w:hAnsi="Times New Roman" w:eastAsia="仿宋" w:cs="Times New Roman"/>
          <w:sz w:val="32"/>
          <w:szCs w:val="32"/>
        </w:rPr>
        <w:t>机关运行经费共计安排43000元，主要用于保证机关正常运转的办公费、福利费、工会经费、公务车运行维护费及其他交通费用等支出。</w:t>
      </w:r>
    </w:p>
    <w:p>
      <w:pPr>
        <w:numPr>
          <w:ilvl w:val="0"/>
          <w:numId w:val="2"/>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2018年，财政拨款“三公”经费预算安排23万元，其中：因公出国（境）费0元；公务用车购置及运维费18万元（其中：公务用车运行维护费18万元，公务用车购置费0万元)；公务接待费5万元。“三公”经费与上年持平，无增减变化。</w:t>
      </w:r>
    </w:p>
    <w:p>
      <w:pPr>
        <w:autoSpaceDE w:val="0"/>
        <w:autoSpaceDN w:val="0"/>
        <w:adjustRightInd w:val="0"/>
        <w:ind w:left="8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sz w:val="32"/>
          <w:szCs w:val="32"/>
        </w:rPr>
      </w:pPr>
      <w:bookmarkStart w:id="0" w:name="_Toc471398463"/>
      <w:r>
        <w:rPr>
          <w:rFonts w:ascii="Times New Roman" w:hAnsi="Times New Roman" w:eastAsia="仿宋" w:cs="Times New Roman"/>
          <w:b/>
          <w:sz w:val="32"/>
          <w:szCs w:val="32"/>
        </w:rPr>
        <w:t>总体绩效目标：</w:t>
      </w:r>
      <w:r>
        <w:rPr>
          <w:rFonts w:hint="eastAsia" w:ascii="Times New Roman" w:hAnsi="Times New Roman" w:eastAsia="仿宋" w:cs="Times New Roman"/>
          <w:sz w:val="32"/>
          <w:szCs w:val="32"/>
        </w:rPr>
        <w:t>根据沙河市第八届人民代表大会第二次会议通过的工作报告，深入贯彻依法治国方略，全面履行法定职责，努力推进法治沙河建设进程。</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1、坚持从实际出发、统筹兼顾的原则，加强稳增长、调结构、惠民生、优环境、权力制约监督、创新社会管理等领域的法制建设。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2、加强对权力运行的制约监督，推动市委重大决策部署的贯彻落实。围绕经济强市和人民群众关注的热点难点问题，听取审议专项工作报告，开展执法检查、视察调研。</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3、做好会议的服务保障工作，确保会议顺利进行，达到预期目标。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4、发挥好常委会组成人员、专门委员会委员和代表的履职积极性。密切对代表的联系，组织专门委员会成员、代表和公民列席常委会会议，坚持向代表通报常委会会议情况。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5、改进文风会风，提高常委会议事质量。常委会会议议题要在听取群众意见的基础上依法确定，加强会前的视察调研，严格落实议事规则，完善审议程序，切实提出有针对性的意见建议。</w:t>
      </w:r>
    </w:p>
    <w:p>
      <w:pPr>
        <w:autoSpaceDE w:val="0"/>
        <w:autoSpaceDN w:val="0"/>
        <w:adjustRightInd w:val="0"/>
        <w:ind w:left="198" w:firstLine="640" w:firstLineChars="200"/>
        <w:jc w:val="left"/>
        <w:rPr>
          <w:rFonts w:ascii="Times New Roman" w:hAnsi="Times New Roman" w:eastAsia="仿宋" w:cs="Times New Roman"/>
          <w:b/>
          <w:sz w:val="32"/>
          <w:szCs w:val="32"/>
        </w:rPr>
      </w:pPr>
      <w:r>
        <w:rPr>
          <w:rFonts w:hint="eastAsia" w:ascii="Times New Roman" w:hAnsi="Times New Roman" w:eastAsia="仿宋" w:cs="Times New Roman"/>
          <w:sz w:val="32"/>
          <w:szCs w:val="32"/>
        </w:rPr>
        <w:t>6、全面推进机关思想建设、组织建设、作风建设、制度建设和廉政建设，提高机关管理的科学化水平。</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1、人大会议方面。确保会议按照议程顺利进行，达到预期目的，圆满完成各项任务。完善各项会议制度，规范会议程序，提高会议质量，提高人大代表及常委会审议水平。</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执法检查方面。围绕政府工作报告和“一府两院”专项工作报告涉及内容开展调查研究；对“一府两院”进行监督。提高法规质量，保障其有效实施；发挥常委及代表的桥梁纽带作用，集中反映民意，促进依法履职。</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3、人大代表履职能力提升方面。围绕人代会报告的安排，组织好代表的学习、培训等工作，保障代表依法履职，提升代表履职能能力。</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4、“代表之家”运行方面。保障“代表之家”的正常运转，为代表联系群众和履职尽责提供平台。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5、代表工作方面。进一步加强代表工作，组织代表开展视察调研，保证代表依法履职。</w:t>
      </w:r>
    </w:p>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7"/>
        <w:tblW w:w="13538" w:type="dxa"/>
        <w:tblInd w:w="108" w:type="dxa"/>
        <w:tblLayout w:type="fixed"/>
        <w:tblCellMar>
          <w:top w:w="0" w:type="dxa"/>
          <w:left w:w="108" w:type="dxa"/>
          <w:bottom w:w="0" w:type="dxa"/>
          <w:right w:w="108" w:type="dxa"/>
        </w:tblCellMar>
      </w:tblPr>
      <w:tblGrid>
        <w:gridCol w:w="794"/>
        <w:gridCol w:w="1361"/>
        <w:gridCol w:w="716"/>
        <w:gridCol w:w="3585"/>
        <w:gridCol w:w="2763"/>
        <w:gridCol w:w="1247"/>
        <w:gridCol w:w="680"/>
        <w:gridCol w:w="616"/>
        <w:gridCol w:w="580"/>
        <w:gridCol w:w="580"/>
        <w:gridCol w:w="616"/>
      </w:tblGrid>
      <w:tr>
        <w:tblPrEx>
          <w:tblCellMar>
            <w:top w:w="0" w:type="dxa"/>
            <w:left w:w="108" w:type="dxa"/>
            <w:bottom w:w="0" w:type="dxa"/>
            <w:right w:w="108" w:type="dxa"/>
          </w:tblCellMar>
        </w:tblPrEx>
        <w:trPr>
          <w:trHeight w:val="255" w:hRule="atLeast"/>
        </w:trPr>
        <w:tc>
          <w:tcPr>
            <w:tcW w:w="7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b/>
                <w:bCs/>
                <w:kern w:val="0"/>
                <w:sz w:val="20"/>
                <w:szCs w:val="20"/>
              </w:rPr>
              <w:t>编号</w:t>
            </w:r>
          </w:p>
        </w:tc>
        <w:tc>
          <w:tcPr>
            <w:tcW w:w="13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职责-活动-项目</w:t>
            </w:r>
          </w:p>
        </w:tc>
        <w:tc>
          <w:tcPr>
            <w:tcW w:w="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年度预算数</w:t>
            </w:r>
          </w:p>
        </w:tc>
        <w:tc>
          <w:tcPr>
            <w:tcW w:w="3585" w:type="dxa"/>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内容描述</w:t>
            </w:r>
          </w:p>
        </w:tc>
        <w:tc>
          <w:tcPr>
            <w:tcW w:w="27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绩效目标</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绩效指标</w:t>
            </w:r>
          </w:p>
        </w:tc>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指标描述</w:t>
            </w:r>
          </w:p>
        </w:tc>
        <w:tc>
          <w:tcPr>
            <w:tcW w:w="2392"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绩效标准</w:t>
            </w:r>
          </w:p>
        </w:tc>
      </w:tr>
      <w:tr>
        <w:tblPrEx>
          <w:tblCellMar>
            <w:top w:w="0" w:type="dxa"/>
            <w:left w:w="108" w:type="dxa"/>
            <w:bottom w:w="0" w:type="dxa"/>
            <w:right w:w="108" w:type="dxa"/>
          </w:tblCellMar>
        </w:tblPrEx>
        <w:trPr>
          <w:trHeight w:val="642"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3585"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7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优</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良</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中</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差</w:t>
            </w:r>
          </w:p>
        </w:tc>
      </w:tr>
      <w:tr>
        <w:tblPrEx>
          <w:tblCellMar>
            <w:top w:w="0" w:type="dxa"/>
            <w:left w:w="108" w:type="dxa"/>
            <w:bottom w:w="0" w:type="dxa"/>
            <w:right w:w="108" w:type="dxa"/>
          </w:tblCellMar>
        </w:tblPrEx>
        <w:trPr>
          <w:trHeight w:val="567" w:hRule="atLeast"/>
        </w:trPr>
        <w:tc>
          <w:tcPr>
            <w:tcW w:w="7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人大</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92.2</w:t>
            </w:r>
          </w:p>
        </w:tc>
        <w:tc>
          <w:tcPr>
            <w:tcW w:w="358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76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2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392" w:type="dxa"/>
            <w:gridSpan w:val="4"/>
            <w:tcBorders>
              <w:bottom w:val="single" w:color="auto" w:sz="4" w:space="0"/>
              <w:right w:val="single" w:color="auto" w:sz="4" w:space="0"/>
            </w:tcBorders>
            <w:shd w:val="clear" w:color="auto" w:fill="auto"/>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01"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1.1</w:t>
            </w:r>
          </w:p>
        </w:tc>
        <w:tc>
          <w:tcPr>
            <w:tcW w:w="13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人大监督</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43.2</w:t>
            </w:r>
          </w:p>
        </w:tc>
        <w:tc>
          <w:tcPr>
            <w:tcW w:w="3585" w:type="dxa"/>
            <w:tcBorders>
              <w:top w:val="single" w:color="000000" w:sz="8" w:space="0"/>
              <w:left w:val="nil"/>
              <w:bottom w:val="nil"/>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进行执法调研和执法检查；围绕政府工作报告和“一府两院”专项工作报告涉及内容开展调查研究，开展专题询问和工作评议；对“一府两院”进行监督。</w:t>
            </w:r>
          </w:p>
        </w:tc>
        <w:tc>
          <w:tcPr>
            <w:tcW w:w="2763" w:type="dxa"/>
            <w:tcBorders>
              <w:top w:val="single" w:color="000000" w:sz="8"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促进各项法律法规、人大决议、报告等的落实；促进“一府两院”改进工作；提高规范性文件质量；促进社会和谐稳定。</w:t>
            </w:r>
          </w:p>
        </w:tc>
        <w:tc>
          <w:tcPr>
            <w:tcW w:w="124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1134" w:hRule="atLeast"/>
        </w:trPr>
        <w:tc>
          <w:tcPr>
            <w:tcW w:w="7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1.1.1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常委及代表活动</w:t>
            </w: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43.2</w:t>
            </w:r>
          </w:p>
        </w:tc>
        <w:tc>
          <w:tcPr>
            <w:tcW w:w="35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组织常委会委员、各工作委员会进行对法律实施情况进行执法检查；组织市</w:t>
            </w:r>
            <w:r>
              <w:rPr>
                <w:rFonts w:hint="eastAsia" w:ascii="仿宋" w:hAnsi="仿宋" w:eastAsia="仿宋" w:cs="宋体"/>
                <w:kern w:val="0"/>
                <w:sz w:val="20"/>
                <w:szCs w:val="20"/>
                <w:lang w:eastAsia="zh-CN"/>
              </w:rPr>
              <w:t>人大常委会委员</w:t>
            </w:r>
            <w:r>
              <w:rPr>
                <w:rFonts w:hint="eastAsia" w:ascii="仿宋" w:hAnsi="仿宋" w:eastAsia="仿宋" w:cs="宋体"/>
                <w:kern w:val="0"/>
                <w:sz w:val="20"/>
                <w:szCs w:val="20"/>
              </w:rPr>
              <w:t>及市人大代表进行执法检查和集中视察；开展代表建议督办；组织对常委及代表培训。</w:t>
            </w:r>
          </w:p>
        </w:tc>
        <w:tc>
          <w:tcPr>
            <w:tcW w:w="276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发挥常委及代表的作用，集中反映民意，促进依法履职。</w:t>
            </w:r>
          </w:p>
        </w:tc>
        <w:tc>
          <w:tcPr>
            <w:tcW w:w="12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建议督办</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完成率</w:t>
            </w:r>
          </w:p>
        </w:tc>
        <w:tc>
          <w:tcPr>
            <w:tcW w:w="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≥70%</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&lt;70%</w:t>
            </w:r>
          </w:p>
        </w:tc>
      </w:tr>
      <w:tr>
        <w:tblPrEx>
          <w:tblCellMar>
            <w:top w:w="0" w:type="dxa"/>
            <w:left w:w="108" w:type="dxa"/>
            <w:bottom w:w="0" w:type="dxa"/>
            <w:right w:w="108" w:type="dxa"/>
          </w:tblCellMar>
        </w:tblPrEx>
        <w:trPr>
          <w:trHeight w:val="822" w:hRule="atLeast"/>
        </w:trPr>
        <w:tc>
          <w:tcPr>
            <w:tcW w:w="794" w:type="dxa"/>
            <w:vMerge w:val="continue"/>
            <w:tcBorders>
              <w:top w:val="nil"/>
              <w:left w:val="single" w:color="auto" w:sz="4" w:space="0"/>
              <w:bottom w:val="single" w:color="000000" w:sz="4" w:space="0"/>
              <w:right w:val="single" w:color="auto" w:sz="4" w:space="0"/>
            </w:tcBorders>
            <w:vAlign w:val="center"/>
          </w:tcPr>
          <w:p>
            <w:pPr>
              <w:widowControl/>
              <w:jc w:val="left"/>
              <w:rPr>
                <w:rFonts w:ascii="Helv" w:hAnsi="Helv" w:cs="宋体"/>
                <w:kern w:val="0"/>
                <w:sz w:val="20"/>
                <w:szCs w:val="20"/>
              </w:rPr>
            </w:pPr>
          </w:p>
        </w:tc>
        <w:tc>
          <w:tcPr>
            <w:tcW w:w="13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58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p>
        </w:tc>
        <w:tc>
          <w:tcPr>
            <w:tcW w:w="2763"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宋体"/>
                <w:kern w:val="0"/>
                <w:sz w:val="20"/>
                <w:szCs w:val="20"/>
              </w:rPr>
            </w:pPr>
          </w:p>
        </w:tc>
        <w:tc>
          <w:tcPr>
            <w:tcW w:w="124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执法检查</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任务完成率</w:t>
            </w:r>
          </w:p>
        </w:tc>
        <w:tc>
          <w:tcPr>
            <w:tcW w:w="6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5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w:t>
            </w:r>
          </w:p>
        </w:tc>
        <w:tc>
          <w:tcPr>
            <w:tcW w:w="580"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≥70%</w:t>
            </w:r>
          </w:p>
        </w:tc>
        <w:tc>
          <w:tcPr>
            <w:tcW w:w="616"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&lt;70%</w:t>
            </w:r>
          </w:p>
        </w:tc>
      </w:tr>
      <w:tr>
        <w:tblPrEx>
          <w:tblCellMar>
            <w:top w:w="0" w:type="dxa"/>
            <w:left w:w="108" w:type="dxa"/>
            <w:bottom w:w="0" w:type="dxa"/>
            <w:right w:w="108" w:type="dxa"/>
          </w:tblCellMar>
        </w:tblPrEx>
        <w:trPr>
          <w:trHeight w:val="2154"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1.2</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人大会议</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44</w:t>
            </w:r>
          </w:p>
        </w:tc>
        <w:tc>
          <w:tcPr>
            <w:tcW w:w="3585"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市人民代表大会和常务委员会各种会议的筹备、会务工作，负责常委会文件起草、审核把关，常委会会议、主任会议及常委会党组会议决定事项、工作部署、重要文件及领导批示的传达和督办。</w:t>
            </w:r>
          </w:p>
        </w:tc>
        <w:tc>
          <w:tcPr>
            <w:tcW w:w="2763" w:type="dxa"/>
            <w:tcBorders>
              <w:top w:val="single" w:color="000000" w:sz="8"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完善各项会议制度，规范会议程序，提高会议质量，提高人大代表及常委会审议水平。</w:t>
            </w:r>
          </w:p>
        </w:tc>
        <w:tc>
          <w:tcPr>
            <w:tcW w:w="1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2110"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1.2.1</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人大会议</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44</w:t>
            </w:r>
          </w:p>
        </w:tc>
        <w:tc>
          <w:tcPr>
            <w:tcW w:w="3585"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承担市人民代表大会和常务委员会各种会议的筹备、会务工作，负责常委会文件起草、审核把关，常委会会议、主任会议及常委会党组会议决定事项、工作部署、重要文件及领导批示的传达和督办。</w:t>
            </w:r>
          </w:p>
        </w:tc>
        <w:tc>
          <w:tcPr>
            <w:tcW w:w="2763"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完善各项会议制度，规范会议程序，提高会议质量，提高人大代表及常委会审议水平。</w:t>
            </w:r>
          </w:p>
        </w:tc>
        <w:tc>
          <w:tcPr>
            <w:tcW w:w="124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会议筹备及会务工作的完成率</w:t>
            </w:r>
          </w:p>
        </w:tc>
        <w:tc>
          <w:tcPr>
            <w:tcW w:w="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&lt;90%</w:t>
            </w:r>
          </w:p>
        </w:tc>
      </w:tr>
      <w:tr>
        <w:tblPrEx>
          <w:tblCellMar>
            <w:top w:w="0" w:type="dxa"/>
            <w:left w:w="108" w:type="dxa"/>
            <w:bottom w:w="0" w:type="dxa"/>
            <w:right w:w="108" w:type="dxa"/>
          </w:tblCellMar>
        </w:tblPrEx>
        <w:trPr>
          <w:trHeight w:val="195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1.3</w:t>
            </w:r>
          </w:p>
        </w:tc>
        <w:tc>
          <w:tcPr>
            <w:tcW w:w="13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选举和任免</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3585" w:type="dxa"/>
            <w:tcBorders>
              <w:top w:val="nil"/>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检查监督代表法、选举法及其实施办法的贯彻实施；承担人大换届选举及人事任免服务工作；负责对市政府组成人员和市级人民法院、市人民检察院主要负责人的目标责任书、述职报告的督办工作。</w:t>
            </w:r>
          </w:p>
        </w:tc>
        <w:tc>
          <w:tcPr>
            <w:tcW w:w="2763" w:type="dxa"/>
            <w:tcBorders>
              <w:top w:val="nil"/>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确保换届选举工作顺利完成，实现省市和市委人事安排部署；提高组织换届选举工作水平。</w:t>
            </w:r>
          </w:p>
        </w:tc>
        <w:tc>
          <w:tcPr>
            <w:tcW w:w="1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2149"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1.3.1</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人事任免</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3585"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承担市级国家机关领导人的选举和常委会人事任免的服务工作；指导市、乡人大换届选举工作；负责对市政府组成人员和市人民法院、市人民检察院主要负责人的目标责任书、述职报告的督办工作。</w:t>
            </w:r>
          </w:p>
        </w:tc>
        <w:tc>
          <w:tcPr>
            <w:tcW w:w="2763"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确保国家机关领导人选举和常委会人事任免服务工作；高效督办有关部门负责人的目标责任书和述职报告。</w:t>
            </w:r>
          </w:p>
        </w:tc>
        <w:tc>
          <w:tcPr>
            <w:tcW w:w="1247"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政治任务</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实现率</w:t>
            </w:r>
          </w:p>
        </w:tc>
        <w:tc>
          <w:tcPr>
            <w:tcW w:w="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&lt;90%</w:t>
            </w:r>
          </w:p>
        </w:tc>
      </w:tr>
      <w:tr>
        <w:tblPrEx>
          <w:tblCellMar>
            <w:top w:w="0" w:type="dxa"/>
            <w:left w:w="108" w:type="dxa"/>
            <w:bottom w:w="0" w:type="dxa"/>
            <w:right w:w="108" w:type="dxa"/>
          </w:tblCellMar>
        </w:tblPrEx>
        <w:trPr>
          <w:trHeight w:val="1814"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1.4</w:t>
            </w:r>
          </w:p>
        </w:tc>
        <w:tc>
          <w:tcPr>
            <w:tcW w:w="13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人大事务管理</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3585" w:type="dxa"/>
            <w:tcBorders>
              <w:top w:val="nil"/>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新闻宣传和机关信息化建设与维护；、机关基础设施建设与维护；市人大</w:t>
            </w:r>
            <w:r>
              <w:rPr>
                <w:rFonts w:hint="eastAsia" w:ascii="仿宋" w:hAnsi="仿宋" w:eastAsia="仿宋" w:cs="宋体"/>
                <w:kern w:val="0"/>
                <w:sz w:val="20"/>
                <w:szCs w:val="20"/>
                <w:lang w:val="en-US" w:eastAsia="zh-CN"/>
              </w:rPr>
              <w:t>常委会</w:t>
            </w:r>
            <w:bookmarkStart w:id="1" w:name="_GoBack"/>
            <w:bookmarkEnd w:id="1"/>
            <w:r>
              <w:rPr>
                <w:rFonts w:hint="eastAsia" w:ascii="仿宋" w:hAnsi="仿宋" w:eastAsia="仿宋" w:cs="宋体"/>
                <w:kern w:val="0"/>
                <w:sz w:val="20"/>
                <w:szCs w:val="20"/>
              </w:rPr>
              <w:t>机关日常管理事务；公报、年检的编辑印刷；信访工作。</w:t>
            </w:r>
          </w:p>
        </w:tc>
        <w:tc>
          <w:tcPr>
            <w:tcW w:w="2763" w:type="dxa"/>
            <w:tcBorders>
              <w:top w:val="nil"/>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促进机关自身建设、服务保障能力进一步提升。</w:t>
            </w:r>
          </w:p>
        </w:tc>
        <w:tc>
          <w:tcPr>
            <w:tcW w:w="1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2818"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1.4.1</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综合业务</w:t>
            </w:r>
          </w:p>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管理</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p>
        </w:tc>
        <w:tc>
          <w:tcPr>
            <w:tcW w:w="3585"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办理来信来访，人大系列工作的宣传报道；代表大会和常委会会议公报、人大工作年鉴、大事记和组织史的编写及印刷；负责市内外人大常委会联系。</w:t>
            </w:r>
          </w:p>
        </w:tc>
        <w:tc>
          <w:tcPr>
            <w:tcW w:w="2763"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保障新闻宣传与新闻发布工作正常开展，提高人大信息透明度和影响力；保障会议表决系统正常运转；网络与办公平台正常运行；促进社会和谐稳定。</w:t>
            </w:r>
          </w:p>
        </w:tc>
        <w:tc>
          <w:tcPr>
            <w:tcW w:w="124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综合业务</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管理工作</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完成率</w:t>
            </w:r>
          </w:p>
        </w:tc>
        <w:tc>
          <w:tcPr>
            <w:tcW w:w="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c>
          <w:tcPr>
            <w:tcW w:w="5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61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&lt;90%</w:t>
            </w:r>
          </w:p>
        </w:tc>
      </w:tr>
      <w:tr>
        <w:tblPrEx>
          <w:tblCellMar>
            <w:top w:w="0" w:type="dxa"/>
            <w:left w:w="108" w:type="dxa"/>
            <w:bottom w:w="0" w:type="dxa"/>
            <w:right w:w="108" w:type="dxa"/>
          </w:tblCellMar>
        </w:tblPrEx>
        <w:trPr>
          <w:trHeight w:val="2815"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Helv" w:hAnsi="Helv" w:cs="宋体"/>
                <w:kern w:val="0"/>
                <w:sz w:val="20"/>
                <w:szCs w:val="20"/>
              </w:rPr>
            </w:pPr>
            <w:r>
              <w:rPr>
                <w:rFonts w:ascii="Helv" w:hAnsi="Helv" w:cs="宋体"/>
                <w:kern w:val="0"/>
                <w:sz w:val="20"/>
                <w:szCs w:val="20"/>
              </w:rPr>
              <w:t>1.4.2</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综合事务管理</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3585"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负责机关文书档案印信管理和保密，机关人事、离退休人员服务，财务、基建、后勤服务工作；机关信息建设和办公自动化建设；；领导交办的其他工作。</w:t>
            </w:r>
          </w:p>
        </w:tc>
        <w:tc>
          <w:tcPr>
            <w:tcW w:w="2763" w:type="dxa"/>
            <w:tcBorders>
              <w:top w:val="single" w:color="auto" w:sz="4" w:space="0"/>
              <w:left w:val="nil"/>
              <w:bottom w:val="single" w:color="000000" w:sz="8" w:space="0"/>
              <w:right w:val="single" w:color="000000" w:sz="8"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机关基础设施设备正常运转，信息化保障、老干部服务保障能力进一步提高。</w:t>
            </w:r>
          </w:p>
        </w:tc>
        <w:tc>
          <w:tcPr>
            <w:tcW w:w="1247"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综合事务</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管理工作</w:t>
            </w:r>
          </w:p>
          <w:p>
            <w:pPr>
              <w:widowControl/>
              <w:jc w:val="center"/>
              <w:rPr>
                <w:rFonts w:ascii="仿宋" w:hAnsi="仿宋" w:eastAsia="仿宋" w:cs="宋体"/>
                <w:kern w:val="0"/>
                <w:sz w:val="20"/>
                <w:szCs w:val="20"/>
              </w:rPr>
            </w:pPr>
            <w:r>
              <w:rPr>
                <w:rFonts w:hint="eastAsia" w:ascii="仿宋" w:hAnsi="仿宋" w:eastAsia="仿宋" w:cs="宋体"/>
                <w:kern w:val="0"/>
                <w:sz w:val="20"/>
                <w:szCs w:val="20"/>
              </w:rPr>
              <w:t>完成率</w:t>
            </w:r>
          </w:p>
        </w:tc>
        <w:tc>
          <w:tcPr>
            <w:tcW w:w="68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1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w:t>
            </w:r>
          </w:p>
        </w:tc>
        <w:tc>
          <w:tcPr>
            <w:tcW w:w="58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c>
          <w:tcPr>
            <w:tcW w:w="58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61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&lt;90%</w:t>
            </w:r>
          </w:p>
        </w:tc>
      </w:tr>
    </w:tbl>
    <w:p>
      <w:pPr>
        <w:autoSpaceDE w:val="0"/>
        <w:autoSpaceDN w:val="0"/>
        <w:adjustRightInd w:val="0"/>
        <w:ind w:left="198" w:firstLine="643" w:firstLineChars="200"/>
        <w:jc w:val="left"/>
        <w:rPr>
          <w:rFonts w:ascii="Times New Roman" w:hAnsi="Times New Roman" w:eastAsia="仿宋" w:cs="Times New Roman"/>
          <w:b/>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autoSpaceDE w:val="0"/>
        <w:autoSpaceDN w:val="0"/>
        <w:adjustRightInd w:val="0"/>
        <w:ind w:firstLine="960" w:firstLineChars="300"/>
        <w:jc w:val="left"/>
        <w:rPr>
          <w:rFonts w:ascii="Times New Roman" w:hAnsi="Times New Roman" w:eastAsia="仿宋" w:cs="Times New Roman"/>
          <w:sz w:val="32"/>
          <w:szCs w:val="24"/>
        </w:rPr>
      </w:pPr>
      <w:r>
        <w:rPr>
          <w:rFonts w:ascii="Times New Roman" w:hAnsi="Times New Roman" w:eastAsia="仿宋" w:cs="Times New Roman"/>
          <w:sz w:val="32"/>
          <w:szCs w:val="24"/>
        </w:rPr>
        <w:t>2018年，</w:t>
      </w:r>
      <w:r>
        <w:rPr>
          <w:rFonts w:hint="eastAsia" w:ascii="Times New Roman" w:hAnsi="Times New Roman" w:eastAsia="仿宋" w:cs="Times New Roman"/>
          <w:sz w:val="32"/>
          <w:szCs w:val="24"/>
        </w:rPr>
        <w:t>无</w:t>
      </w:r>
      <w:r>
        <w:rPr>
          <w:rFonts w:ascii="Times New Roman" w:hAnsi="Times New Roman" w:eastAsia="仿宋" w:cs="Times New Roman"/>
          <w:sz w:val="32"/>
          <w:szCs w:val="24"/>
        </w:rPr>
        <w:t>政府采购预算安排。</w:t>
      </w:r>
    </w:p>
    <w:p>
      <w:pPr>
        <w:autoSpaceDE w:val="0"/>
        <w:autoSpaceDN w:val="0"/>
        <w:adjustRightInd w:val="0"/>
        <w:ind w:firstLine="640" w:firstLineChars="200"/>
        <w:jc w:val="left"/>
        <w:rPr>
          <w:rFonts w:ascii="黑体" w:hAnsi="黑体" w:eastAsia="黑体"/>
          <w:sz w:val="32"/>
          <w:szCs w:val="24"/>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sz w:val="32"/>
          <w:szCs w:val="24"/>
        </w:rPr>
        <w:t>七、</w:t>
      </w:r>
      <w:r>
        <w:rPr>
          <w:rFonts w:hint="eastAsia" w:ascii="黑体" w:hAnsi="黑体" w:eastAsia="黑体" w:cs="Times New Roman"/>
          <w:sz w:val="32"/>
          <w:szCs w:val="32"/>
        </w:rPr>
        <w:t>国有资产信息</w:t>
      </w:r>
    </w:p>
    <w:p>
      <w:pPr>
        <w:tabs>
          <w:tab w:val="left" w:pos="949"/>
        </w:tabs>
        <w:autoSpaceDE w:val="0"/>
        <w:autoSpaceDN w:val="0"/>
        <w:adjustRightInd w:val="0"/>
        <w:jc w:val="left"/>
        <w:rPr>
          <w:rFonts w:ascii="Times New Roman" w:hAnsi="Times New Roman" w:eastAsia="仿宋" w:cs="Times New Roman"/>
          <w:sz w:val="32"/>
          <w:szCs w:val="32"/>
        </w:rPr>
      </w:pPr>
      <w:r>
        <w:rPr>
          <w:rFonts w:hint="eastAsia" w:ascii="黑体" w:hAnsi="黑体" w:eastAsia="黑体" w:cs="Times New Roman"/>
          <w:sz w:val="32"/>
          <w:szCs w:val="32"/>
        </w:rPr>
        <w:t xml:space="preserve">     </w:t>
      </w:r>
      <w:r>
        <w:rPr>
          <w:rFonts w:ascii="Times New Roman" w:hAnsi="Times New Roman" w:eastAsia="仿宋" w:cs="Times New Roman"/>
          <w:sz w:val="32"/>
          <w:szCs w:val="32"/>
        </w:rPr>
        <w:t>上年末固定资产金额为</w:t>
      </w:r>
      <w:r>
        <w:rPr>
          <w:rFonts w:hint="eastAsia" w:ascii="Times New Roman" w:hAnsi="Times New Roman" w:eastAsia="仿宋" w:cs="Times New Roman"/>
          <w:sz w:val="32"/>
          <w:szCs w:val="32"/>
        </w:rPr>
        <w:t>109.038</w:t>
      </w:r>
      <w:r>
        <w:rPr>
          <w:rFonts w:ascii="Times New Roman" w:hAnsi="Times New Roman" w:eastAsia="仿宋" w:cs="Times New Roman"/>
          <w:sz w:val="32"/>
          <w:szCs w:val="32"/>
        </w:rPr>
        <w:t>万元（详见下表）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本年度</w:t>
      </w:r>
      <w:r>
        <w:rPr>
          <w:rFonts w:hint="eastAsia" w:ascii="Times New Roman" w:hAnsi="Times New Roman" w:eastAsia="仿宋" w:cs="Times New Roman"/>
          <w:sz w:val="32"/>
          <w:szCs w:val="32"/>
        </w:rPr>
        <w:t>无</w:t>
      </w:r>
      <w:r>
        <w:rPr>
          <w:rFonts w:ascii="Times New Roman" w:hAnsi="Times New Roman" w:eastAsia="仿宋" w:cs="Times New Roman"/>
          <w:sz w:val="32"/>
          <w:szCs w:val="32"/>
        </w:rPr>
        <w:t>购置固定资产</w:t>
      </w:r>
      <w:r>
        <w:rPr>
          <w:rFonts w:hint="eastAsia" w:ascii="Times New Roman" w:hAnsi="Times New Roman" w:eastAsia="仿宋" w:cs="Times New Roman"/>
          <w:sz w:val="32"/>
          <w:szCs w:val="32"/>
        </w:rPr>
        <w:t>安排。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沙河市市直部门固定资产占用情况表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市人大常委会办公室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7</w:t>
            </w:r>
            <w:r>
              <w:rPr>
                <w:rFonts w:ascii="Times New Roman" w:hAnsi="Times New Roman" w:eastAsia="仿宋" w:cs="Times New Roman"/>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109.038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6</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98.9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nil"/>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10.138</w:t>
            </w:r>
          </w:p>
        </w:tc>
      </w:tr>
    </w:tbl>
    <w:p>
      <w:pPr>
        <w:tabs>
          <w:tab w:val="left" w:pos="949"/>
        </w:tabs>
        <w:autoSpaceDE w:val="0"/>
        <w:autoSpaceDN w:val="0"/>
        <w:adjustRightInd w:val="0"/>
        <w:jc w:val="left"/>
        <w:rPr>
          <w:rFonts w:ascii="Times New Roman" w:hAnsi="Times New Roman" w:eastAsia="仿宋" w:cs="Times New Roman"/>
          <w:sz w:val="32"/>
          <w:szCs w:val="32"/>
        </w:rPr>
      </w:pP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八、名词解释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1、一般预算收入：本级财政当年拨付的资金。</w:t>
      </w:r>
    </w:p>
    <w:p>
      <w:pPr>
        <w:ind w:firstLine="640" w:firstLineChars="200"/>
        <w:rPr>
          <w:rFonts w:ascii="仿宋" w:hAnsi="仿宋" w:eastAsia="仿宋" w:cs="仿宋"/>
          <w:sz w:val="32"/>
          <w:szCs w:val="32"/>
        </w:rPr>
      </w:pPr>
      <w:r>
        <w:rPr>
          <w:rFonts w:hint="eastAsia" w:ascii="仿宋" w:hAnsi="仿宋" w:eastAsia="仿宋" w:cs="仿宋"/>
          <w:sz w:val="32"/>
          <w:szCs w:val="32"/>
        </w:rPr>
        <w:t>2、基本支出：为保障机构正常运转，完成日常工作任务，而发生的人员支出和公用支出。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3、项目支出：是指在基本支出之外，为完成特定行政任务和事业发展目标，而发生的支出。</w:t>
      </w:r>
    </w:p>
    <w:p>
      <w:pPr>
        <w:ind w:firstLine="640" w:firstLineChars="200"/>
        <w:rPr>
          <w:rFonts w:ascii="Times New Roman" w:hAnsi="Times New Roman" w:eastAsia="黑体" w:cs="Times New Roman"/>
          <w:sz w:val="32"/>
          <w:szCs w:val="32"/>
        </w:rPr>
      </w:pPr>
      <w:r>
        <w:rPr>
          <w:rFonts w:hint="eastAsia" w:ascii="仿宋" w:hAnsi="仿宋" w:eastAsia="仿宋" w:cs="仿宋"/>
          <w:sz w:val="32"/>
          <w:szCs w:val="32"/>
        </w:rPr>
        <w:t>4、机关运行费：是指本部门的公用经费，包括办公及印刷费、邮电费、差旅费、福利费、日常维修费、专用材料及一般设备购置费、公务用车运行维护费以及其他费用。</w:t>
      </w:r>
    </w:p>
    <w:p>
      <w:pPr>
        <w:autoSpaceDE w:val="0"/>
        <w:autoSpaceDN w:val="0"/>
        <w:adjustRightInd w:val="0"/>
        <w:ind w:left="420" w:leftChars="200" w:firstLine="320" w:firstLineChars="100"/>
        <w:jc w:val="left"/>
        <w:rPr>
          <w:rFonts w:ascii="Times New Roman" w:hAnsi="Times New Roman" w:eastAsia="仿宋" w:cs="Times New Roman"/>
          <w:sz w:val="32"/>
          <w:szCs w:val="32"/>
        </w:rPr>
      </w:pPr>
      <w:r>
        <w:rPr>
          <w:rFonts w:hint="eastAsia" w:ascii="黑体" w:hAnsi="黑体" w:eastAsia="黑体" w:cs="Times New Roman"/>
          <w:sz w:val="32"/>
          <w:szCs w:val="32"/>
        </w:rPr>
        <w:t>九、其他需要说明的事项</w:t>
      </w:r>
    </w:p>
    <w:p>
      <w:pPr>
        <w:autoSpaceDE w:val="0"/>
        <w:autoSpaceDN w:val="0"/>
        <w:adjustRightInd w:val="0"/>
        <w:ind w:left="420" w:leftChars="200"/>
        <w:jc w:val="left"/>
        <w:rPr>
          <w:rFonts w:ascii="Times New Roman" w:hAnsi="Times New Roman" w:eastAsia="黑体" w:cs="Times New Roman"/>
          <w:sz w:val="32"/>
          <w:szCs w:val="32"/>
        </w:rPr>
      </w:pPr>
      <w:r>
        <w:rPr>
          <w:rFonts w:hint="eastAsia" w:ascii="黑体" w:hAnsi="黑体" w:eastAsia="黑体" w:cs="Times New Roman"/>
          <w:sz w:val="32"/>
          <w:szCs w:val="32"/>
        </w:rPr>
        <w:t xml:space="preserve">      </w:t>
      </w:r>
      <w:r>
        <w:rPr>
          <w:rFonts w:hint="eastAsia" w:ascii="仿宋" w:hAnsi="仿宋" w:eastAsia="仿宋" w:cs="仿宋"/>
          <w:sz w:val="32"/>
          <w:szCs w:val="32"/>
        </w:rPr>
        <w:t>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
    <w:altName w:val="Arial"/>
    <w:panose1 w:val="020B060402020203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72108"/>
    <w:multiLevelType w:val="singleLevel"/>
    <w:tmpl w:val="D2572108"/>
    <w:lvl w:ilvl="0" w:tentative="0">
      <w:start w:val="3"/>
      <w:numFmt w:val="chineseCounting"/>
      <w:suff w:val="nothing"/>
      <w:lvlText w:val="%1、"/>
      <w:lvlJc w:val="left"/>
      <w:pPr>
        <w:ind w:left="800" w:firstLine="0"/>
      </w:pPr>
      <w:rPr>
        <w:rFonts w:hint="eastAsia"/>
      </w:rPr>
    </w:lvl>
  </w:abstractNum>
  <w:abstractNum w:abstractNumId="1">
    <w:nsid w:val="F963E374"/>
    <w:multiLevelType w:val="singleLevel"/>
    <w:tmpl w:val="F963E3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0FBA"/>
    <w:rsid w:val="0004490B"/>
    <w:rsid w:val="000604DF"/>
    <w:rsid w:val="000B6658"/>
    <w:rsid w:val="0013228E"/>
    <w:rsid w:val="0027733F"/>
    <w:rsid w:val="002E4731"/>
    <w:rsid w:val="003277EC"/>
    <w:rsid w:val="00456D84"/>
    <w:rsid w:val="00487932"/>
    <w:rsid w:val="006D7083"/>
    <w:rsid w:val="00741C42"/>
    <w:rsid w:val="008003BA"/>
    <w:rsid w:val="00817B30"/>
    <w:rsid w:val="00913DC7"/>
    <w:rsid w:val="00A01D8D"/>
    <w:rsid w:val="00AB126A"/>
    <w:rsid w:val="00C2556C"/>
    <w:rsid w:val="00CD5F58"/>
    <w:rsid w:val="00D711F1"/>
    <w:rsid w:val="00E813A4"/>
    <w:rsid w:val="00F171F2"/>
    <w:rsid w:val="00F42711"/>
    <w:rsid w:val="02E00D6B"/>
    <w:rsid w:val="05E72FAD"/>
    <w:rsid w:val="085733B0"/>
    <w:rsid w:val="10192FBD"/>
    <w:rsid w:val="107E5A30"/>
    <w:rsid w:val="12F35502"/>
    <w:rsid w:val="14225568"/>
    <w:rsid w:val="16F95D83"/>
    <w:rsid w:val="176C4EF7"/>
    <w:rsid w:val="1ACF4F13"/>
    <w:rsid w:val="20773669"/>
    <w:rsid w:val="21591733"/>
    <w:rsid w:val="218A3B7C"/>
    <w:rsid w:val="22E54A2A"/>
    <w:rsid w:val="23782CF6"/>
    <w:rsid w:val="23D829D9"/>
    <w:rsid w:val="2603291D"/>
    <w:rsid w:val="2A853D05"/>
    <w:rsid w:val="2C505A76"/>
    <w:rsid w:val="2E491269"/>
    <w:rsid w:val="2FD93CC0"/>
    <w:rsid w:val="31051BE1"/>
    <w:rsid w:val="35D43955"/>
    <w:rsid w:val="3629509D"/>
    <w:rsid w:val="36430EF7"/>
    <w:rsid w:val="36475B07"/>
    <w:rsid w:val="377B2D47"/>
    <w:rsid w:val="37D50FE4"/>
    <w:rsid w:val="38CA2A57"/>
    <w:rsid w:val="3AB07DBE"/>
    <w:rsid w:val="3C790D1D"/>
    <w:rsid w:val="3C7B683D"/>
    <w:rsid w:val="4172565D"/>
    <w:rsid w:val="42B07D90"/>
    <w:rsid w:val="48E6520B"/>
    <w:rsid w:val="5497335C"/>
    <w:rsid w:val="54BF2BCB"/>
    <w:rsid w:val="56BB76F6"/>
    <w:rsid w:val="5F80199E"/>
    <w:rsid w:val="62423A14"/>
    <w:rsid w:val="65BC330B"/>
    <w:rsid w:val="66683C64"/>
    <w:rsid w:val="671141BC"/>
    <w:rsid w:val="6AD21587"/>
    <w:rsid w:val="6B5E445F"/>
    <w:rsid w:val="6D5D35B9"/>
    <w:rsid w:val="705A3A60"/>
    <w:rsid w:val="753354CB"/>
    <w:rsid w:val="76EC7F1E"/>
    <w:rsid w:val="796C08B7"/>
    <w:rsid w:val="7BFF6B27"/>
    <w:rsid w:val="7C985396"/>
    <w:rsid w:val="7E2508D9"/>
    <w:rsid w:val="7EB9612F"/>
    <w:rsid w:val="7EC9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3"/>
    <w:semiHidden/>
    <w:qFormat/>
    <w:uiPriority w:val="0"/>
    <w:rPr>
      <w:rFonts w:ascii="Times New Roman" w:hAnsi="Times New Roman" w:eastAsia="宋体" w:cs="Times New Roman"/>
      <w:sz w:val="18"/>
      <w:szCs w:val="18"/>
    </w:rPr>
  </w:style>
  <w:style w:type="character" w:customStyle="1" w:styleId="12">
    <w:name w:val="页眉 Char"/>
    <w:link w:val="4"/>
    <w:semiHidden/>
    <w:qFormat/>
    <w:uiPriority w:val="0"/>
    <w:rPr>
      <w:rFonts w:ascii="Times New Roman" w:hAnsi="Times New Roman" w:eastAsia="宋体" w:cs="Times New Roman"/>
      <w:sz w:val="18"/>
      <w:szCs w:val="18"/>
    </w:rPr>
  </w:style>
  <w:style w:type="character" w:customStyle="1" w:styleId="13">
    <w:name w:val="批注框文本 Char"/>
    <w:basedOn w:val="9"/>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B5AC-19DD-4073-A3E5-20E48B38B7D0}">
  <ds:schemaRefs/>
</ds:datastoreItem>
</file>

<file path=docProps/app.xml><?xml version="1.0" encoding="utf-8"?>
<Properties xmlns="http://schemas.openxmlformats.org/officeDocument/2006/extended-properties" xmlns:vt="http://schemas.openxmlformats.org/officeDocument/2006/docPropsVTypes">
  <Template>Normal</Template>
  <Pages>11</Pages>
  <Words>592</Words>
  <Characters>3378</Characters>
  <Lines>28</Lines>
  <Paragraphs>7</Paragraphs>
  <TotalTime>2</TotalTime>
  <ScaleCrop>false</ScaleCrop>
  <LinksUpToDate>false</LinksUpToDate>
  <CharactersWithSpaces>3963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2018-08-24T06:58:00Z</dcterms:created>
  <dc:creator>guest</dc:creator>
  <cp:lastModifiedBy>Administrator</cp:lastModifiedBy>
  <cp:lastPrinted>2017-02-09T01:57:00Z</cp:lastPrinted>
  <dcterms:modified xsi:type="dcterms:W3CDTF">2024-02-02T01:18:02Z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719961D4F7C84D4A9D0EF25D13B6A18C</vt:lpwstr>
  </property>
</Properties>
</file>