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中共沙河市委党校</w:t>
      </w:r>
    </w:p>
    <w:p>
      <w:pPr>
        <w:jc w:val="center"/>
        <w:rPr>
          <w:rFonts w:hint="eastAsia" w:ascii="宋体" w:hAnsi="宋体" w:eastAsia="宋体" w:cs="宋体"/>
          <w:b/>
          <w:bCs/>
          <w:sz w:val="44"/>
          <w:szCs w:val="44"/>
        </w:rPr>
      </w:pPr>
      <w:r>
        <w:rPr>
          <w:rFonts w:hint="eastAsia" w:ascii="宋体" w:hAnsi="宋体" w:cs="宋体"/>
          <w:b/>
          <w:bCs/>
          <w:sz w:val="44"/>
          <w:szCs w:val="44"/>
          <w:lang w:val="en-US" w:eastAsia="zh-CN"/>
        </w:rPr>
        <w:t>2020</w:t>
      </w:r>
      <w:r>
        <w:rPr>
          <w:rFonts w:hint="eastAsia" w:ascii="宋体" w:hAnsi="宋体" w:eastAsia="宋体" w:cs="宋体"/>
          <w:b/>
          <w:bCs/>
          <w:sz w:val="44"/>
          <w:szCs w:val="44"/>
        </w:rPr>
        <w:t>年部门预算信息公开</w:t>
      </w:r>
      <w:r>
        <w:rPr>
          <w:rFonts w:hint="eastAsia" w:ascii="宋体" w:hAnsi="宋体" w:eastAsia="宋体" w:cs="宋体"/>
          <w:b/>
          <w:bCs/>
          <w:sz w:val="44"/>
          <w:szCs w:val="44"/>
          <w:lang w:val="en-US" w:eastAsia="zh-CN"/>
        </w:rPr>
        <w:t>情况说明</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按照《</w:t>
      </w:r>
      <w:r>
        <w:rPr>
          <w:rFonts w:hint="eastAsia" w:ascii="宋体" w:hAnsi="宋体" w:cs="宋体"/>
          <w:sz w:val="32"/>
          <w:szCs w:val="32"/>
          <w:lang w:val="en-US" w:eastAsia="zh-CN"/>
        </w:rPr>
        <w:t>中华人民共和国</w:t>
      </w:r>
      <w:bookmarkStart w:id="3" w:name="_GoBack"/>
      <w:bookmarkEnd w:id="3"/>
      <w:r>
        <w:rPr>
          <w:rFonts w:hint="eastAsia" w:ascii="宋体" w:hAnsi="宋体" w:eastAsia="宋体" w:cs="宋体"/>
          <w:sz w:val="32"/>
          <w:szCs w:val="32"/>
        </w:rPr>
        <w:t>预算法》、《地方预决算公开操作规程》规定，现将20</w:t>
      </w:r>
      <w:r>
        <w:rPr>
          <w:rFonts w:hint="eastAsia" w:ascii="宋体" w:hAnsi="宋体" w:cs="宋体"/>
          <w:sz w:val="32"/>
          <w:szCs w:val="32"/>
          <w:lang w:val="en-US" w:eastAsia="zh-CN"/>
        </w:rPr>
        <w:t>20</w:t>
      </w:r>
      <w:r>
        <w:rPr>
          <w:rFonts w:hint="eastAsia" w:ascii="宋体" w:hAnsi="宋体" w:eastAsia="宋体" w:cs="宋体"/>
          <w:sz w:val="32"/>
          <w:szCs w:val="32"/>
        </w:rPr>
        <w:t>年</w:t>
      </w:r>
      <w:r>
        <w:rPr>
          <w:rFonts w:hint="eastAsia" w:ascii="宋体" w:hAnsi="宋体" w:cs="宋体"/>
          <w:sz w:val="32"/>
          <w:szCs w:val="32"/>
          <w:lang w:eastAsia="zh-CN"/>
        </w:rPr>
        <w:t>中共沙河市委党校</w:t>
      </w:r>
      <w:r>
        <w:rPr>
          <w:rFonts w:hint="eastAsia" w:ascii="宋体" w:hAnsi="宋体" w:eastAsia="宋体" w:cs="宋体"/>
          <w:sz w:val="32"/>
          <w:szCs w:val="32"/>
        </w:rPr>
        <w:t>部门预算公开如下：</w:t>
      </w:r>
    </w:p>
    <w:p>
      <w:pPr>
        <w:ind w:firstLine="640"/>
        <w:rPr>
          <w:rFonts w:hint="eastAsia" w:ascii="宋体" w:hAnsi="宋体" w:eastAsia="宋体" w:cs="宋体"/>
          <w:sz w:val="32"/>
          <w:szCs w:val="32"/>
        </w:rPr>
      </w:pPr>
      <w:r>
        <w:rPr>
          <w:rFonts w:hint="eastAsia" w:ascii="宋体" w:hAnsi="宋体" w:eastAsia="宋体" w:cs="宋体"/>
          <w:sz w:val="32"/>
          <w:szCs w:val="32"/>
        </w:rPr>
        <w:t>一、部门职责及机构设置情况</w:t>
      </w:r>
    </w:p>
    <w:p>
      <w:pPr>
        <w:ind w:firstLine="643" w:firstLineChars="200"/>
        <w:rPr>
          <w:rFonts w:hint="eastAsia" w:ascii="宋体" w:hAnsi="宋体" w:eastAsia="宋体" w:cs="宋体"/>
          <w:b/>
          <w:sz w:val="32"/>
          <w:szCs w:val="32"/>
        </w:rPr>
      </w:pPr>
      <w:r>
        <w:rPr>
          <w:rFonts w:hint="eastAsia" w:ascii="宋体" w:hAnsi="宋体" w:eastAsia="宋体" w:cs="宋体"/>
          <w:b/>
          <w:sz w:val="32"/>
          <w:szCs w:val="32"/>
        </w:rPr>
        <w:t>部门职责：</w:t>
      </w:r>
    </w:p>
    <w:p>
      <w:pPr>
        <w:ind w:firstLine="640"/>
        <w:rPr>
          <w:rFonts w:hint="eastAsia" w:ascii="宋体" w:hAnsi="宋体" w:eastAsia="宋体" w:cs="宋体"/>
          <w:sz w:val="32"/>
          <w:szCs w:val="32"/>
        </w:rPr>
      </w:pPr>
      <w:r>
        <w:rPr>
          <w:rFonts w:hint="eastAsia" w:ascii="宋体" w:hAnsi="宋体" w:eastAsia="宋体" w:cs="宋体"/>
          <w:b/>
          <w:bCs/>
          <w:sz w:val="32"/>
          <w:szCs w:val="32"/>
        </w:rPr>
        <w:t>培训教育：</w:t>
      </w:r>
      <w:r>
        <w:rPr>
          <w:rFonts w:hint="eastAsia" w:ascii="宋体" w:hAnsi="宋体" w:eastAsia="宋体" w:cs="宋体"/>
          <w:sz w:val="32"/>
          <w:szCs w:val="32"/>
        </w:rPr>
        <w:t>党校的主要职责是培训教育。主要形式是开展主体班培训。要根据各级党组织关于建设高素质干部队伍的要求，有计划地培训、轮训领导干部和宣传骨干；要结合河北发展实际，以研讨中央重大理论和方针、政策问题为目的，举办各种专题研讨班。干部短期培训要针对加强干部某一方面能力为目标，充分利用现有教学资源进行干部短期培训。使广大党员干部理论水平进一步提高，实践操作能力进一步提升，促进全市经济社会快速发展。</w:t>
      </w:r>
    </w:p>
    <w:p>
      <w:pPr>
        <w:ind w:firstLine="643" w:firstLineChars="200"/>
        <w:rPr>
          <w:rFonts w:hint="eastAsia" w:ascii="宋体" w:hAnsi="宋体" w:eastAsia="宋体" w:cs="宋体"/>
          <w:b w:val="0"/>
          <w:bCs/>
          <w:sz w:val="28"/>
          <w:szCs w:val="28"/>
        </w:rPr>
      </w:pPr>
      <w:r>
        <w:rPr>
          <w:rFonts w:hint="eastAsia" w:ascii="宋体" w:hAnsi="宋体" w:eastAsia="宋体" w:cs="宋体"/>
          <w:b/>
          <w:sz w:val="32"/>
          <w:szCs w:val="32"/>
        </w:rPr>
        <w:t>机构设置：</w:t>
      </w:r>
      <w:r>
        <w:rPr>
          <w:rFonts w:hint="eastAsia" w:ascii="宋体" w:hAnsi="宋体" w:cs="宋体"/>
          <w:b w:val="0"/>
          <w:bCs/>
          <w:sz w:val="32"/>
          <w:szCs w:val="32"/>
          <w:lang w:eastAsia="zh-CN"/>
        </w:rPr>
        <w:t>中共沙河市委党校无下属单位，部门预算只包含中共沙河市委党校。</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70"/>
        <w:gridCol w:w="1481"/>
        <w:gridCol w:w="1474"/>
        <w:gridCol w:w="27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070" w:type="dxa"/>
            <w:vMerge w:val="restart"/>
            <w:noWrap w:val="0"/>
            <w:vAlign w:val="center"/>
          </w:tcPr>
          <w:p>
            <w:pPr>
              <w:spacing w:line="300" w:lineRule="exact"/>
              <w:jc w:val="center"/>
              <w:rPr>
                <w:rFonts w:ascii="Times New Roman" w:hAnsi="Times New Roman" w:eastAsia="方正书宋_GBK" w:cs="Times New Roman"/>
                <w:b/>
                <w:sz w:val="28"/>
                <w:szCs w:val="28"/>
              </w:rPr>
            </w:pPr>
            <w:r>
              <w:rPr>
                <w:rFonts w:ascii="Times New Roman" w:hAnsi="Times New Roman" w:eastAsia="方正书宋_GBK" w:cs="Times New Roman"/>
                <w:b/>
                <w:sz w:val="28"/>
                <w:szCs w:val="28"/>
              </w:rPr>
              <w:t>单位名称</w:t>
            </w:r>
          </w:p>
        </w:tc>
        <w:tc>
          <w:tcPr>
            <w:tcW w:w="1481" w:type="dxa"/>
            <w:vMerge w:val="restart"/>
            <w:noWrap w:val="0"/>
            <w:vAlign w:val="center"/>
          </w:tcPr>
          <w:p>
            <w:pPr>
              <w:spacing w:line="300" w:lineRule="exact"/>
              <w:jc w:val="center"/>
              <w:rPr>
                <w:rFonts w:ascii="Times New Roman" w:hAnsi="Times New Roman" w:eastAsia="方正书宋_GBK" w:cs="Times New Roman"/>
                <w:b/>
                <w:sz w:val="28"/>
                <w:szCs w:val="28"/>
              </w:rPr>
            </w:pPr>
            <w:r>
              <w:rPr>
                <w:rFonts w:ascii="Times New Roman" w:hAnsi="Times New Roman" w:eastAsia="方正书宋_GBK" w:cs="Times New Roman"/>
                <w:b/>
                <w:sz w:val="28"/>
                <w:szCs w:val="28"/>
              </w:rPr>
              <w:t>单位性质</w:t>
            </w:r>
          </w:p>
        </w:tc>
        <w:tc>
          <w:tcPr>
            <w:tcW w:w="1474" w:type="dxa"/>
            <w:vMerge w:val="restart"/>
            <w:noWrap w:val="0"/>
            <w:vAlign w:val="center"/>
          </w:tcPr>
          <w:p>
            <w:pPr>
              <w:spacing w:line="300" w:lineRule="exact"/>
              <w:jc w:val="center"/>
              <w:rPr>
                <w:rFonts w:ascii="Times New Roman" w:hAnsi="Times New Roman" w:eastAsia="方正书宋_GBK" w:cs="Times New Roman"/>
                <w:b/>
                <w:sz w:val="28"/>
                <w:szCs w:val="28"/>
              </w:rPr>
            </w:pPr>
            <w:r>
              <w:rPr>
                <w:rFonts w:ascii="Times New Roman" w:hAnsi="Times New Roman" w:eastAsia="方正书宋_GBK" w:cs="Times New Roman"/>
                <w:b/>
                <w:sz w:val="28"/>
                <w:szCs w:val="28"/>
              </w:rPr>
              <w:t>单位规格</w:t>
            </w:r>
          </w:p>
        </w:tc>
        <w:tc>
          <w:tcPr>
            <w:tcW w:w="2704" w:type="dxa"/>
            <w:vMerge w:val="restart"/>
            <w:noWrap w:val="0"/>
            <w:vAlign w:val="center"/>
          </w:tcPr>
          <w:p>
            <w:pPr>
              <w:spacing w:line="300" w:lineRule="exact"/>
              <w:jc w:val="center"/>
              <w:rPr>
                <w:rFonts w:ascii="Times New Roman" w:hAnsi="Times New Roman" w:eastAsia="方正书宋_GBK" w:cs="Times New Roman"/>
                <w:b/>
                <w:sz w:val="28"/>
                <w:szCs w:val="28"/>
              </w:rPr>
            </w:pPr>
            <w:r>
              <w:rPr>
                <w:rFonts w:ascii="Times New Roman" w:hAnsi="Times New Roman" w:eastAsia="方正书宋_GBK" w:cs="Times New Roman"/>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4070" w:type="dxa"/>
            <w:vMerge w:val="continue"/>
            <w:noWrap w:val="0"/>
            <w:vAlign w:val="center"/>
          </w:tcPr>
          <w:p>
            <w:pPr>
              <w:spacing w:line="300" w:lineRule="exact"/>
              <w:jc w:val="left"/>
              <w:outlineLvl w:val="0"/>
              <w:rPr>
                <w:rFonts w:ascii="Times New Roman" w:hAnsi="Times New Roman" w:cs="Times New Roman"/>
                <w:sz w:val="28"/>
                <w:szCs w:val="28"/>
              </w:rPr>
            </w:pPr>
          </w:p>
        </w:tc>
        <w:tc>
          <w:tcPr>
            <w:tcW w:w="1481" w:type="dxa"/>
            <w:vMerge w:val="continue"/>
            <w:noWrap w:val="0"/>
            <w:vAlign w:val="center"/>
          </w:tcPr>
          <w:p>
            <w:pPr>
              <w:spacing w:line="300" w:lineRule="exact"/>
              <w:jc w:val="left"/>
              <w:outlineLvl w:val="0"/>
              <w:rPr>
                <w:rFonts w:ascii="Times New Roman" w:hAnsi="Times New Roman" w:cs="Times New Roman"/>
                <w:sz w:val="28"/>
                <w:szCs w:val="28"/>
              </w:rPr>
            </w:pPr>
          </w:p>
        </w:tc>
        <w:tc>
          <w:tcPr>
            <w:tcW w:w="1474" w:type="dxa"/>
            <w:vMerge w:val="continue"/>
            <w:noWrap w:val="0"/>
            <w:vAlign w:val="center"/>
          </w:tcPr>
          <w:p>
            <w:pPr>
              <w:spacing w:line="300" w:lineRule="exact"/>
              <w:jc w:val="left"/>
              <w:outlineLvl w:val="0"/>
              <w:rPr>
                <w:rFonts w:ascii="Times New Roman" w:hAnsi="Times New Roman" w:cs="Times New Roman"/>
                <w:sz w:val="28"/>
                <w:szCs w:val="28"/>
              </w:rPr>
            </w:pPr>
          </w:p>
        </w:tc>
        <w:tc>
          <w:tcPr>
            <w:tcW w:w="2704" w:type="dxa"/>
            <w:vMerge w:val="continue"/>
            <w:noWrap w:val="0"/>
            <w:vAlign w:val="center"/>
          </w:tcPr>
          <w:p>
            <w:pPr>
              <w:spacing w:line="300" w:lineRule="exact"/>
              <w:jc w:val="left"/>
              <w:outlineLvl w:val="0"/>
              <w:rPr>
                <w:rFonts w:ascii="Times New Roman" w:hAnsi="Times New Roman"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4070" w:type="dxa"/>
            <w:noWrap w:val="0"/>
            <w:vAlign w:val="center"/>
          </w:tcPr>
          <w:p>
            <w:pPr>
              <w:spacing w:line="300" w:lineRule="exact"/>
              <w:jc w:val="center"/>
              <w:rPr>
                <w:rFonts w:hint="default" w:ascii="Times New Roman" w:hAnsi="Times New Roman" w:eastAsia="方正书宋_GBK" w:cs="Times New Roman"/>
                <w:sz w:val="28"/>
                <w:szCs w:val="28"/>
                <w:lang w:val="en-US" w:eastAsia="zh-CN"/>
              </w:rPr>
            </w:pPr>
            <w:r>
              <w:rPr>
                <w:rFonts w:hint="eastAsia" w:ascii="Times New Roman" w:hAnsi="Times New Roman" w:eastAsia="方正书宋_GBK" w:cs="Times New Roman"/>
                <w:sz w:val="28"/>
                <w:szCs w:val="28"/>
                <w:lang w:val="en-US" w:eastAsia="zh-CN"/>
              </w:rPr>
              <w:t>中共沙河市委党校</w:t>
            </w:r>
          </w:p>
        </w:tc>
        <w:tc>
          <w:tcPr>
            <w:tcW w:w="1481" w:type="dxa"/>
            <w:noWrap w:val="0"/>
            <w:vAlign w:val="center"/>
          </w:tcPr>
          <w:p>
            <w:pPr>
              <w:spacing w:line="300" w:lineRule="exact"/>
              <w:jc w:val="center"/>
              <w:rPr>
                <w:rFonts w:hint="eastAsia" w:ascii="Times New Roman" w:hAnsi="Times New Roman" w:eastAsia="方正书宋_GBK" w:cs="Times New Roman"/>
                <w:sz w:val="28"/>
                <w:szCs w:val="28"/>
                <w:lang w:val="en-US" w:eastAsia="zh-CN"/>
              </w:rPr>
            </w:pPr>
            <w:r>
              <w:rPr>
                <w:rFonts w:hint="eastAsia" w:ascii="Times New Roman" w:hAnsi="Times New Roman" w:eastAsia="方正书宋_GBK" w:cs="Times New Roman"/>
                <w:sz w:val="28"/>
                <w:szCs w:val="28"/>
                <w:lang w:val="en-US" w:eastAsia="zh-CN"/>
              </w:rPr>
              <w:t>事业</w:t>
            </w:r>
          </w:p>
        </w:tc>
        <w:tc>
          <w:tcPr>
            <w:tcW w:w="1474" w:type="dxa"/>
            <w:noWrap w:val="0"/>
            <w:vAlign w:val="center"/>
          </w:tcPr>
          <w:p>
            <w:pPr>
              <w:spacing w:line="300" w:lineRule="exact"/>
              <w:jc w:val="center"/>
              <w:rPr>
                <w:rFonts w:ascii="Times New Roman" w:hAnsi="Times New Roman" w:eastAsia="方正书宋_GBK" w:cs="Times New Roman"/>
                <w:sz w:val="28"/>
                <w:szCs w:val="28"/>
              </w:rPr>
            </w:pPr>
            <w:r>
              <w:rPr>
                <w:rFonts w:hint="eastAsia" w:ascii="方正书宋_GBK" w:eastAsia="方正书宋_GBK"/>
                <w:sz w:val="28"/>
                <w:szCs w:val="28"/>
              </w:rPr>
              <w:t>正</w:t>
            </w:r>
            <w:r>
              <w:rPr>
                <w:rFonts w:hint="eastAsia" w:ascii="方正书宋_GBK" w:eastAsia="方正书宋_GBK"/>
                <w:sz w:val="28"/>
                <w:szCs w:val="28"/>
                <w:lang w:eastAsia="zh-CN"/>
              </w:rPr>
              <w:t>科</w:t>
            </w:r>
            <w:r>
              <w:rPr>
                <w:rFonts w:hint="eastAsia" w:ascii="方正书宋_GBK" w:eastAsia="方正书宋_GBK"/>
                <w:sz w:val="28"/>
                <w:szCs w:val="28"/>
              </w:rPr>
              <w:t>级</w:t>
            </w:r>
          </w:p>
        </w:tc>
        <w:tc>
          <w:tcPr>
            <w:tcW w:w="2704" w:type="dxa"/>
            <w:noWrap w:val="0"/>
            <w:vAlign w:val="center"/>
          </w:tcPr>
          <w:p>
            <w:pPr>
              <w:spacing w:line="300" w:lineRule="exact"/>
              <w:jc w:val="center"/>
              <w:rPr>
                <w:rFonts w:ascii="Times New Roman" w:hAnsi="Times New Roman" w:eastAsia="方正书宋_GBK" w:cs="Times New Roman"/>
                <w:sz w:val="28"/>
                <w:szCs w:val="28"/>
              </w:rPr>
            </w:pPr>
            <w:r>
              <w:rPr>
                <w:rFonts w:hint="eastAsia" w:ascii="方正书宋_GBK" w:eastAsia="方正书宋_GBK"/>
                <w:sz w:val="28"/>
                <w:szCs w:val="28"/>
              </w:rPr>
              <w:t>财政拨款</w:t>
            </w:r>
          </w:p>
        </w:tc>
      </w:tr>
    </w:tbl>
    <w:p>
      <w:pPr>
        <w:ind w:firstLine="560" w:firstLineChars="200"/>
        <w:rPr>
          <w:rFonts w:hint="eastAsia" w:ascii="宋体" w:hAnsi="宋体" w:eastAsia="宋体" w:cs="宋体"/>
          <w:b w:val="0"/>
          <w:bCs/>
          <w:sz w:val="28"/>
          <w:szCs w:val="28"/>
        </w:rPr>
      </w:pPr>
    </w:p>
    <w:p>
      <w:pPr>
        <w:ind w:firstLine="640"/>
        <w:rPr>
          <w:rFonts w:hint="eastAsia" w:ascii="宋体" w:hAnsi="宋体" w:eastAsia="宋体" w:cs="宋体"/>
          <w:sz w:val="32"/>
          <w:szCs w:val="32"/>
        </w:rPr>
      </w:pPr>
      <w:r>
        <w:rPr>
          <w:rFonts w:hint="eastAsia" w:ascii="宋体" w:hAnsi="宋体" w:eastAsia="宋体" w:cs="宋体"/>
          <w:sz w:val="32"/>
          <w:szCs w:val="32"/>
        </w:rPr>
        <w:t>二、部门预算安排的总体情况</w:t>
      </w:r>
    </w:p>
    <w:p>
      <w:pPr>
        <w:ind w:firstLine="640"/>
        <w:rPr>
          <w:rFonts w:hint="eastAsia" w:ascii="宋体" w:hAnsi="宋体" w:eastAsia="宋体" w:cs="宋体"/>
          <w:sz w:val="32"/>
          <w:szCs w:val="32"/>
        </w:rPr>
      </w:pPr>
      <w:r>
        <w:rPr>
          <w:rFonts w:hint="eastAsia" w:ascii="宋体" w:hAnsi="宋体" w:eastAsia="宋体" w:cs="宋体"/>
          <w:sz w:val="32"/>
          <w:szCs w:val="32"/>
        </w:rPr>
        <w:t>按照预算管理有关规定，目前我</w:t>
      </w:r>
      <w:r>
        <w:rPr>
          <w:rFonts w:hint="eastAsia" w:ascii="宋体" w:hAnsi="宋体" w:eastAsia="宋体" w:cs="宋体"/>
          <w:sz w:val="32"/>
          <w:szCs w:val="32"/>
          <w:lang w:val="en-US" w:eastAsia="zh-CN"/>
        </w:rPr>
        <w:t>市</w:t>
      </w:r>
      <w:r>
        <w:rPr>
          <w:rFonts w:hint="eastAsia" w:ascii="宋体" w:hAnsi="宋体" w:eastAsia="宋体" w:cs="宋体"/>
          <w:sz w:val="32"/>
          <w:szCs w:val="32"/>
        </w:rPr>
        <w:t>部门预算的编制实行综合预算制度，即全部收入和支出都反映</w:t>
      </w:r>
      <w:r>
        <w:rPr>
          <w:rFonts w:hint="eastAsia" w:ascii="宋体" w:hAnsi="宋体" w:cs="宋体"/>
          <w:sz w:val="32"/>
          <w:szCs w:val="32"/>
          <w:lang w:eastAsia="zh-CN"/>
        </w:rPr>
        <w:t>在</w:t>
      </w:r>
      <w:r>
        <w:rPr>
          <w:rFonts w:hint="eastAsia" w:ascii="宋体" w:hAnsi="宋体" w:eastAsia="宋体" w:cs="宋体"/>
          <w:sz w:val="32"/>
          <w:szCs w:val="32"/>
        </w:rPr>
        <w:t>预算中</w:t>
      </w:r>
      <w:r>
        <w:rPr>
          <w:rFonts w:hint="eastAsia" w:ascii="宋体" w:hAnsi="宋体" w:eastAsia="宋体" w:cs="宋体"/>
          <w:sz w:val="32"/>
          <w:szCs w:val="32"/>
          <w:lang w:eastAsia="zh-CN"/>
        </w:rPr>
        <w:t>，</w:t>
      </w:r>
      <w:r>
        <w:rPr>
          <w:rFonts w:hint="eastAsia" w:ascii="宋体" w:hAnsi="宋体" w:eastAsia="宋体" w:cs="宋体"/>
          <w:sz w:val="32"/>
          <w:szCs w:val="32"/>
        </w:rPr>
        <w:t>单位的收支包含在部门预算中。</w:t>
      </w:r>
    </w:p>
    <w:p>
      <w:pPr>
        <w:numPr>
          <w:ilvl w:val="0"/>
          <w:numId w:val="1"/>
        </w:numPr>
        <w:spacing w:line="580" w:lineRule="exact"/>
        <w:ind w:firstLine="640"/>
        <w:rPr>
          <w:rFonts w:hint="eastAsia" w:ascii="宋体" w:hAnsi="宋体" w:eastAsia="宋体" w:cs="宋体"/>
          <w:sz w:val="32"/>
          <w:szCs w:val="32"/>
        </w:rPr>
      </w:pPr>
      <w:r>
        <w:rPr>
          <w:rFonts w:hint="eastAsia" w:ascii="宋体" w:hAnsi="宋体" w:eastAsia="宋体" w:cs="宋体"/>
          <w:sz w:val="32"/>
          <w:szCs w:val="32"/>
        </w:rPr>
        <w:t>收入说明</w:t>
      </w:r>
    </w:p>
    <w:p>
      <w:pPr>
        <w:numPr>
          <w:ilvl w:val="0"/>
          <w:numId w:val="0"/>
        </w:num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w:t>
      </w:r>
      <w:r>
        <w:rPr>
          <w:rFonts w:hint="eastAsia" w:ascii="宋体" w:hAnsi="宋体" w:cs="宋体"/>
          <w:sz w:val="32"/>
          <w:szCs w:val="32"/>
          <w:lang w:val="en-US" w:eastAsia="zh-CN"/>
        </w:rPr>
        <w:t>20</w:t>
      </w:r>
      <w:r>
        <w:rPr>
          <w:rFonts w:hint="eastAsia" w:ascii="宋体" w:hAnsi="宋体" w:eastAsia="宋体" w:cs="宋体"/>
          <w:sz w:val="32"/>
          <w:szCs w:val="32"/>
        </w:rPr>
        <w:t>年我</w:t>
      </w:r>
      <w:r>
        <w:rPr>
          <w:rFonts w:hint="eastAsia" w:ascii="宋体" w:hAnsi="宋体" w:cs="宋体"/>
          <w:sz w:val="32"/>
          <w:szCs w:val="32"/>
          <w:lang w:eastAsia="zh-CN"/>
        </w:rPr>
        <w:t>校</w:t>
      </w:r>
      <w:r>
        <w:rPr>
          <w:rFonts w:hint="eastAsia" w:ascii="宋体" w:hAnsi="宋体" w:eastAsia="宋体" w:cs="宋体"/>
          <w:sz w:val="32"/>
          <w:szCs w:val="32"/>
        </w:rPr>
        <w:t>预算收入</w:t>
      </w:r>
      <w:r>
        <w:rPr>
          <w:rFonts w:hint="eastAsia" w:ascii="宋体" w:hAnsi="宋体" w:cs="宋体"/>
          <w:sz w:val="32"/>
          <w:szCs w:val="32"/>
          <w:lang w:val="en-US" w:eastAsia="zh-CN"/>
        </w:rPr>
        <w:t>453.09</w:t>
      </w:r>
      <w:r>
        <w:rPr>
          <w:rFonts w:hint="eastAsia" w:ascii="宋体" w:hAnsi="宋体" w:eastAsia="宋体" w:cs="宋体"/>
          <w:sz w:val="32"/>
          <w:szCs w:val="32"/>
        </w:rPr>
        <w:t>万元，其中：一般公共预算收入</w:t>
      </w:r>
      <w:r>
        <w:rPr>
          <w:rFonts w:hint="eastAsia" w:ascii="宋体" w:hAnsi="宋体" w:cs="宋体"/>
          <w:sz w:val="32"/>
          <w:szCs w:val="32"/>
          <w:lang w:val="en-US" w:eastAsia="zh-CN"/>
        </w:rPr>
        <w:t>453.09</w:t>
      </w:r>
      <w:r>
        <w:rPr>
          <w:rFonts w:hint="eastAsia" w:ascii="宋体" w:hAnsi="宋体" w:eastAsia="宋体" w:cs="宋体"/>
          <w:sz w:val="32"/>
          <w:szCs w:val="32"/>
        </w:rPr>
        <w:t>万元。</w:t>
      </w:r>
    </w:p>
    <w:p>
      <w:pPr>
        <w:ind w:firstLine="640"/>
        <w:rPr>
          <w:rFonts w:hint="eastAsia" w:ascii="宋体" w:hAnsi="宋体" w:eastAsia="宋体" w:cs="宋体"/>
          <w:sz w:val="32"/>
          <w:szCs w:val="32"/>
        </w:rPr>
      </w:pPr>
    </w:p>
    <w:p>
      <w:pPr>
        <w:numPr>
          <w:ilvl w:val="0"/>
          <w:numId w:val="1"/>
        </w:numPr>
        <w:ind w:left="0" w:leftChars="0" w:firstLine="640" w:firstLineChars="0"/>
        <w:rPr>
          <w:rFonts w:hint="eastAsia" w:ascii="宋体" w:hAnsi="宋体" w:eastAsia="宋体" w:cs="宋体"/>
          <w:sz w:val="32"/>
          <w:szCs w:val="32"/>
        </w:rPr>
      </w:pPr>
      <w:r>
        <w:rPr>
          <w:rFonts w:hint="eastAsia" w:ascii="宋体" w:hAnsi="宋体" w:eastAsia="宋体" w:cs="宋体"/>
          <w:sz w:val="32"/>
          <w:szCs w:val="32"/>
        </w:rPr>
        <w:t>支出说明</w:t>
      </w:r>
    </w:p>
    <w:p>
      <w:pPr>
        <w:spacing w:line="580" w:lineRule="exact"/>
        <w:ind w:firstLine="640"/>
        <w:rPr>
          <w:rFonts w:hint="eastAsia" w:ascii="宋体" w:hAnsi="宋体" w:eastAsia="宋体" w:cs="宋体"/>
          <w:sz w:val="32"/>
          <w:szCs w:val="32"/>
        </w:rPr>
      </w:pPr>
      <w:r>
        <w:rPr>
          <w:rFonts w:hint="eastAsia" w:ascii="宋体" w:hAnsi="宋体" w:eastAsia="宋体" w:cs="宋体"/>
          <w:sz w:val="32"/>
          <w:szCs w:val="32"/>
        </w:rPr>
        <w:t>20</w:t>
      </w:r>
      <w:r>
        <w:rPr>
          <w:rFonts w:hint="eastAsia" w:ascii="宋体" w:hAnsi="宋体" w:cs="宋体"/>
          <w:sz w:val="32"/>
          <w:szCs w:val="32"/>
          <w:lang w:val="en-US" w:eastAsia="zh-CN"/>
        </w:rPr>
        <w:t>20</w:t>
      </w:r>
      <w:r>
        <w:rPr>
          <w:rFonts w:hint="eastAsia" w:ascii="宋体" w:hAnsi="宋体" w:eastAsia="宋体" w:cs="宋体"/>
          <w:sz w:val="32"/>
          <w:szCs w:val="32"/>
        </w:rPr>
        <w:t>年支出预算</w:t>
      </w:r>
      <w:r>
        <w:rPr>
          <w:rFonts w:hint="eastAsia" w:ascii="宋体" w:hAnsi="宋体" w:cs="宋体"/>
          <w:sz w:val="32"/>
          <w:szCs w:val="32"/>
          <w:lang w:val="en-US" w:eastAsia="zh-CN"/>
        </w:rPr>
        <w:t>453.09</w:t>
      </w:r>
      <w:r>
        <w:rPr>
          <w:rFonts w:hint="eastAsia" w:ascii="宋体" w:hAnsi="宋体" w:eastAsia="宋体" w:cs="宋体"/>
          <w:sz w:val="32"/>
          <w:szCs w:val="32"/>
        </w:rPr>
        <w:t>万元，其中基本支出</w:t>
      </w:r>
      <w:r>
        <w:rPr>
          <w:rFonts w:hint="eastAsia" w:ascii="宋体" w:hAnsi="宋体" w:cs="宋体"/>
          <w:sz w:val="32"/>
          <w:szCs w:val="32"/>
          <w:lang w:val="en-US" w:eastAsia="zh-CN"/>
        </w:rPr>
        <w:t>407.09</w:t>
      </w:r>
      <w:r>
        <w:rPr>
          <w:rFonts w:hint="eastAsia" w:ascii="宋体" w:hAnsi="宋体" w:eastAsia="宋体" w:cs="宋体"/>
          <w:sz w:val="32"/>
          <w:szCs w:val="32"/>
        </w:rPr>
        <w:t>万元，</w:t>
      </w:r>
      <w:r>
        <w:rPr>
          <w:rFonts w:hint="eastAsia" w:ascii="宋体" w:hAnsi="宋体" w:cs="宋体"/>
          <w:sz w:val="32"/>
          <w:szCs w:val="32"/>
          <w:lang w:eastAsia="zh-CN"/>
        </w:rPr>
        <w:t>人员经费</w:t>
      </w:r>
      <w:r>
        <w:rPr>
          <w:rFonts w:hint="eastAsia" w:ascii="宋体" w:hAnsi="宋体" w:cs="宋体"/>
          <w:sz w:val="32"/>
          <w:szCs w:val="32"/>
          <w:lang w:val="en-US" w:eastAsia="zh-CN"/>
        </w:rPr>
        <w:t>384.85</w:t>
      </w:r>
      <w:r>
        <w:rPr>
          <w:rFonts w:hint="eastAsia" w:ascii="宋体" w:hAnsi="宋体" w:eastAsia="宋体" w:cs="宋体"/>
          <w:sz w:val="32"/>
          <w:szCs w:val="32"/>
          <w:lang w:val="en-US" w:eastAsia="zh-CN"/>
        </w:rPr>
        <w:t>万元</w:t>
      </w:r>
      <w:r>
        <w:rPr>
          <w:rFonts w:hint="eastAsia" w:ascii="宋体" w:hAnsi="宋体" w:cs="宋体"/>
          <w:sz w:val="32"/>
          <w:szCs w:val="32"/>
          <w:lang w:val="en-US" w:eastAsia="zh-CN"/>
        </w:rPr>
        <w:t>，正常公用经费22.24</w:t>
      </w:r>
      <w:r>
        <w:rPr>
          <w:rFonts w:hint="eastAsia" w:ascii="宋体" w:hAnsi="宋体" w:eastAsia="宋体" w:cs="宋体"/>
          <w:sz w:val="32"/>
          <w:szCs w:val="32"/>
          <w:lang w:val="en-US" w:eastAsia="zh-CN"/>
        </w:rPr>
        <w:t>万元</w:t>
      </w:r>
      <w:r>
        <w:rPr>
          <w:rFonts w:hint="eastAsia" w:ascii="宋体" w:hAnsi="宋体" w:eastAsia="宋体" w:cs="宋体"/>
          <w:sz w:val="32"/>
          <w:szCs w:val="32"/>
        </w:rPr>
        <w:t>；项目支出</w:t>
      </w:r>
      <w:r>
        <w:rPr>
          <w:rFonts w:hint="eastAsia" w:ascii="宋体" w:hAnsi="宋体" w:cs="宋体"/>
          <w:sz w:val="32"/>
          <w:szCs w:val="32"/>
          <w:lang w:val="en-US" w:eastAsia="zh-CN"/>
        </w:rPr>
        <w:t>46</w:t>
      </w:r>
      <w:r>
        <w:rPr>
          <w:rFonts w:hint="eastAsia" w:ascii="宋体" w:hAnsi="宋体" w:eastAsia="宋体" w:cs="宋体"/>
          <w:sz w:val="32"/>
          <w:szCs w:val="32"/>
        </w:rPr>
        <w:t>万元，主要</w:t>
      </w:r>
      <w:r>
        <w:rPr>
          <w:rFonts w:hint="eastAsia" w:ascii="宋体" w:hAnsi="宋体" w:eastAsia="宋体" w:cs="宋体"/>
          <w:sz w:val="32"/>
          <w:szCs w:val="32"/>
          <w:lang w:eastAsia="zh-CN"/>
        </w:rPr>
        <w:t>是</w:t>
      </w:r>
      <w:r>
        <w:rPr>
          <w:rFonts w:hint="eastAsia" w:ascii="宋体" w:hAnsi="宋体" w:cs="宋体"/>
          <w:sz w:val="32"/>
          <w:szCs w:val="32"/>
          <w:lang w:eastAsia="zh-CN"/>
        </w:rPr>
        <w:t>党校培训运转经费</w:t>
      </w:r>
      <w:r>
        <w:rPr>
          <w:rFonts w:hint="eastAsia" w:ascii="宋体" w:hAnsi="宋体" w:eastAsia="宋体" w:cs="宋体"/>
          <w:sz w:val="32"/>
          <w:szCs w:val="32"/>
        </w:rPr>
        <w:t>。</w:t>
      </w:r>
    </w:p>
    <w:p>
      <w:pPr>
        <w:numPr>
          <w:ilvl w:val="0"/>
          <w:numId w:val="1"/>
        </w:numPr>
        <w:ind w:left="0" w:leftChars="0" w:firstLine="640" w:firstLineChars="0"/>
        <w:rPr>
          <w:rFonts w:hint="eastAsia" w:ascii="宋体" w:hAnsi="宋体" w:eastAsia="宋体" w:cs="宋体"/>
          <w:sz w:val="32"/>
          <w:szCs w:val="32"/>
        </w:rPr>
      </w:pPr>
      <w:r>
        <w:rPr>
          <w:rFonts w:hint="eastAsia" w:ascii="宋体" w:hAnsi="宋体" w:eastAsia="宋体" w:cs="宋体"/>
          <w:sz w:val="32"/>
          <w:szCs w:val="32"/>
        </w:rPr>
        <w:t>比上年增减情况</w:t>
      </w:r>
    </w:p>
    <w:p>
      <w:pPr>
        <w:spacing w:line="580" w:lineRule="exact"/>
        <w:ind w:firstLine="640"/>
        <w:rPr>
          <w:rFonts w:hint="eastAsia" w:ascii="宋体" w:hAnsi="宋体" w:eastAsia="宋体" w:cs="宋体"/>
          <w:sz w:val="32"/>
          <w:szCs w:val="32"/>
          <w:lang w:eastAsia="zh-CN"/>
        </w:rPr>
      </w:pPr>
      <w:r>
        <w:rPr>
          <w:rFonts w:hint="eastAsia" w:ascii="宋体" w:hAnsi="宋体" w:eastAsia="宋体" w:cs="宋体"/>
          <w:sz w:val="32"/>
          <w:szCs w:val="32"/>
        </w:rPr>
        <w:t>20</w:t>
      </w:r>
      <w:r>
        <w:rPr>
          <w:rFonts w:hint="eastAsia" w:ascii="宋体" w:hAnsi="宋体" w:cs="宋体"/>
          <w:sz w:val="32"/>
          <w:szCs w:val="32"/>
          <w:lang w:val="en-US" w:eastAsia="zh-CN"/>
        </w:rPr>
        <w:t>20</w:t>
      </w:r>
      <w:r>
        <w:rPr>
          <w:rFonts w:hint="eastAsia" w:ascii="宋体" w:hAnsi="宋体" w:eastAsia="宋体" w:cs="宋体"/>
          <w:sz w:val="32"/>
          <w:szCs w:val="32"/>
        </w:rPr>
        <w:t>年预算收支安排</w:t>
      </w:r>
      <w:r>
        <w:rPr>
          <w:rFonts w:hint="eastAsia" w:ascii="宋体" w:hAnsi="宋体" w:cs="宋体"/>
          <w:sz w:val="32"/>
          <w:szCs w:val="32"/>
          <w:lang w:val="en-US" w:eastAsia="zh-CN"/>
        </w:rPr>
        <w:t>453.09</w:t>
      </w:r>
      <w:r>
        <w:rPr>
          <w:rFonts w:hint="eastAsia" w:ascii="宋体" w:hAnsi="宋体" w:eastAsia="宋体" w:cs="宋体"/>
          <w:sz w:val="32"/>
          <w:szCs w:val="32"/>
        </w:rPr>
        <w:t>万元，较20</w:t>
      </w:r>
      <w:r>
        <w:rPr>
          <w:rFonts w:hint="eastAsia" w:ascii="宋体" w:hAnsi="宋体" w:cs="宋体"/>
          <w:sz w:val="32"/>
          <w:szCs w:val="32"/>
          <w:lang w:val="en-US" w:eastAsia="zh-CN"/>
        </w:rPr>
        <w:t>19</w:t>
      </w:r>
      <w:r>
        <w:rPr>
          <w:rFonts w:hint="eastAsia" w:ascii="宋体" w:hAnsi="宋体" w:eastAsia="宋体" w:cs="宋体"/>
          <w:sz w:val="32"/>
          <w:szCs w:val="32"/>
        </w:rPr>
        <w:t>年预算</w:t>
      </w:r>
      <w:r>
        <w:rPr>
          <w:rFonts w:hint="eastAsia" w:ascii="宋体" w:hAnsi="宋体" w:cs="宋体"/>
          <w:sz w:val="32"/>
          <w:szCs w:val="32"/>
          <w:lang w:eastAsia="zh-CN"/>
        </w:rPr>
        <w:t>减少</w:t>
      </w:r>
      <w:r>
        <w:rPr>
          <w:rFonts w:hint="eastAsia" w:ascii="宋体" w:hAnsi="宋体" w:cs="宋体"/>
          <w:sz w:val="32"/>
          <w:szCs w:val="32"/>
          <w:lang w:val="en-US" w:eastAsia="zh-CN"/>
        </w:rPr>
        <w:t>10.66</w:t>
      </w:r>
      <w:r>
        <w:rPr>
          <w:rFonts w:hint="eastAsia" w:ascii="宋体" w:hAnsi="宋体" w:eastAsia="宋体" w:cs="宋体"/>
          <w:sz w:val="32"/>
          <w:szCs w:val="32"/>
        </w:rPr>
        <w:t>万元，其中：基本支出</w:t>
      </w:r>
      <w:r>
        <w:rPr>
          <w:rFonts w:hint="eastAsia" w:ascii="宋体" w:hAnsi="宋体" w:cs="宋体"/>
          <w:sz w:val="32"/>
          <w:szCs w:val="32"/>
          <w:lang w:eastAsia="zh-CN"/>
        </w:rPr>
        <w:t>减少</w:t>
      </w:r>
      <w:r>
        <w:rPr>
          <w:rFonts w:hint="eastAsia" w:ascii="宋体" w:hAnsi="宋体" w:cs="宋体"/>
          <w:sz w:val="32"/>
          <w:szCs w:val="32"/>
          <w:lang w:val="en-US" w:eastAsia="zh-CN"/>
        </w:rPr>
        <w:t>10.66</w:t>
      </w:r>
      <w:r>
        <w:rPr>
          <w:rFonts w:hint="eastAsia" w:ascii="宋体" w:hAnsi="宋体" w:eastAsia="宋体" w:cs="宋体"/>
          <w:sz w:val="32"/>
          <w:szCs w:val="32"/>
        </w:rPr>
        <w:t>万元，主要</w:t>
      </w:r>
      <w:r>
        <w:rPr>
          <w:rFonts w:hint="eastAsia" w:ascii="宋体" w:hAnsi="宋体" w:cs="宋体"/>
          <w:sz w:val="32"/>
          <w:szCs w:val="32"/>
          <w:lang w:eastAsia="zh-CN"/>
        </w:rPr>
        <w:t>是减少</w:t>
      </w:r>
      <w:r>
        <w:rPr>
          <w:rFonts w:hint="eastAsia" w:ascii="宋体" w:hAnsi="宋体" w:eastAsia="宋体" w:cs="宋体"/>
          <w:sz w:val="32"/>
          <w:szCs w:val="32"/>
        </w:rPr>
        <w:t>人员经费支出</w:t>
      </w:r>
      <w:r>
        <w:rPr>
          <w:rFonts w:hint="eastAsia" w:ascii="宋体" w:hAnsi="宋体" w:cs="宋体"/>
          <w:sz w:val="32"/>
          <w:szCs w:val="32"/>
          <w:lang w:eastAsia="zh-CN"/>
        </w:rPr>
        <w:t>。</w:t>
      </w:r>
    </w:p>
    <w:p>
      <w:pPr>
        <w:numPr>
          <w:ilvl w:val="0"/>
          <w:numId w:val="0"/>
        </w:numPr>
        <w:rPr>
          <w:rFonts w:hint="eastAsia" w:ascii="宋体" w:hAnsi="宋体" w:eastAsia="宋体" w:cs="宋体"/>
          <w:sz w:val="32"/>
          <w:szCs w:val="32"/>
        </w:rPr>
      </w:pPr>
      <w:r>
        <w:rPr>
          <w:rFonts w:hint="eastAsia" w:ascii="宋体" w:hAnsi="宋体" w:cs="宋体"/>
          <w:sz w:val="32"/>
          <w:szCs w:val="32"/>
          <w:lang w:val="en-US" w:eastAsia="zh-CN"/>
        </w:rPr>
        <w:t xml:space="preserve">    三、</w:t>
      </w:r>
      <w:r>
        <w:rPr>
          <w:rFonts w:hint="eastAsia" w:ascii="宋体" w:hAnsi="宋体" w:eastAsia="宋体" w:cs="宋体"/>
          <w:sz w:val="32"/>
          <w:szCs w:val="32"/>
        </w:rPr>
        <w:t>机关运行经费安排情况</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机关运行经费共计安排</w:t>
      </w:r>
      <w:r>
        <w:rPr>
          <w:rFonts w:hint="eastAsia" w:ascii="宋体" w:hAnsi="宋体" w:cs="宋体"/>
          <w:sz w:val="32"/>
          <w:szCs w:val="32"/>
          <w:lang w:val="en-US" w:eastAsia="zh-CN"/>
        </w:rPr>
        <w:t>22.24</w:t>
      </w:r>
      <w:r>
        <w:rPr>
          <w:rFonts w:hint="eastAsia" w:ascii="宋体" w:hAnsi="宋体" w:eastAsia="宋体" w:cs="宋体"/>
          <w:sz w:val="32"/>
          <w:szCs w:val="32"/>
        </w:rPr>
        <w:t>万元，主要用于办公费</w:t>
      </w:r>
      <w:r>
        <w:rPr>
          <w:rFonts w:hint="eastAsia" w:ascii="宋体" w:hAnsi="宋体" w:eastAsia="宋体" w:cs="宋体"/>
          <w:sz w:val="32"/>
          <w:szCs w:val="32"/>
          <w:lang w:eastAsia="zh-CN"/>
        </w:rPr>
        <w:t>、邮电费、物业管理费、差旅费、维修（护）费、公务用车运行</w:t>
      </w:r>
      <w:r>
        <w:rPr>
          <w:rFonts w:hint="eastAsia" w:ascii="宋体" w:hAnsi="宋体" w:cs="宋体"/>
          <w:sz w:val="32"/>
          <w:szCs w:val="32"/>
          <w:lang w:eastAsia="zh-CN"/>
        </w:rPr>
        <w:t>维护</w:t>
      </w:r>
      <w:r>
        <w:rPr>
          <w:rFonts w:hint="eastAsia" w:ascii="宋体" w:hAnsi="宋体" w:eastAsia="宋体" w:cs="宋体"/>
          <w:sz w:val="32"/>
          <w:szCs w:val="32"/>
          <w:lang w:eastAsia="zh-CN"/>
        </w:rPr>
        <w:t>费、办公取暖费</w:t>
      </w:r>
      <w:r>
        <w:rPr>
          <w:rFonts w:hint="eastAsia" w:ascii="宋体" w:hAnsi="宋体" w:eastAsia="宋体" w:cs="宋体"/>
          <w:sz w:val="32"/>
          <w:szCs w:val="32"/>
        </w:rPr>
        <w:t>、</w:t>
      </w:r>
      <w:r>
        <w:rPr>
          <w:rFonts w:hint="eastAsia" w:ascii="宋体" w:hAnsi="宋体" w:eastAsia="宋体" w:cs="宋体"/>
          <w:sz w:val="32"/>
          <w:szCs w:val="32"/>
          <w:lang w:eastAsia="zh-CN"/>
        </w:rPr>
        <w:t>公务交通补贴、工会经费</w:t>
      </w:r>
      <w:r>
        <w:rPr>
          <w:rFonts w:hint="eastAsia" w:ascii="宋体" w:hAnsi="宋体" w:cs="宋体"/>
          <w:sz w:val="32"/>
          <w:szCs w:val="32"/>
          <w:lang w:eastAsia="zh-CN"/>
        </w:rPr>
        <w:t>及</w:t>
      </w:r>
      <w:r>
        <w:rPr>
          <w:rFonts w:hint="eastAsia" w:ascii="宋体" w:hAnsi="宋体" w:eastAsia="宋体" w:cs="宋体"/>
          <w:sz w:val="32"/>
          <w:szCs w:val="32"/>
          <w:lang w:eastAsia="zh-CN"/>
        </w:rPr>
        <w:t>福利费</w:t>
      </w:r>
      <w:r>
        <w:rPr>
          <w:rFonts w:hint="eastAsia" w:ascii="宋体" w:hAnsi="宋体" w:eastAsia="宋体" w:cs="宋体"/>
          <w:sz w:val="32"/>
          <w:szCs w:val="32"/>
        </w:rPr>
        <w:t>等日常</w:t>
      </w:r>
      <w:r>
        <w:rPr>
          <w:rFonts w:hint="eastAsia" w:ascii="宋体" w:hAnsi="宋体" w:cs="宋体"/>
          <w:sz w:val="32"/>
          <w:szCs w:val="32"/>
          <w:lang w:eastAsia="zh-CN"/>
        </w:rPr>
        <w:t>运转</w:t>
      </w:r>
      <w:r>
        <w:rPr>
          <w:rFonts w:hint="eastAsia" w:ascii="宋体" w:hAnsi="宋体" w:eastAsia="宋体" w:cs="宋体"/>
          <w:sz w:val="32"/>
          <w:szCs w:val="32"/>
        </w:rPr>
        <w:t>支出。</w:t>
      </w:r>
    </w:p>
    <w:p>
      <w:pPr>
        <w:numPr>
          <w:ilvl w:val="0"/>
          <w:numId w:val="0"/>
        </w:numPr>
        <w:autoSpaceDE w:val="0"/>
        <w:autoSpaceDN w:val="0"/>
        <w:adjustRightInd w:val="0"/>
        <w:jc w:val="left"/>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cs="宋体"/>
          <w:sz w:val="32"/>
          <w:szCs w:val="32"/>
          <w:lang w:eastAsia="zh-CN"/>
        </w:rPr>
        <w:t>四、</w:t>
      </w:r>
      <w:r>
        <w:rPr>
          <w:rFonts w:hint="eastAsia" w:ascii="宋体" w:hAnsi="宋体" w:eastAsia="宋体" w:cs="宋体"/>
          <w:sz w:val="32"/>
          <w:szCs w:val="32"/>
        </w:rPr>
        <w:t>财政拨款“三公”经费预算情况及增减变化原因</w:t>
      </w:r>
    </w:p>
    <w:p>
      <w:pPr>
        <w:autoSpaceDE w:val="0"/>
        <w:autoSpaceDN w:val="0"/>
        <w:adjustRightInd w:val="0"/>
        <w:spacing w:line="58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20</w:t>
      </w:r>
      <w:r>
        <w:rPr>
          <w:rFonts w:hint="eastAsia" w:ascii="宋体" w:hAnsi="宋体" w:cs="宋体"/>
          <w:sz w:val="32"/>
          <w:szCs w:val="32"/>
          <w:lang w:val="en-US" w:eastAsia="zh-CN"/>
        </w:rPr>
        <w:t>20</w:t>
      </w:r>
      <w:r>
        <w:rPr>
          <w:rFonts w:hint="eastAsia" w:ascii="宋体" w:hAnsi="宋体" w:eastAsia="宋体" w:cs="宋体"/>
          <w:sz w:val="32"/>
          <w:szCs w:val="32"/>
        </w:rPr>
        <w:t>年，我</w:t>
      </w:r>
      <w:r>
        <w:rPr>
          <w:rFonts w:hint="eastAsia" w:ascii="宋体" w:hAnsi="宋体" w:cs="宋体"/>
          <w:sz w:val="32"/>
          <w:szCs w:val="32"/>
          <w:lang w:eastAsia="zh-CN"/>
        </w:rPr>
        <w:t>校</w:t>
      </w:r>
      <w:r>
        <w:rPr>
          <w:rFonts w:hint="eastAsia" w:ascii="宋体" w:hAnsi="宋体" w:eastAsia="宋体" w:cs="宋体"/>
          <w:sz w:val="32"/>
          <w:szCs w:val="32"/>
        </w:rPr>
        <w:t>财政拨款“三公”经费预算安排</w:t>
      </w:r>
      <w:r>
        <w:rPr>
          <w:rFonts w:hint="eastAsia" w:ascii="宋体" w:hAnsi="宋体" w:cs="宋体"/>
          <w:sz w:val="32"/>
          <w:szCs w:val="32"/>
          <w:lang w:val="en-US" w:eastAsia="zh-CN"/>
        </w:rPr>
        <w:t>3</w:t>
      </w:r>
      <w:r>
        <w:rPr>
          <w:rFonts w:hint="eastAsia" w:ascii="宋体" w:hAnsi="宋体" w:eastAsia="宋体" w:cs="宋体"/>
          <w:sz w:val="32"/>
          <w:szCs w:val="32"/>
        </w:rPr>
        <w:t>万元。</w:t>
      </w:r>
      <w:r>
        <w:rPr>
          <w:rFonts w:hint="eastAsia" w:ascii="宋体" w:hAnsi="宋体" w:cs="宋体"/>
          <w:sz w:val="32"/>
          <w:szCs w:val="32"/>
          <w:lang w:eastAsia="zh-CN"/>
        </w:rPr>
        <w:t>其中</w:t>
      </w:r>
      <w:r>
        <w:rPr>
          <w:rFonts w:hint="eastAsia" w:ascii="宋体" w:hAnsi="宋体" w:eastAsia="宋体" w:cs="宋体"/>
          <w:sz w:val="32"/>
          <w:szCs w:val="32"/>
        </w:rPr>
        <w:t>公务</w:t>
      </w:r>
      <w:r>
        <w:rPr>
          <w:rFonts w:hint="eastAsia" w:ascii="宋体" w:hAnsi="宋体" w:cs="宋体"/>
          <w:sz w:val="32"/>
          <w:szCs w:val="32"/>
          <w:lang w:eastAsia="zh-CN"/>
        </w:rPr>
        <w:t>用车运行维护</w:t>
      </w:r>
      <w:r>
        <w:rPr>
          <w:rFonts w:hint="eastAsia" w:ascii="宋体" w:hAnsi="宋体" w:eastAsia="宋体" w:cs="宋体"/>
          <w:sz w:val="32"/>
          <w:szCs w:val="32"/>
        </w:rPr>
        <w:t>费</w:t>
      </w:r>
      <w:r>
        <w:rPr>
          <w:rFonts w:hint="eastAsia" w:ascii="宋体" w:hAnsi="宋体" w:cs="宋体"/>
          <w:sz w:val="32"/>
          <w:szCs w:val="32"/>
          <w:lang w:val="en-US" w:eastAsia="zh-CN"/>
        </w:rPr>
        <w:t>2</w:t>
      </w:r>
      <w:r>
        <w:rPr>
          <w:rFonts w:hint="eastAsia" w:ascii="宋体" w:hAnsi="宋体" w:eastAsia="宋体" w:cs="宋体"/>
          <w:sz w:val="32"/>
          <w:szCs w:val="32"/>
        </w:rPr>
        <w:t>万元</w:t>
      </w:r>
      <w:r>
        <w:rPr>
          <w:rFonts w:hint="eastAsia" w:ascii="宋体" w:hAnsi="宋体" w:cs="宋体"/>
          <w:sz w:val="32"/>
          <w:szCs w:val="32"/>
          <w:lang w:eastAsia="zh-CN"/>
        </w:rPr>
        <w:t>、</w:t>
      </w:r>
      <w:r>
        <w:rPr>
          <w:rFonts w:hint="eastAsia" w:ascii="宋体" w:hAnsi="宋体" w:eastAsia="宋体" w:cs="宋体"/>
          <w:sz w:val="32"/>
          <w:szCs w:val="32"/>
        </w:rPr>
        <w:t>公务接待费</w:t>
      </w:r>
      <w:r>
        <w:rPr>
          <w:rFonts w:hint="eastAsia" w:ascii="宋体" w:hAnsi="宋体" w:cs="宋体"/>
          <w:sz w:val="32"/>
          <w:szCs w:val="32"/>
          <w:lang w:val="en-US" w:eastAsia="zh-CN"/>
        </w:rPr>
        <w:t>1</w:t>
      </w:r>
      <w:r>
        <w:rPr>
          <w:rFonts w:hint="eastAsia" w:ascii="宋体" w:hAnsi="宋体" w:eastAsia="宋体" w:cs="宋体"/>
          <w:sz w:val="32"/>
          <w:szCs w:val="32"/>
        </w:rPr>
        <w:t>万元</w:t>
      </w:r>
      <w:r>
        <w:rPr>
          <w:rFonts w:hint="eastAsia" w:ascii="宋体" w:hAnsi="宋体" w:eastAsia="宋体" w:cs="宋体"/>
          <w:sz w:val="32"/>
          <w:szCs w:val="32"/>
          <w:lang w:val="en-US" w:eastAsia="zh-CN"/>
        </w:rPr>
        <w:t>。较201</w:t>
      </w:r>
      <w:r>
        <w:rPr>
          <w:rFonts w:hint="eastAsia" w:ascii="宋体" w:hAnsi="宋体" w:cs="宋体"/>
          <w:sz w:val="32"/>
          <w:szCs w:val="32"/>
          <w:lang w:val="en-US" w:eastAsia="zh-CN"/>
        </w:rPr>
        <w:t>9</w:t>
      </w:r>
      <w:r>
        <w:rPr>
          <w:rFonts w:hint="eastAsia" w:ascii="宋体" w:hAnsi="宋体" w:eastAsia="宋体" w:cs="宋体"/>
          <w:sz w:val="32"/>
          <w:szCs w:val="32"/>
          <w:lang w:val="en-US" w:eastAsia="zh-CN"/>
        </w:rPr>
        <w:t>年“三公”经费预算安排无增减变化。</w:t>
      </w:r>
    </w:p>
    <w:p>
      <w:pPr>
        <w:autoSpaceDE w:val="0"/>
        <w:autoSpaceDN w:val="0"/>
        <w:adjustRightInd w:val="0"/>
        <w:ind w:left="198" w:firstLine="640" w:firstLineChars="200"/>
        <w:jc w:val="left"/>
        <w:rPr>
          <w:rFonts w:hint="eastAsia" w:ascii="宋体" w:hAnsi="宋体" w:eastAsia="宋体" w:cs="宋体"/>
          <w:sz w:val="32"/>
          <w:szCs w:val="32"/>
        </w:rPr>
      </w:pPr>
      <w:r>
        <w:rPr>
          <w:rFonts w:hint="eastAsia" w:ascii="宋体" w:hAnsi="宋体" w:eastAsia="宋体" w:cs="宋体"/>
          <w:sz w:val="32"/>
          <w:szCs w:val="32"/>
        </w:rPr>
        <w:t>五、绩效预算信息</w:t>
      </w:r>
    </w:p>
    <w:p>
      <w:pPr>
        <w:spacing w:line="580" w:lineRule="exact"/>
        <w:ind w:firstLine="643" w:firstLineChars="200"/>
        <w:rPr>
          <w:rFonts w:hint="eastAsia" w:ascii="宋体" w:hAnsi="宋体" w:eastAsia="宋体" w:cs="宋体"/>
          <w:sz w:val="32"/>
          <w:szCs w:val="32"/>
        </w:rPr>
      </w:pPr>
      <w:bookmarkStart w:id="0" w:name="_Toc471398463"/>
      <w:r>
        <w:rPr>
          <w:rFonts w:hint="eastAsia" w:ascii="宋体" w:hAnsi="宋体" w:eastAsia="宋体" w:cs="宋体"/>
          <w:b/>
          <w:bCs/>
          <w:sz w:val="32"/>
          <w:szCs w:val="32"/>
        </w:rPr>
        <w:t>总体绩效目标：</w:t>
      </w:r>
      <w:r>
        <w:rPr>
          <w:rFonts w:hint="eastAsia" w:ascii="宋体" w:hAnsi="宋体" w:eastAsia="宋体" w:cs="宋体"/>
          <w:sz w:val="32"/>
          <w:szCs w:val="32"/>
        </w:rPr>
        <w:t>根据各级党组织关于建设高素质干部队伍的要求，有计划地培训、轮训领导干部和宣传骨干</w:t>
      </w:r>
      <w:r>
        <w:rPr>
          <w:rFonts w:hint="eastAsia" w:ascii="宋体" w:hAnsi="宋体" w:eastAsia="宋体" w:cs="宋体"/>
          <w:sz w:val="32"/>
          <w:szCs w:val="32"/>
          <w:lang w:eastAsia="zh-CN"/>
        </w:rPr>
        <w:t>，</w:t>
      </w:r>
      <w:r>
        <w:rPr>
          <w:rFonts w:hint="eastAsia" w:ascii="宋体" w:hAnsi="宋体" w:eastAsia="宋体" w:cs="宋体"/>
          <w:sz w:val="32"/>
          <w:szCs w:val="32"/>
        </w:rPr>
        <w:t>使广大党员干部理论水平进一步提高，实践操作能力进一步提升，促进全市经济社会快速发展。</w:t>
      </w:r>
    </w:p>
    <w:p>
      <w:pPr>
        <w:spacing w:line="580" w:lineRule="exact"/>
        <w:ind w:firstLine="643" w:firstLineChars="200"/>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部门职责分类绩效目标情况说明</w:t>
      </w:r>
      <w:r>
        <w:rPr>
          <w:rFonts w:hint="eastAsia" w:ascii="宋体" w:hAnsi="宋体" w:eastAsia="宋体" w:cs="宋体"/>
          <w:sz w:val="32"/>
          <w:szCs w:val="32"/>
          <w:lang w:val="en-US" w:eastAsia="zh-CN"/>
        </w:rPr>
        <w:t>：</w:t>
      </w:r>
    </w:p>
    <w:p>
      <w:pPr>
        <w:spacing w:line="58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val="en-US" w:eastAsia="zh-CN"/>
        </w:rPr>
        <w:t>围绕市委市政府中心工作，通过创新教学方式和严格日常管理、</w:t>
      </w:r>
      <w:r>
        <w:rPr>
          <w:rFonts w:hint="eastAsia" w:ascii="宋体" w:hAnsi="宋体" w:eastAsia="宋体" w:cs="宋体"/>
          <w:sz w:val="32"/>
          <w:szCs w:val="32"/>
        </w:rPr>
        <w:t>完善教学设施、优化教学布局、丰富教学手段，</w:t>
      </w:r>
      <w:r>
        <w:rPr>
          <w:rFonts w:hint="eastAsia" w:ascii="宋体" w:hAnsi="宋体" w:eastAsia="宋体" w:cs="宋体"/>
          <w:sz w:val="32"/>
          <w:szCs w:val="32"/>
          <w:lang w:val="en-US" w:eastAsia="zh-CN"/>
        </w:rPr>
        <w:t>提高教学水平、保障培训质量，</w:t>
      </w:r>
      <w:r>
        <w:rPr>
          <w:rFonts w:hint="eastAsia" w:ascii="宋体" w:hAnsi="宋体" w:eastAsia="宋体" w:cs="宋体"/>
          <w:sz w:val="32"/>
          <w:szCs w:val="32"/>
        </w:rPr>
        <w:t>培养忠诚于中国特色社会主义事业、德才兼备的党员领导干部和理论干部，有效提高干部的政策理论水平、思想觉悟和执政能力</w:t>
      </w:r>
      <w:r>
        <w:rPr>
          <w:rFonts w:hint="eastAsia" w:ascii="宋体" w:hAnsi="宋体" w:eastAsia="宋体" w:cs="宋体"/>
          <w:sz w:val="32"/>
          <w:szCs w:val="32"/>
          <w:lang w:eastAsia="zh-CN"/>
        </w:rPr>
        <w:t>。</w:t>
      </w:r>
    </w:p>
    <w:p>
      <w:pPr>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党校培训经费绩效目标表</w:t>
      </w:r>
      <w:bookmarkStart w:id="1" w:name="_Toc25029"/>
      <w:r>
        <w:fldChar w:fldCharType="begin"/>
      </w:r>
      <w:r>
        <w:rPr>
          <w:rFonts w:hint="eastAsia" w:ascii="方正仿宋_GBK" w:hAnsi="方正仿宋_GBK" w:eastAsia="方正仿宋_GBK" w:cs="方正仿宋_GBK"/>
          <w:b/>
          <w:sz w:val="28"/>
          <w:u w:val="none"/>
          <w:lang w:eastAsia="zh-CN"/>
        </w:rPr>
        <w:instrText xml:space="preserve"> TC 1、党校培训经费绩效目标表 \f C \l 1 </w:instrText>
      </w:r>
      <w:r>
        <w:rPr>
          <w:rFonts w:hint="eastAsia" w:ascii="方正仿宋_GBK" w:hAnsi="方正仿宋_GBK" w:eastAsia="方正仿宋_GBK" w:cs="方正仿宋_GBK"/>
          <w:b/>
          <w:sz w:val="28"/>
          <w:u w:val="none"/>
          <w:lang w:eastAsia="zh-CN"/>
        </w:rPr>
        <w:fldChar w:fldCharType="end"/>
      </w:r>
      <w:bookmarkEnd w:id="1"/>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111002中共沙河市委党校</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111-0401-JXN-OTUH</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党校培训经费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16.00</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16.00</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根据各级党组织关于建设高素质干部队伍的要求，有计划的培训、轮训党员干部和理论骨干。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4.00</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4.00</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4.00</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1、通过提高教学水平、完善教学实施，围绕党和国家工作大局，培养德才兼备的党员干部和理论干部</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2、有效提高干部的政治理论水平、思想觉悟和执政能力</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培训完成次数</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年度培训完成次数占年初计划的</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培训次数完成情况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培训人数比率</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实际参训人员的比率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培训班办学标准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学员满意度</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反应学员对培训整体情况的满意度</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学员满意度</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反应学员对培训整体情况的满意度</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学员满意情况</w:t>
            </w:r>
          </w:p>
        </w:tc>
      </w:tr>
    </w:tbl>
    <w:p>
      <w:pPr>
        <w:numPr>
          <w:ilvl w:val="0"/>
          <w:numId w:val="0"/>
        </w:numPr>
        <w:spacing w:line="500" w:lineRule="exact"/>
        <w:rPr>
          <w:rFonts w:hint="eastAsia" w:ascii="宋体" w:hAnsi="宋体" w:eastAsia="宋体" w:cs="宋体"/>
          <w:sz w:val="32"/>
          <w:szCs w:val="32"/>
          <w:lang w:eastAsia="zh-CN"/>
        </w:rPr>
      </w:pPr>
    </w:p>
    <w:p>
      <w:pPr>
        <w:ind w:firstLine="640" w:firstLineChars="200"/>
        <w:rPr>
          <w:rFonts w:hint="default" w:eastAsia="宋体"/>
          <w:sz w:val="32"/>
          <w:szCs w:val="40"/>
          <w:lang w:val="en-US" w:eastAsia="zh-CN"/>
        </w:rPr>
      </w:pPr>
      <w:r>
        <w:rPr>
          <w:rFonts w:hint="eastAsia" w:ascii="宋体" w:hAnsi="宋体" w:cs="宋体"/>
          <w:sz w:val="32"/>
          <w:szCs w:val="32"/>
          <w:lang w:val="en-US" w:eastAsia="zh-CN"/>
        </w:rPr>
        <w:t>2、</w:t>
      </w:r>
      <w:r>
        <w:rPr>
          <w:rFonts w:hint="eastAsia"/>
          <w:sz w:val="32"/>
          <w:szCs w:val="40"/>
          <w:lang w:eastAsia="zh-CN"/>
        </w:rPr>
        <w:t>对党校现有学术报告厅、教室、宿舍、餐厅、图书馆进行修缮并配备设备器材，改善学习、住宿、用餐环境；加强精细化、制度化管理，加强对党校教师、行政后勤人员及临时工作人员的管理和岗位技能培训，全面提高服务质量，提高行政后期保障能力。美化校园环境，做好校园建设、美化、绿化维护工作，创建园林式、花园式学校，保持园林单位称号。</w:t>
      </w:r>
    </w:p>
    <w:p>
      <w:pPr>
        <w:numPr>
          <w:ilvl w:val="0"/>
          <w:numId w:val="0"/>
        </w:numPr>
        <w:spacing w:line="500" w:lineRule="exact"/>
        <w:rPr>
          <w:rFonts w:hint="eastAsia" w:ascii="宋体" w:hAnsi="宋体" w:eastAsia="宋体" w:cs="宋体"/>
          <w:sz w:val="32"/>
          <w:szCs w:val="32"/>
          <w:lang w:val="en-US" w:eastAsia="zh-CN"/>
        </w:rPr>
      </w:pPr>
    </w:p>
    <w:p>
      <w:pPr>
        <w:ind w:firstLine="562" w:firstLineChars="200"/>
        <w:jc w:val="left"/>
        <w:outlineLvl w:val="1"/>
        <w:rPr>
          <w:rFonts w:hint="eastAsia" w:ascii="方正仿宋_GBK" w:hAnsi="方正仿宋_GBK" w:eastAsia="方正仿宋_GBK" w:cs="方正仿宋_GBK"/>
          <w:b/>
          <w:sz w:val="28"/>
          <w:u w:val="none"/>
          <w:lang w:eastAsia="zh-CN"/>
        </w:r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党校运转经费绩效目标表</w:t>
      </w:r>
      <w:bookmarkStart w:id="2" w:name="_Toc28123"/>
      <w:r>
        <w:fldChar w:fldCharType="begin"/>
      </w:r>
      <w:r>
        <w:rPr>
          <w:rFonts w:hint="eastAsia" w:ascii="方正仿宋_GBK" w:hAnsi="方正仿宋_GBK" w:eastAsia="方正仿宋_GBK" w:cs="方正仿宋_GBK"/>
          <w:b/>
          <w:sz w:val="28"/>
          <w:u w:val="none"/>
          <w:lang w:eastAsia="zh-CN"/>
        </w:rPr>
        <w:instrText xml:space="preserve"> TC 2、党校运转经费绩效目标表 \f C \l 1 </w:instrText>
      </w:r>
      <w:r>
        <w:rPr>
          <w:rFonts w:hint="eastAsia" w:ascii="方正仿宋_GBK" w:hAnsi="方正仿宋_GBK" w:eastAsia="方正仿宋_GBK" w:cs="方正仿宋_GBK"/>
          <w:b/>
          <w:sz w:val="28"/>
          <w:u w:val="none"/>
          <w:lang w:eastAsia="zh-CN"/>
        </w:rPr>
        <w:fldChar w:fldCharType="end"/>
      </w:r>
      <w:bookmarkEnd w:id="2"/>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111002中共沙河市委党校</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111-0401-JXN-M14F</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党校运转经费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30.00</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30.00</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组织实施与教学活动、学员培训、科研等相关的综合管理和后勤保障事务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7.50</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7.50</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7.50</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1、通过有效的行政后勤管理，完善教学设施，提高保障水平，促进教学科研活动和学员培训水平的提高</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2、有效的提高干部的政治理论水平、思想觉悟和执政能力</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任务目标完成率</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任务目标占年初工作任务的</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工作计划考核情况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培训学员情况</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学员的理论水平提高</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学员的理论水平提高情况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学员满意度</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反应学员对培训整体情况的满意度</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学员满意情况</w:t>
            </w:r>
          </w:p>
        </w:tc>
      </w:tr>
    </w:tbl>
    <w:p>
      <w:pPr>
        <w:numPr>
          <w:ilvl w:val="0"/>
          <w:numId w:val="0"/>
        </w:numPr>
        <w:spacing w:line="500" w:lineRule="exact"/>
        <w:rPr>
          <w:rFonts w:hint="eastAsia" w:ascii="宋体" w:hAnsi="宋体" w:eastAsia="宋体" w:cs="宋体"/>
          <w:sz w:val="32"/>
          <w:szCs w:val="32"/>
          <w:lang w:val="en-US" w:eastAsia="zh-CN"/>
        </w:rPr>
      </w:pPr>
    </w:p>
    <w:p>
      <w:pPr>
        <w:spacing w:line="500" w:lineRule="exact"/>
        <w:rPr>
          <w:rFonts w:hint="eastAsia" w:ascii="宋体" w:hAnsi="宋体" w:eastAsia="宋体" w:cs="宋体"/>
          <w:b/>
          <w:bCs/>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实现年度发展规划目标的保障措施</w:t>
      </w:r>
    </w:p>
    <w:p>
      <w:pPr>
        <w:ind w:firstLine="640"/>
        <w:rPr>
          <w:rFonts w:hint="eastAsia" w:ascii="宋体" w:hAnsi="宋体" w:cs="宋体"/>
          <w:sz w:val="32"/>
          <w:szCs w:val="32"/>
          <w:lang w:eastAsia="zh-CN"/>
        </w:rPr>
      </w:pPr>
      <w:r>
        <w:rPr>
          <w:rFonts w:hint="eastAsia" w:ascii="宋体" w:hAnsi="宋体" w:cs="宋体"/>
          <w:sz w:val="32"/>
          <w:szCs w:val="32"/>
          <w:lang w:val="en-US" w:eastAsia="zh-CN"/>
        </w:rPr>
        <w:t>2020</w:t>
      </w:r>
      <w:r>
        <w:rPr>
          <w:rFonts w:hint="eastAsia" w:ascii="宋体" w:hAnsi="宋体" w:cs="宋体"/>
          <w:sz w:val="32"/>
          <w:szCs w:val="32"/>
          <w:lang w:eastAsia="zh-CN"/>
        </w:rPr>
        <w:t>年中共沙河市委党校要继续深化改革。结合年度发展规划，全面做好党校各项工作，具体保障措施是：1、创新班次设置；2、扩大培训规模；3、加强学科建设；4、加强精品课和特色课建设；5、创新培训方式方法；6、加强教学基地建设；7、加强教材建设；8、加强学员管理；9、推进信息化建设；</w:t>
      </w:r>
    </w:p>
    <w:p>
      <w:pPr>
        <w:numPr>
          <w:ilvl w:val="0"/>
          <w:numId w:val="2"/>
        </w:numPr>
        <w:autoSpaceDE w:val="0"/>
        <w:autoSpaceDN w:val="0"/>
        <w:adjustRightInd w:val="0"/>
        <w:ind w:left="198" w:firstLine="640" w:firstLineChars="200"/>
        <w:jc w:val="left"/>
        <w:rPr>
          <w:rFonts w:hint="eastAsia" w:ascii="宋体" w:hAnsi="宋体" w:eastAsia="宋体" w:cs="宋体"/>
          <w:sz w:val="32"/>
          <w:szCs w:val="32"/>
        </w:rPr>
      </w:pPr>
      <w:r>
        <w:rPr>
          <w:rFonts w:hint="eastAsia" w:ascii="宋体" w:hAnsi="宋体" w:eastAsia="宋体" w:cs="宋体"/>
          <w:sz w:val="32"/>
          <w:szCs w:val="32"/>
        </w:rPr>
        <w:t>政府采购预算情况</w:t>
      </w:r>
    </w:p>
    <w:p>
      <w:pPr>
        <w:numPr>
          <w:ilvl w:val="0"/>
          <w:numId w:val="0"/>
        </w:numPr>
        <w:autoSpaceDE w:val="0"/>
        <w:autoSpaceDN w:val="0"/>
        <w:adjustRightInd w:val="0"/>
        <w:ind w:leftChars="200"/>
        <w:jc w:val="left"/>
        <w:rPr>
          <w:rFonts w:hint="eastAsia" w:ascii="宋体" w:hAnsi="宋体" w:eastAsia="宋体" w:cs="宋体"/>
          <w:sz w:val="32"/>
          <w:szCs w:val="32"/>
        </w:rPr>
      </w:pPr>
      <w:r>
        <w:rPr>
          <w:rFonts w:hint="eastAsia" w:ascii="宋体" w:hAnsi="宋体" w:eastAsia="宋体" w:cs="宋体"/>
          <w:sz w:val="32"/>
          <w:szCs w:val="32"/>
        </w:rPr>
        <w:t xml:space="preserve"> 20</w:t>
      </w:r>
      <w:r>
        <w:rPr>
          <w:rFonts w:hint="eastAsia" w:ascii="宋体" w:hAnsi="宋体" w:cs="宋体"/>
          <w:sz w:val="32"/>
          <w:szCs w:val="32"/>
          <w:lang w:val="en-US" w:eastAsia="zh-CN"/>
        </w:rPr>
        <w:t>20</w:t>
      </w:r>
      <w:r>
        <w:rPr>
          <w:rFonts w:hint="eastAsia" w:ascii="宋体" w:hAnsi="宋体" w:eastAsia="宋体" w:cs="宋体"/>
          <w:sz w:val="32"/>
          <w:szCs w:val="32"/>
        </w:rPr>
        <w:t>年，</w:t>
      </w:r>
      <w:r>
        <w:rPr>
          <w:rFonts w:hint="eastAsia" w:ascii="宋体" w:hAnsi="宋体" w:cs="宋体"/>
          <w:sz w:val="32"/>
          <w:szCs w:val="32"/>
          <w:lang w:eastAsia="zh-CN"/>
        </w:rPr>
        <w:t>我单位</w:t>
      </w:r>
      <w:r>
        <w:rPr>
          <w:rFonts w:hint="eastAsia" w:ascii="宋体" w:hAnsi="宋体" w:eastAsia="宋体" w:cs="宋体"/>
          <w:sz w:val="32"/>
          <w:szCs w:val="32"/>
        </w:rPr>
        <w:t>未安排政府采购预算。</w:t>
      </w:r>
    </w:p>
    <w:p>
      <w:pPr>
        <w:numPr>
          <w:ilvl w:val="0"/>
          <w:numId w:val="2"/>
        </w:numPr>
        <w:autoSpaceDE w:val="0"/>
        <w:autoSpaceDN w:val="0"/>
        <w:adjustRightInd w:val="0"/>
        <w:ind w:left="198" w:firstLine="640" w:firstLineChars="200"/>
        <w:jc w:val="left"/>
        <w:rPr>
          <w:rFonts w:hint="eastAsia" w:ascii="宋体" w:hAnsi="宋体" w:eastAsia="宋体" w:cs="宋体"/>
          <w:sz w:val="32"/>
          <w:szCs w:val="32"/>
        </w:rPr>
      </w:pPr>
      <w:r>
        <w:rPr>
          <w:rFonts w:hint="eastAsia" w:ascii="宋体" w:hAnsi="宋体" w:eastAsia="宋体" w:cs="宋体"/>
          <w:sz w:val="32"/>
          <w:szCs w:val="32"/>
        </w:rPr>
        <w:t>国有资产信息</w:t>
      </w:r>
    </w:p>
    <w:p>
      <w:pPr>
        <w:ind w:firstLine="640"/>
        <w:rPr>
          <w:rFonts w:hint="eastAsia" w:ascii="宋体" w:hAnsi="宋体" w:eastAsia="宋体" w:cs="宋体"/>
          <w:sz w:val="32"/>
          <w:szCs w:val="32"/>
          <w:lang w:val="en-US" w:eastAsia="zh-CN"/>
        </w:rPr>
      </w:pPr>
      <w:r>
        <w:rPr>
          <w:rFonts w:hint="eastAsia" w:ascii="宋体" w:hAnsi="宋体" w:cs="宋体"/>
          <w:sz w:val="32"/>
          <w:szCs w:val="32"/>
          <w:lang w:eastAsia="zh-CN"/>
        </w:rPr>
        <w:t>中共沙河市委党校</w:t>
      </w:r>
      <w:r>
        <w:rPr>
          <w:rFonts w:hint="eastAsia" w:ascii="宋体" w:hAnsi="宋体" w:eastAsia="宋体" w:cs="宋体"/>
          <w:sz w:val="32"/>
          <w:szCs w:val="32"/>
        </w:rPr>
        <w:t>上年末固定资产金额为</w:t>
      </w:r>
      <w:r>
        <w:rPr>
          <w:rFonts w:hint="eastAsia" w:ascii="宋体" w:hAnsi="宋体" w:cs="宋体"/>
          <w:sz w:val="32"/>
          <w:szCs w:val="32"/>
          <w:lang w:val="en-US" w:eastAsia="zh-CN"/>
        </w:rPr>
        <w:t>3089.146088</w:t>
      </w:r>
      <w:r>
        <w:rPr>
          <w:rFonts w:hint="eastAsia" w:ascii="宋体" w:hAnsi="宋体" w:eastAsia="宋体" w:cs="宋体"/>
          <w:sz w:val="32"/>
          <w:szCs w:val="32"/>
        </w:rPr>
        <w:t>万元（详见下表</w:t>
      </w:r>
      <w:r>
        <w:rPr>
          <w:rFonts w:hint="eastAsia" w:ascii="宋体" w:hAnsi="宋体" w:cs="宋体"/>
          <w:sz w:val="32"/>
          <w:szCs w:val="32"/>
          <w:lang w:eastAsia="zh-CN"/>
        </w:rPr>
        <w:t>）。</w:t>
      </w:r>
    </w:p>
    <w:tbl>
      <w:tblPr>
        <w:tblStyle w:val="7"/>
        <w:tblpPr w:leftFromText="181" w:rightFromText="181" w:vertAnchor="page" w:horzAnchor="page" w:tblpX="1774" w:tblpY="2371"/>
        <w:tblOverlap w:val="neve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15"/>
        <w:gridCol w:w="1341"/>
        <w:gridCol w:w="4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9000" w:type="dxa"/>
            <w:gridSpan w:val="3"/>
            <w:tcBorders>
              <w:top w:val="nil"/>
              <w:left w:val="nil"/>
              <w:bottom w:val="nil"/>
              <w:right w:val="nil"/>
            </w:tcBorders>
            <w:vAlign w:val="center"/>
          </w:tcPr>
          <w:p>
            <w:pPr>
              <w:widowControl/>
              <w:jc w:val="both"/>
              <w:rPr>
                <w:rFonts w:hint="eastAsia" w:ascii="宋体" w:hAnsi="宋体" w:eastAsia="宋体" w:cs="宋体"/>
                <w:b/>
                <w:bCs/>
                <w:kern w:val="0"/>
                <w:sz w:val="32"/>
                <w:szCs w:val="32"/>
              </w:rPr>
            </w:pPr>
            <w:r>
              <w:rPr>
                <w:rFonts w:hint="eastAsia" w:ascii="宋体" w:hAnsi="宋体" w:cs="宋体"/>
                <w:b/>
                <w:bCs/>
                <w:kern w:val="0"/>
                <w:sz w:val="32"/>
                <w:szCs w:val="32"/>
                <w:lang w:eastAsia="zh-CN"/>
              </w:rPr>
              <w:t>中共沙河市委党校</w:t>
            </w:r>
            <w:r>
              <w:rPr>
                <w:rFonts w:hint="eastAsia" w:ascii="宋体" w:hAnsi="宋体" w:eastAsia="宋体" w:cs="宋体"/>
                <w:b/>
                <w:bCs/>
                <w:kern w:val="0"/>
                <w:sz w:val="32"/>
                <w:szCs w:val="32"/>
                <w:lang w:eastAsia="zh-CN"/>
              </w:rPr>
              <w:t>资产</w:t>
            </w:r>
            <w:r>
              <w:rPr>
                <w:rFonts w:hint="eastAsia" w:ascii="宋体" w:hAnsi="宋体" w:eastAsia="宋体" w:cs="宋体"/>
                <w:b/>
                <w:bCs/>
                <w:kern w:val="0"/>
                <w:sz w:val="32"/>
                <w:szCs w:val="32"/>
              </w:rPr>
              <w:t>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56" w:type="dxa"/>
            <w:gridSpan w:val="2"/>
            <w:tcBorders>
              <w:top w:val="nil"/>
              <w:left w:val="nil"/>
              <w:bottom w:val="nil"/>
              <w:right w:val="nil"/>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编制部门：</w:t>
            </w:r>
            <w:r>
              <w:rPr>
                <w:rFonts w:hint="eastAsia" w:ascii="宋体" w:hAnsi="宋体" w:cs="宋体"/>
                <w:kern w:val="0"/>
                <w:sz w:val="22"/>
                <w:szCs w:val="22"/>
                <w:lang w:eastAsia="zh-CN"/>
              </w:rPr>
              <w:t>中共沙河市委党校</w:t>
            </w:r>
          </w:p>
        </w:tc>
        <w:tc>
          <w:tcPr>
            <w:tcW w:w="4444" w:type="dxa"/>
            <w:tcBorders>
              <w:top w:val="nil"/>
              <w:left w:val="nil"/>
              <w:bottom w:val="nil"/>
              <w:right w:val="nil"/>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截止</w:t>
            </w:r>
            <w:r>
              <w:rPr>
                <w:rFonts w:hint="eastAsia" w:ascii="宋体" w:hAnsi="宋体" w:cs="宋体"/>
                <w:kern w:val="0"/>
                <w:sz w:val="22"/>
                <w:szCs w:val="22"/>
                <w:lang w:eastAsia="zh-CN"/>
              </w:rPr>
              <w:t>时</w:t>
            </w:r>
            <w:r>
              <w:rPr>
                <w:rFonts w:hint="eastAsia" w:ascii="宋体" w:hAnsi="宋体" w:eastAsia="宋体" w:cs="宋体"/>
                <w:kern w:val="0"/>
                <w:sz w:val="22"/>
                <w:szCs w:val="22"/>
              </w:rPr>
              <w:t>间：201</w:t>
            </w:r>
            <w:r>
              <w:rPr>
                <w:rFonts w:hint="eastAsia" w:ascii="宋体" w:hAnsi="宋体" w:cs="宋体"/>
                <w:kern w:val="0"/>
                <w:sz w:val="22"/>
                <w:szCs w:val="22"/>
                <w:lang w:val="en-US" w:eastAsia="zh-CN"/>
              </w:rPr>
              <w:t>9年</w:t>
            </w:r>
            <w:r>
              <w:rPr>
                <w:rFonts w:hint="eastAsia" w:ascii="宋体" w:hAnsi="宋体" w:eastAsia="宋体" w:cs="宋体"/>
                <w:kern w:val="0"/>
                <w:sz w:val="22"/>
                <w:szCs w:val="22"/>
              </w:rPr>
              <w:t xml:space="preserve">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2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项   目</w:t>
            </w:r>
          </w:p>
        </w:tc>
        <w:tc>
          <w:tcPr>
            <w:tcW w:w="134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数量</w:t>
            </w:r>
          </w:p>
        </w:tc>
        <w:tc>
          <w:tcPr>
            <w:tcW w:w="444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1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资产总额</w:t>
            </w:r>
          </w:p>
        </w:tc>
        <w:tc>
          <w:tcPr>
            <w:tcW w:w="134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p>
        </w:tc>
        <w:tc>
          <w:tcPr>
            <w:tcW w:w="4444"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3089.146088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21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1、房屋（平方米）</w:t>
            </w:r>
          </w:p>
        </w:tc>
        <w:tc>
          <w:tcPr>
            <w:tcW w:w="134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17734.35</w:t>
            </w:r>
          </w:p>
        </w:tc>
        <w:tc>
          <w:tcPr>
            <w:tcW w:w="4444" w:type="dxa"/>
            <w:tcBorders>
              <w:top w:val="nil"/>
              <w:left w:val="nil"/>
              <w:bottom w:val="single" w:color="auto" w:sz="4" w:space="0"/>
              <w:right w:val="single" w:color="auto" w:sz="4" w:space="0"/>
            </w:tcBorders>
            <w:vAlign w:val="center"/>
          </w:tcPr>
          <w:p>
            <w:pPr>
              <w:widowControl/>
              <w:ind w:left="880" w:hanging="880" w:hangingChars="400"/>
              <w:jc w:val="both"/>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 xml:space="preserve">               2831.1382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21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xml:space="preserve">   其中：办公用房（平方米）</w:t>
            </w:r>
          </w:p>
        </w:tc>
        <w:tc>
          <w:tcPr>
            <w:tcW w:w="1341" w:type="dxa"/>
            <w:tcBorders>
              <w:top w:val="nil"/>
              <w:left w:val="nil"/>
              <w:bottom w:val="single" w:color="auto" w:sz="4" w:space="0"/>
              <w:right w:val="single" w:color="auto" w:sz="4" w:space="0"/>
            </w:tcBorders>
            <w:vAlign w:val="center"/>
          </w:tcPr>
          <w:p>
            <w:pPr>
              <w:widowControl/>
              <w:ind w:firstLine="220" w:firstLineChars="100"/>
              <w:jc w:val="both"/>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2082.06</w:t>
            </w:r>
          </w:p>
        </w:tc>
        <w:tc>
          <w:tcPr>
            <w:tcW w:w="4444"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332.3756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21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2、车辆（台、辆）</w:t>
            </w:r>
          </w:p>
        </w:tc>
        <w:tc>
          <w:tcPr>
            <w:tcW w:w="134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1</w:t>
            </w:r>
          </w:p>
        </w:tc>
        <w:tc>
          <w:tcPr>
            <w:tcW w:w="44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1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3、单价在20万元以上的设备</w:t>
            </w:r>
          </w:p>
        </w:tc>
        <w:tc>
          <w:tcPr>
            <w:tcW w:w="134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p>
        </w:tc>
        <w:tc>
          <w:tcPr>
            <w:tcW w:w="44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21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4、其他固定资产</w:t>
            </w:r>
          </w:p>
        </w:tc>
        <w:tc>
          <w:tcPr>
            <w:tcW w:w="134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p>
        </w:tc>
        <w:tc>
          <w:tcPr>
            <w:tcW w:w="4444"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243.007888</w:t>
            </w:r>
          </w:p>
        </w:tc>
      </w:tr>
    </w:tbl>
    <w:p>
      <w:pPr>
        <w:rPr>
          <w:rFonts w:hint="eastAsia" w:ascii="宋体" w:hAnsi="宋体" w:eastAsia="宋体" w:cs="宋体"/>
          <w:sz w:val="32"/>
          <w:szCs w:val="32"/>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八、名词解释</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财政拨款收入</w:t>
      </w:r>
      <w:r>
        <w:rPr>
          <w:rFonts w:hint="eastAsia" w:ascii="宋体" w:hAnsi="宋体" w:eastAsia="宋体" w:cs="宋体"/>
          <w:sz w:val="32"/>
          <w:szCs w:val="32"/>
        </w:rPr>
        <w:t xml:space="preserve">：指从本级财政当年拨付给部门的资金。 </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基本支出</w:t>
      </w:r>
      <w:r>
        <w:rPr>
          <w:rFonts w:hint="eastAsia" w:ascii="宋体" w:hAnsi="宋体" w:eastAsia="宋体" w:cs="宋体"/>
          <w:sz w:val="32"/>
          <w:szCs w:val="32"/>
        </w:rPr>
        <w:t xml:space="preserve">：指为保障机构正常运转、完成日常工作任务而发生的人员支出和公用支出。 </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“三公”经费</w:t>
      </w:r>
      <w:r>
        <w:rPr>
          <w:rFonts w:hint="eastAsia" w:ascii="宋体" w:hAnsi="宋体" w:eastAsia="宋体" w:cs="宋体"/>
          <w:sz w:val="32"/>
          <w:szCs w:val="32"/>
        </w:rPr>
        <w:t xml:space="preserve">：指政府部门用财政拨款安排的因公出国（境）费，公务用车购置及运行费和公务接待费。 </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机关运行经费</w:t>
      </w:r>
      <w:r>
        <w:rPr>
          <w:rFonts w:hint="eastAsia" w:ascii="宋体" w:hAnsi="宋体" w:eastAsia="宋体" w:cs="宋体"/>
          <w:sz w:val="32"/>
          <w:szCs w:val="32"/>
        </w:rPr>
        <w:t xml:space="preserve">：指为保障单位运行用于购买货物和服务的各项资金，包括办公及印刷费、邮电费、差旅费、会议费、福利费、日常维修费、专用材料及一般设备购置费、办公用房水电费、办公用房取暖费、办公用房物业管理费以及其他费用。 </w:t>
      </w:r>
    </w:p>
    <w:p>
      <w:pPr>
        <w:rPr>
          <w:rFonts w:hint="eastAsia" w:ascii="宋体" w:hAnsi="宋体" w:eastAsia="宋体" w:cs="宋体"/>
          <w:sz w:val="32"/>
          <w:szCs w:val="32"/>
        </w:rPr>
      </w:pPr>
    </w:p>
    <w:p>
      <w:pPr>
        <w:rPr>
          <w:rFonts w:hint="eastAsia" w:ascii="宋体" w:hAnsi="宋体" w:eastAsia="宋体" w:cs="宋体"/>
          <w:sz w:val="32"/>
          <w:szCs w:val="32"/>
        </w:rPr>
        <w:sectPr>
          <w:pgSz w:w="11907" w:h="16839" w:orient="landscape"/>
          <w:pgMar w:top="1531" w:right="1134" w:bottom="1474" w:left="1134" w:header="851" w:footer="992" w:gutter="0"/>
          <w:cols w:space="720" w:num="1"/>
          <w:docGrid w:type="lines" w:linePitch="312" w:charSpace="0"/>
        </w:sectPr>
      </w:pPr>
    </w:p>
    <w:bookmarkEnd w:id="0"/>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绩效预算：</w:t>
      </w:r>
      <w:r>
        <w:rPr>
          <w:rFonts w:hint="eastAsia" w:ascii="宋体" w:hAnsi="宋体" w:eastAsia="宋体" w:cs="宋体"/>
          <w:sz w:val="32"/>
          <w:szCs w:val="32"/>
        </w:rPr>
        <w:t>就是政府首先制定有关的事业计划和工程计划，再依据政府职能和施政计划制定计划实施方案，并在成本效益分析的基础上确定实施方案所需费用来编制预算的一种方法。</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政府采购</w:t>
      </w:r>
      <w:r>
        <w:rPr>
          <w:rFonts w:hint="eastAsia" w:ascii="宋体" w:hAnsi="宋体" w:eastAsia="宋体" w:cs="宋体"/>
          <w:sz w:val="32"/>
          <w:szCs w:val="32"/>
        </w:rPr>
        <w:t>：指各级政府为从事日常的政务活动或为了满足公共服务的目的，利用财政性资金和政府借款购买货物、工程和服务的行为。</w:t>
      </w:r>
    </w:p>
    <w:p>
      <w:pPr>
        <w:widowControl w:val="0"/>
        <w:numPr>
          <w:ilvl w:val="0"/>
          <w:numId w:val="0"/>
        </w:numPr>
        <w:wordWrap/>
        <w:autoSpaceDE w:val="0"/>
        <w:autoSpaceDN w:val="0"/>
        <w:adjustRightInd w:val="0"/>
        <w:snapToGrid/>
        <w:ind w:right="0" w:rightChars="0" w:firstLine="640" w:firstLineChars="200"/>
        <w:jc w:val="left"/>
        <w:textAlignment w:val="auto"/>
        <w:outlineLvl w:val="9"/>
        <w:rPr>
          <w:rFonts w:hint="eastAsia" w:ascii="宋体" w:hAnsi="宋体" w:cs="宋体"/>
          <w:sz w:val="32"/>
          <w:szCs w:val="32"/>
          <w:lang w:eastAsia="zh-CN"/>
        </w:rPr>
      </w:pPr>
      <w:r>
        <w:rPr>
          <w:rFonts w:hint="eastAsia" w:ascii="宋体" w:hAnsi="宋体" w:cs="宋体"/>
          <w:sz w:val="32"/>
          <w:szCs w:val="32"/>
          <w:lang w:eastAsia="zh-CN"/>
        </w:rPr>
        <w:t>九、</w:t>
      </w:r>
      <w:r>
        <w:rPr>
          <w:rFonts w:hint="eastAsia" w:ascii="宋体" w:hAnsi="宋体" w:eastAsia="宋体" w:cs="宋体"/>
          <w:sz w:val="32"/>
          <w:szCs w:val="32"/>
        </w:rPr>
        <w:t>其他需要说明的事项</w:t>
      </w:r>
      <w:r>
        <w:rPr>
          <w:rFonts w:hint="eastAsia" w:ascii="宋体" w:hAnsi="宋体" w:cs="宋体"/>
          <w:sz w:val="32"/>
          <w:szCs w:val="32"/>
          <w:lang w:eastAsia="zh-CN"/>
        </w:rPr>
        <w:t>。</w:t>
      </w:r>
    </w:p>
    <w:p>
      <w:pPr>
        <w:widowControl w:val="0"/>
        <w:numPr>
          <w:ilvl w:val="0"/>
          <w:numId w:val="0"/>
        </w:numPr>
        <w:wordWrap/>
        <w:autoSpaceDE w:val="0"/>
        <w:autoSpaceDN w:val="0"/>
        <w:adjustRightInd w:val="0"/>
        <w:snapToGrid/>
        <w:ind w:right="0" w:rightChars="0" w:firstLine="640" w:firstLineChars="200"/>
        <w:jc w:val="left"/>
        <w:textAlignment w:val="auto"/>
        <w:outlineLvl w:val="9"/>
        <w:rPr>
          <w:rFonts w:hint="eastAsia" w:ascii="宋体" w:hAnsi="宋体" w:eastAsia="宋体" w:cs="宋体"/>
          <w:sz w:val="32"/>
          <w:szCs w:val="32"/>
        </w:rPr>
      </w:pPr>
      <w:r>
        <w:rPr>
          <w:rFonts w:hint="eastAsia" w:ascii="宋体" w:hAnsi="宋体" w:cs="宋体"/>
          <w:sz w:val="32"/>
          <w:szCs w:val="32"/>
          <w:lang w:eastAsia="zh-CN"/>
        </w:rPr>
        <w:t>我单位无其他需要说明的事项。</w:t>
      </w:r>
    </w:p>
    <w:p>
      <w:pPr>
        <w:widowControl w:val="0"/>
        <w:numPr>
          <w:ilvl w:val="0"/>
          <w:numId w:val="0"/>
        </w:numPr>
        <w:wordWrap/>
        <w:autoSpaceDE w:val="0"/>
        <w:autoSpaceDN w:val="0"/>
        <w:adjustRightInd w:val="0"/>
        <w:snapToGrid/>
        <w:ind w:leftChars="200" w:right="0" w:rightChars="0"/>
        <w:jc w:val="left"/>
        <w:textAlignment w:val="auto"/>
        <w:outlineLvl w:val="9"/>
        <w:rPr>
          <w:rFonts w:hint="eastAsia" w:ascii="宋体" w:hAnsi="宋体" w:eastAsia="宋体" w:cs="宋体"/>
          <w:sz w:val="32"/>
          <w:szCs w:val="32"/>
        </w:rPr>
      </w:pPr>
    </w:p>
    <w:p>
      <w:pPr>
        <w:widowControl w:val="0"/>
        <w:numPr>
          <w:ilvl w:val="0"/>
          <w:numId w:val="0"/>
        </w:numPr>
        <w:wordWrap/>
        <w:autoSpaceDE w:val="0"/>
        <w:autoSpaceDN w:val="0"/>
        <w:adjustRightInd w:val="0"/>
        <w:snapToGrid/>
        <w:ind w:right="0" w:rightChars="0"/>
        <w:jc w:val="left"/>
        <w:textAlignment w:val="auto"/>
        <w:outlineLvl w:val="9"/>
        <w:rPr>
          <w:rFonts w:hint="eastAsia" w:ascii="宋体" w:hAnsi="宋体" w:eastAsia="宋体" w:cs="宋体"/>
          <w:sz w:val="32"/>
          <w:szCs w:val="32"/>
        </w:rPr>
      </w:pPr>
    </w:p>
    <w:sectPr>
      <w:pgSz w:w="11850" w:h="16783"/>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4B288"/>
    <w:multiLevelType w:val="singleLevel"/>
    <w:tmpl w:val="5A94B288"/>
    <w:lvl w:ilvl="0" w:tentative="0">
      <w:start w:val="6"/>
      <w:numFmt w:val="chineseCounting"/>
      <w:suff w:val="nothing"/>
      <w:lvlText w:val="%1、"/>
      <w:lvlJc w:val="left"/>
    </w:lvl>
  </w:abstractNum>
  <w:abstractNum w:abstractNumId="1">
    <w:nsid w:val="5A9D0703"/>
    <w:multiLevelType w:val="singleLevel"/>
    <w:tmpl w:val="5A9D070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7733F"/>
    <w:rsid w:val="00040FBA"/>
    <w:rsid w:val="0004490B"/>
    <w:rsid w:val="000604DF"/>
    <w:rsid w:val="000B6658"/>
    <w:rsid w:val="0013228E"/>
    <w:rsid w:val="0027733F"/>
    <w:rsid w:val="002E4731"/>
    <w:rsid w:val="003277EC"/>
    <w:rsid w:val="00456D84"/>
    <w:rsid w:val="006D7083"/>
    <w:rsid w:val="008003BA"/>
    <w:rsid w:val="00817B30"/>
    <w:rsid w:val="00F171F2"/>
    <w:rsid w:val="02163F79"/>
    <w:rsid w:val="031D723E"/>
    <w:rsid w:val="06680D11"/>
    <w:rsid w:val="06AA74DF"/>
    <w:rsid w:val="073E7A70"/>
    <w:rsid w:val="07424301"/>
    <w:rsid w:val="078144C1"/>
    <w:rsid w:val="07FD6BA9"/>
    <w:rsid w:val="083E4864"/>
    <w:rsid w:val="08D2195C"/>
    <w:rsid w:val="0B3E665F"/>
    <w:rsid w:val="0C2469B1"/>
    <w:rsid w:val="0D81585C"/>
    <w:rsid w:val="0E370F62"/>
    <w:rsid w:val="131F6CBD"/>
    <w:rsid w:val="134C5C63"/>
    <w:rsid w:val="139748B1"/>
    <w:rsid w:val="15262A3E"/>
    <w:rsid w:val="17190422"/>
    <w:rsid w:val="196E49C7"/>
    <w:rsid w:val="1C0C3882"/>
    <w:rsid w:val="1C353ED6"/>
    <w:rsid w:val="1C831A57"/>
    <w:rsid w:val="1D931894"/>
    <w:rsid w:val="1F81583C"/>
    <w:rsid w:val="23106D12"/>
    <w:rsid w:val="23DB2F62"/>
    <w:rsid w:val="24911B46"/>
    <w:rsid w:val="24F23B23"/>
    <w:rsid w:val="27BC7D45"/>
    <w:rsid w:val="28412A94"/>
    <w:rsid w:val="28B363A1"/>
    <w:rsid w:val="295B79F9"/>
    <w:rsid w:val="29A462E1"/>
    <w:rsid w:val="2B0D16B7"/>
    <w:rsid w:val="2C2544C8"/>
    <w:rsid w:val="317006C7"/>
    <w:rsid w:val="32874D75"/>
    <w:rsid w:val="330857AE"/>
    <w:rsid w:val="336A4985"/>
    <w:rsid w:val="349104FE"/>
    <w:rsid w:val="36AC41C0"/>
    <w:rsid w:val="36C7606F"/>
    <w:rsid w:val="38AF1551"/>
    <w:rsid w:val="397956EC"/>
    <w:rsid w:val="3A3F1B1E"/>
    <w:rsid w:val="3F422B55"/>
    <w:rsid w:val="40CB4BDA"/>
    <w:rsid w:val="44247EB4"/>
    <w:rsid w:val="45300CAA"/>
    <w:rsid w:val="47125AA4"/>
    <w:rsid w:val="4A742133"/>
    <w:rsid w:val="4A8212C7"/>
    <w:rsid w:val="4CB17BE4"/>
    <w:rsid w:val="4D372C3B"/>
    <w:rsid w:val="4EBA72A5"/>
    <w:rsid w:val="4FA63CB9"/>
    <w:rsid w:val="4FC43269"/>
    <w:rsid w:val="528A4CF6"/>
    <w:rsid w:val="54A13488"/>
    <w:rsid w:val="58AC77B2"/>
    <w:rsid w:val="58CF1D9E"/>
    <w:rsid w:val="58E0356A"/>
    <w:rsid w:val="59EE291D"/>
    <w:rsid w:val="5D697920"/>
    <w:rsid w:val="5FB1348A"/>
    <w:rsid w:val="60DE0679"/>
    <w:rsid w:val="617666AD"/>
    <w:rsid w:val="61DE104E"/>
    <w:rsid w:val="623E74AA"/>
    <w:rsid w:val="62E127F0"/>
    <w:rsid w:val="68816294"/>
    <w:rsid w:val="6BC6435F"/>
    <w:rsid w:val="6BED48BF"/>
    <w:rsid w:val="6DA66DF3"/>
    <w:rsid w:val="6DBA5951"/>
    <w:rsid w:val="72045D68"/>
    <w:rsid w:val="741F5E31"/>
    <w:rsid w:val="74D900BF"/>
    <w:rsid w:val="76EC7F1E"/>
    <w:rsid w:val="77DD2CB6"/>
    <w:rsid w:val="7E2046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1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toc 2"/>
    <w:basedOn w:val="1"/>
    <w:next w:val="1"/>
    <w:qFormat/>
    <w:uiPriority w:val="0"/>
    <w:pPr>
      <w:ind w:left="420" w:leftChars="200"/>
    </w:pPr>
    <w:rPr>
      <w:rFonts w:ascii="Times New Roman" w:hAnsi="Times New Roman" w:cs="Times New Roman"/>
      <w:szCs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har"/>
    <w:basedOn w:val="1"/>
    <w:qFormat/>
    <w:uiPriority w:val="0"/>
    <w:rPr>
      <w:rFonts w:ascii="Times New Roman" w:hAnsi="Times New Roman" w:cs="Times New Roman"/>
      <w:szCs w:val="24"/>
    </w:rPr>
  </w:style>
  <w:style w:type="character" w:customStyle="1" w:styleId="11">
    <w:name w:val="页脚 Char"/>
    <w:link w:val="3"/>
    <w:semiHidden/>
    <w:qFormat/>
    <w:uiPriority w:val="0"/>
    <w:rPr>
      <w:rFonts w:ascii="Times New Roman" w:hAnsi="Times New Roman" w:eastAsia="宋体" w:cs="Times New Roman"/>
      <w:sz w:val="18"/>
      <w:szCs w:val="18"/>
    </w:rPr>
  </w:style>
  <w:style w:type="character" w:customStyle="1" w:styleId="12">
    <w:name w:val="页眉 Char"/>
    <w:link w:val="4"/>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1391</Words>
  <Characters>7934</Characters>
  <Lines>66</Lines>
  <Paragraphs>18</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2017-01-22T01:29:00Z</dcterms:created>
  <dc:creator>guest</dc:creator>
  <cp:lastModifiedBy>Administrator</cp:lastModifiedBy>
  <cp:lastPrinted>2020-03-18T08:14:00Z</cp:lastPrinted>
  <dcterms:modified xsi:type="dcterms:W3CDTF">2024-03-19T06:16:02Z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6A17B85DA79E4976B164C4227509B278</vt:lpwstr>
  </property>
</Properties>
</file>