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125中共沙河市委机构编制委员会办公室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195.75</w:t>
            </w:r>
          </w:p>
        </w:tc>
        <w:tc>
          <w:tcPr>
            <w:tcW w:w="4535" w:type="dxa"/>
            <w:vAlign w:val="center"/>
          </w:tcPr>
          <w:p>
            <w:pPr>
              <w:pStyle w:val="13"/>
            </w:pPr>
            <w:r>
              <w:t>一、一般公共服务支出</w:t>
            </w:r>
          </w:p>
        </w:tc>
        <w:tc>
          <w:tcPr>
            <w:tcW w:w="2126" w:type="dxa"/>
            <w:vAlign w:val="center"/>
          </w:tcPr>
          <w:p>
            <w:pPr>
              <w:pStyle w:val="12"/>
            </w:pPr>
            <w:r>
              <w:t>154.60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18.16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195.75</w:t>
            </w:r>
          </w:p>
        </w:tc>
        <w:tc>
          <w:tcPr>
            <w:tcW w:w="4535" w:type="dxa"/>
            <w:vAlign w:val="center"/>
          </w:tcPr>
          <w:p>
            <w:pPr>
              <w:pStyle w:val="15"/>
            </w:pPr>
            <w:r>
              <w:t>本年支出合计</w:t>
            </w:r>
          </w:p>
        </w:tc>
        <w:tc>
          <w:tcPr>
            <w:tcW w:w="2126" w:type="dxa"/>
            <w:vAlign w:val="center"/>
          </w:tcPr>
          <w:p>
            <w:pPr>
              <w:pStyle w:val="16"/>
            </w:pPr>
            <w:r>
              <w:t>195.75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195.75</w:t>
            </w:r>
          </w:p>
        </w:tc>
        <w:tc>
          <w:tcPr>
            <w:tcW w:w="4535" w:type="dxa"/>
            <w:vAlign w:val="center"/>
          </w:tcPr>
          <w:p>
            <w:pPr>
              <w:pStyle w:val="15"/>
            </w:pPr>
            <w:r>
              <w:t>支出总计</w:t>
            </w:r>
          </w:p>
        </w:tc>
        <w:tc>
          <w:tcPr>
            <w:tcW w:w="2126" w:type="dxa"/>
            <w:vAlign w:val="center"/>
          </w:tcPr>
          <w:p>
            <w:pPr>
              <w:pStyle w:val="16"/>
            </w:pPr>
            <w:r>
              <w:t>195.75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125中共沙河市委机构编制委员会办公室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195.75</w:t>
            </w:r>
          </w:p>
        </w:tc>
        <w:tc>
          <w:tcPr>
            <w:tcW w:w="1134" w:type="dxa"/>
            <w:vAlign w:val="center"/>
          </w:tcPr>
          <w:p>
            <w:pPr>
              <w:pStyle w:val="16"/>
            </w:pPr>
            <w:r>
              <w:t>195.75</w:t>
            </w:r>
          </w:p>
        </w:tc>
        <w:tc>
          <w:tcPr>
            <w:tcW w:w="1134" w:type="dxa"/>
            <w:vAlign w:val="center"/>
          </w:tcPr>
          <w:p>
            <w:pPr>
              <w:pStyle w:val="16"/>
            </w:pPr>
            <w:r>
              <w:t>195.75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154.60</w:t>
            </w:r>
          </w:p>
        </w:tc>
        <w:tc>
          <w:tcPr>
            <w:tcW w:w="1134" w:type="dxa"/>
            <w:vAlign w:val="center"/>
          </w:tcPr>
          <w:p>
            <w:pPr>
              <w:pStyle w:val="12"/>
            </w:pPr>
            <w:r>
              <w:t>154.60</w:t>
            </w:r>
          </w:p>
        </w:tc>
        <w:tc>
          <w:tcPr>
            <w:tcW w:w="1134" w:type="dxa"/>
            <w:vAlign w:val="center"/>
          </w:tcPr>
          <w:p>
            <w:pPr>
              <w:pStyle w:val="12"/>
            </w:pPr>
            <w:r>
              <w:t>154.60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154.60</w:t>
            </w:r>
          </w:p>
        </w:tc>
        <w:tc>
          <w:tcPr>
            <w:tcW w:w="1134" w:type="dxa"/>
            <w:vAlign w:val="center"/>
          </w:tcPr>
          <w:p>
            <w:pPr>
              <w:pStyle w:val="12"/>
            </w:pPr>
            <w:r>
              <w:t>154.60</w:t>
            </w:r>
          </w:p>
        </w:tc>
        <w:tc>
          <w:tcPr>
            <w:tcW w:w="1134" w:type="dxa"/>
            <w:vAlign w:val="center"/>
          </w:tcPr>
          <w:p>
            <w:pPr>
              <w:pStyle w:val="12"/>
            </w:pPr>
            <w:r>
              <w:t>154.60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151.60</w:t>
            </w:r>
          </w:p>
        </w:tc>
        <w:tc>
          <w:tcPr>
            <w:tcW w:w="1134" w:type="dxa"/>
            <w:vAlign w:val="center"/>
          </w:tcPr>
          <w:p>
            <w:pPr>
              <w:pStyle w:val="12"/>
            </w:pPr>
            <w:r>
              <w:t>151.60</w:t>
            </w:r>
          </w:p>
        </w:tc>
        <w:tc>
          <w:tcPr>
            <w:tcW w:w="1134" w:type="dxa"/>
            <w:vAlign w:val="center"/>
          </w:tcPr>
          <w:p>
            <w:pPr>
              <w:pStyle w:val="12"/>
            </w:pPr>
            <w:r>
              <w:t>151.60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18.16</w:t>
            </w:r>
          </w:p>
        </w:tc>
        <w:tc>
          <w:tcPr>
            <w:tcW w:w="1134" w:type="dxa"/>
            <w:vAlign w:val="center"/>
          </w:tcPr>
          <w:p>
            <w:pPr>
              <w:pStyle w:val="12"/>
            </w:pPr>
            <w:r>
              <w:t>18.16</w:t>
            </w:r>
          </w:p>
        </w:tc>
        <w:tc>
          <w:tcPr>
            <w:tcW w:w="1134" w:type="dxa"/>
            <w:vAlign w:val="center"/>
          </w:tcPr>
          <w:p>
            <w:pPr>
              <w:pStyle w:val="12"/>
            </w:pPr>
            <w:r>
              <w:t>18.16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18.16</w:t>
            </w:r>
          </w:p>
        </w:tc>
        <w:tc>
          <w:tcPr>
            <w:tcW w:w="1134" w:type="dxa"/>
            <w:vAlign w:val="center"/>
          </w:tcPr>
          <w:p>
            <w:pPr>
              <w:pStyle w:val="12"/>
            </w:pPr>
            <w:r>
              <w:t>18.16</w:t>
            </w:r>
          </w:p>
        </w:tc>
        <w:tc>
          <w:tcPr>
            <w:tcW w:w="1134" w:type="dxa"/>
            <w:vAlign w:val="center"/>
          </w:tcPr>
          <w:p>
            <w:pPr>
              <w:pStyle w:val="12"/>
            </w:pPr>
            <w:r>
              <w:t>18.16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18.16</w:t>
            </w:r>
          </w:p>
        </w:tc>
        <w:tc>
          <w:tcPr>
            <w:tcW w:w="1134" w:type="dxa"/>
            <w:vAlign w:val="center"/>
          </w:tcPr>
          <w:p>
            <w:pPr>
              <w:pStyle w:val="12"/>
            </w:pPr>
            <w:r>
              <w:t>18.16</w:t>
            </w:r>
          </w:p>
        </w:tc>
        <w:tc>
          <w:tcPr>
            <w:tcW w:w="1134" w:type="dxa"/>
            <w:vAlign w:val="center"/>
          </w:tcPr>
          <w:p>
            <w:pPr>
              <w:pStyle w:val="12"/>
            </w:pPr>
            <w:r>
              <w:t>18.16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7.90</w:t>
            </w:r>
          </w:p>
        </w:tc>
        <w:tc>
          <w:tcPr>
            <w:tcW w:w="1134" w:type="dxa"/>
            <w:vAlign w:val="center"/>
          </w:tcPr>
          <w:p>
            <w:pPr>
              <w:pStyle w:val="12"/>
            </w:pPr>
            <w:r>
              <w:t>7.90</w:t>
            </w:r>
          </w:p>
        </w:tc>
        <w:tc>
          <w:tcPr>
            <w:tcW w:w="1134" w:type="dxa"/>
            <w:vAlign w:val="center"/>
          </w:tcPr>
          <w:p>
            <w:pPr>
              <w:pStyle w:val="12"/>
            </w:pPr>
            <w:r>
              <w:t>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7.90</w:t>
            </w:r>
          </w:p>
        </w:tc>
        <w:tc>
          <w:tcPr>
            <w:tcW w:w="1134" w:type="dxa"/>
            <w:vAlign w:val="center"/>
          </w:tcPr>
          <w:p>
            <w:pPr>
              <w:pStyle w:val="12"/>
            </w:pPr>
            <w:r>
              <w:t>7.90</w:t>
            </w:r>
          </w:p>
        </w:tc>
        <w:tc>
          <w:tcPr>
            <w:tcW w:w="1134" w:type="dxa"/>
            <w:vAlign w:val="center"/>
          </w:tcPr>
          <w:p>
            <w:pPr>
              <w:pStyle w:val="12"/>
            </w:pPr>
            <w:r>
              <w:t>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7.90</w:t>
            </w:r>
          </w:p>
        </w:tc>
        <w:tc>
          <w:tcPr>
            <w:tcW w:w="1134" w:type="dxa"/>
            <w:vAlign w:val="center"/>
          </w:tcPr>
          <w:p>
            <w:pPr>
              <w:pStyle w:val="12"/>
            </w:pPr>
            <w:r>
              <w:t>7.90</w:t>
            </w:r>
          </w:p>
        </w:tc>
        <w:tc>
          <w:tcPr>
            <w:tcW w:w="1134" w:type="dxa"/>
            <w:vAlign w:val="center"/>
          </w:tcPr>
          <w:p>
            <w:pPr>
              <w:pStyle w:val="12"/>
            </w:pPr>
            <w:r>
              <w:t>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15.09</w:t>
            </w:r>
          </w:p>
        </w:tc>
        <w:tc>
          <w:tcPr>
            <w:tcW w:w="1134" w:type="dxa"/>
            <w:vAlign w:val="center"/>
          </w:tcPr>
          <w:p>
            <w:pPr>
              <w:pStyle w:val="12"/>
            </w:pPr>
            <w:r>
              <w:t>15.09</w:t>
            </w:r>
          </w:p>
        </w:tc>
        <w:tc>
          <w:tcPr>
            <w:tcW w:w="1134" w:type="dxa"/>
            <w:vAlign w:val="center"/>
          </w:tcPr>
          <w:p>
            <w:pPr>
              <w:pStyle w:val="12"/>
            </w:pPr>
            <w:r>
              <w:t>15.09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15.09</w:t>
            </w:r>
          </w:p>
        </w:tc>
        <w:tc>
          <w:tcPr>
            <w:tcW w:w="1134" w:type="dxa"/>
            <w:vAlign w:val="center"/>
          </w:tcPr>
          <w:p>
            <w:pPr>
              <w:pStyle w:val="12"/>
            </w:pPr>
            <w:r>
              <w:t>15.09</w:t>
            </w:r>
          </w:p>
        </w:tc>
        <w:tc>
          <w:tcPr>
            <w:tcW w:w="1134" w:type="dxa"/>
            <w:vAlign w:val="center"/>
          </w:tcPr>
          <w:p>
            <w:pPr>
              <w:pStyle w:val="12"/>
            </w:pPr>
            <w:r>
              <w:t>15.09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15.09</w:t>
            </w:r>
          </w:p>
        </w:tc>
        <w:tc>
          <w:tcPr>
            <w:tcW w:w="1134" w:type="dxa"/>
            <w:vAlign w:val="center"/>
          </w:tcPr>
          <w:p>
            <w:pPr>
              <w:pStyle w:val="12"/>
            </w:pPr>
            <w:r>
              <w:t>15.09</w:t>
            </w:r>
          </w:p>
        </w:tc>
        <w:tc>
          <w:tcPr>
            <w:tcW w:w="1134" w:type="dxa"/>
            <w:vAlign w:val="center"/>
          </w:tcPr>
          <w:p>
            <w:pPr>
              <w:pStyle w:val="12"/>
            </w:pPr>
            <w:r>
              <w:t>15.09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125中共沙河市委机构编制委员会办公室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195.75</w:t>
            </w:r>
          </w:p>
        </w:tc>
        <w:tc>
          <w:tcPr>
            <w:tcW w:w="1361" w:type="dxa"/>
            <w:vAlign w:val="center"/>
          </w:tcPr>
          <w:p>
            <w:pPr>
              <w:pStyle w:val="16"/>
            </w:pPr>
            <w:r>
              <w:t>192.75</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154.60</w:t>
            </w:r>
          </w:p>
        </w:tc>
        <w:tc>
          <w:tcPr>
            <w:tcW w:w="1361" w:type="dxa"/>
            <w:vAlign w:val="center"/>
          </w:tcPr>
          <w:p>
            <w:pPr>
              <w:pStyle w:val="12"/>
            </w:pPr>
            <w:r>
              <w:t>151.60</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154.60</w:t>
            </w:r>
          </w:p>
        </w:tc>
        <w:tc>
          <w:tcPr>
            <w:tcW w:w="1361" w:type="dxa"/>
            <w:vAlign w:val="center"/>
          </w:tcPr>
          <w:p>
            <w:pPr>
              <w:pStyle w:val="12"/>
            </w:pPr>
            <w:r>
              <w:t>151.60</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151.60</w:t>
            </w:r>
          </w:p>
        </w:tc>
        <w:tc>
          <w:tcPr>
            <w:tcW w:w="1361" w:type="dxa"/>
            <w:vAlign w:val="center"/>
          </w:tcPr>
          <w:p>
            <w:pPr>
              <w:pStyle w:val="12"/>
            </w:pPr>
            <w:r>
              <w:t>151.60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18.16</w:t>
            </w:r>
          </w:p>
        </w:tc>
        <w:tc>
          <w:tcPr>
            <w:tcW w:w="1361" w:type="dxa"/>
            <w:vAlign w:val="center"/>
          </w:tcPr>
          <w:p>
            <w:pPr>
              <w:pStyle w:val="12"/>
            </w:pPr>
            <w:r>
              <w:t>18.16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18.16</w:t>
            </w:r>
          </w:p>
        </w:tc>
        <w:tc>
          <w:tcPr>
            <w:tcW w:w="1361" w:type="dxa"/>
            <w:vAlign w:val="center"/>
          </w:tcPr>
          <w:p>
            <w:pPr>
              <w:pStyle w:val="12"/>
            </w:pPr>
            <w:r>
              <w:t>18.16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18.16</w:t>
            </w:r>
          </w:p>
        </w:tc>
        <w:tc>
          <w:tcPr>
            <w:tcW w:w="1361" w:type="dxa"/>
            <w:vAlign w:val="center"/>
          </w:tcPr>
          <w:p>
            <w:pPr>
              <w:pStyle w:val="12"/>
            </w:pPr>
            <w:r>
              <w:t>18.16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7.90</w:t>
            </w:r>
          </w:p>
        </w:tc>
        <w:tc>
          <w:tcPr>
            <w:tcW w:w="1361" w:type="dxa"/>
            <w:vAlign w:val="center"/>
          </w:tcPr>
          <w:p>
            <w:pPr>
              <w:pStyle w:val="12"/>
            </w:pPr>
            <w:r>
              <w:t>7.90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7.90</w:t>
            </w:r>
          </w:p>
        </w:tc>
        <w:tc>
          <w:tcPr>
            <w:tcW w:w="1361" w:type="dxa"/>
            <w:vAlign w:val="center"/>
          </w:tcPr>
          <w:p>
            <w:pPr>
              <w:pStyle w:val="12"/>
            </w:pPr>
            <w:r>
              <w:t>7.90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7.90</w:t>
            </w:r>
          </w:p>
        </w:tc>
        <w:tc>
          <w:tcPr>
            <w:tcW w:w="1361" w:type="dxa"/>
            <w:vAlign w:val="center"/>
          </w:tcPr>
          <w:p>
            <w:pPr>
              <w:pStyle w:val="12"/>
            </w:pPr>
            <w:r>
              <w:t>7.90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15.09</w:t>
            </w:r>
          </w:p>
        </w:tc>
        <w:tc>
          <w:tcPr>
            <w:tcW w:w="1361" w:type="dxa"/>
            <w:vAlign w:val="center"/>
          </w:tcPr>
          <w:p>
            <w:pPr>
              <w:pStyle w:val="12"/>
            </w:pPr>
            <w:r>
              <w:t>15.09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15.09</w:t>
            </w:r>
          </w:p>
        </w:tc>
        <w:tc>
          <w:tcPr>
            <w:tcW w:w="1361" w:type="dxa"/>
            <w:vAlign w:val="center"/>
          </w:tcPr>
          <w:p>
            <w:pPr>
              <w:pStyle w:val="12"/>
            </w:pPr>
            <w:r>
              <w:t>15.09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15.09</w:t>
            </w:r>
          </w:p>
        </w:tc>
        <w:tc>
          <w:tcPr>
            <w:tcW w:w="1361" w:type="dxa"/>
            <w:vAlign w:val="center"/>
          </w:tcPr>
          <w:p>
            <w:pPr>
              <w:pStyle w:val="12"/>
            </w:pPr>
            <w:r>
              <w:t>15.09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125中共沙河市委机构编制委员会办公室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195.75</w:t>
            </w:r>
          </w:p>
        </w:tc>
        <w:tc>
          <w:tcPr>
            <w:tcW w:w="3402" w:type="dxa"/>
            <w:vAlign w:val="center"/>
          </w:tcPr>
          <w:p>
            <w:pPr>
              <w:pStyle w:val="13"/>
            </w:pPr>
            <w:r>
              <w:t>一、一般公共服务支出</w:t>
            </w:r>
          </w:p>
        </w:tc>
        <w:tc>
          <w:tcPr>
            <w:tcW w:w="1474" w:type="dxa"/>
            <w:vAlign w:val="center"/>
          </w:tcPr>
          <w:p>
            <w:pPr>
              <w:pStyle w:val="12"/>
            </w:pPr>
            <w:r>
              <w:t>154.60</w:t>
            </w:r>
          </w:p>
        </w:tc>
        <w:tc>
          <w:tcPr>
            <w:tcW w:w="1474" w:type="dxa"/>
            <w:vAlign w:val="center"/>
          </w:tcPr>
          <w:p>
            <w:pPr>
              <w:pStyle w:val="12"/>
            </w:pPr>
            <w:r>
              <w:t>154.60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18.16</w:t>
            </w:r>
          </w:p>
        </w:tc>
        <w:tc>
          <w:tcPr>
            <w:tcW w:w="1474" w:type="dxa"/>
            <w:vAlign w:val="center"/>
          </w:tcPr>
          <w:p>
            <w:pPr>
              <w:pStyle w:val="12"/>
            </w:pPr>
            <w:r>
              <w:t>18.16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7.90</w:t>
            </w:r>
          </w:p>
        </w:tc>
        <w:tc>
          <w:tcPr>
            <w:tcW w:w="1474" w:type="dxa"/>
            <w:vAlign w:val="center"/>
          </w:tcPr>
          <w:p>
            <w:pPr>
              <w:pStyle w:val="12"/>
            </w:pPr>
            <w:r>
              <w:t>7.90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15.09</w:t>
            </w:r>
          </w:p>
        </w:tc>
        <w:tc>
          <w:tcPr>
            <w:tcW w:w="1474" w:type="dxa"/>
            <w:vAlign w:val="center"/>
          </w:tcPr>
          <w:p>
            <w:pPr>
              <w:pStyle w:val="12"/>
            </w:pPr>
            <w:r>
              <w:t>15.09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195.75</w:t>
            </w:r>
          </w:p>
        </w:tc>
        <w:tc>
          <w:tcPr>
            <w:tcW w:w="3402" w:type="dxa"/>
            <w:vAlign w:val="center"/>
          </w:tcPr>
          <w:p>
            <w:pPr>
              <w:pStyle w:val="15"/>
            </w:pPr>
            <w:r>
              <w:t>本年支出合计</w:t>
            </w:r>
          </w:p>
        </w:tc>
        <w:tc>
          <w:tcPr>
            <w:tcW w:w="1474" w:type="dxa"/>
            <w:vAlign w:val="center"/>
          </w:tcPr>
          <w:p>
            <w:pPr>
              <w:pStyle w:val="16"/>
            </w:pPr>
            <w:r>
              <w:t>195.75</w:t>
            </w:r>
          </w:p>
        </w:tc>
        <w:tc>
          <w:tcPr>
            <w:tcW w:w="1474" w:type="dxa"/>
            <w:vAlign w:val="center"/>
          </w:tcPr>
          <w:p>
            <w:pPr>
              <w:pStyle w:val="16"/>
            </w:pPr>
            <w:r>
              <w:t>195.75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195.75</w:t>
            </w:r>
          </w:p>
        </w:tc>
        <w:tc>
          <w:tcPr>
            <w:tcW w:w="3402" w:type="dxa"/>
            <w:vAlign w:val="center"/>
          </w:tcPr>
          <w:p>
            <w:pPr>
              <w:pStyle w:val="15"/>
            </w:pPr>
            <w:r>
              <w:t>支出总计</w:t>
            </w:r>
          </w:p>
        </w:tc>
        <w:tc>
          <w:tcPr>
            <w:tcW w:w="1474" w:type="dxa"/>
            <w:vAlign w:val="center"/>
          </w:tcPr>
          <w:p>
            <w:pPr>
              <w:pStyle w:val="16"/>
            </w:pPr>
            <w:r>
              <w:t>195.75</w:t>
            </w:r>
          </w:p>
        </w:tc>
        <w:tc>
          <w:tcPr>
            <w:tcW w:w="1474" w:type="dxa"/>
            <w:vAlign w:val="center"/>
          </w:tcPr>
          <w:p>
            <w:pPr>
              <w:pStyle w:val="16"/>
            </w:pPr>
            <w:r>
              <w:t>195.75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125中共沙河市委机构编制委员会办公室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195.75</w:t>
            </w:r>
          </w:p>
        </w:tc>
        <w:tc>
          <w:tcPr>
            <w:tcW w:w="2551" w:type="dxa"/>
            <w:vAlign w:val="center"/>
          </w:tcPr>
          <w:p>
            <w:pPr>
              <w:pStyle w:val="16"/>
            </w:pPr>
            <w:r>
              <w:t>192.75</w:t>
            </w:r>
          </w:p>
        </w:tc>
        <w:tc>
          <w:tcPr>
            <w:tcW w:w="2551" w:type="dxa"/>
            <w:vAlign w:val="center"/>
          </w:tcPr>
          <w:p>
            <w:pPr>
              <w:pStyle w:val="16"/>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154.60</w:t>
            </w:r>
          </w:p>
        </w:tc>
        <w:tc>
          <w:tcPr>
            <w:tcW w:w="2551" w:type="dxa"/>
            <w:vAlign w:val="center"/>
          </w:tcPr>
          <w:p>
            <w:pPr>
              <w:pStyle w:val="12"/>
            </w:pPr>
            <w:r>
              <w:t>151.60</w:t>
            </w: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154.60</w:t>
            </w:r>
          </w:p>
        </w:tc>
        <w:tc>
          <w:tcPr>
            <w:tcW w:w="2551" w:type="dxa"/>
            <w:vAlign w:val="center"/>
          </w:tcPr>
          <w:p>
            <w:pPr>
              <w:pStyle w:val="12"/>
            </w:pPr>
            <w:r>
              <w:t>151.60</w:t>
            </w: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151.60</w:t>
            </w:r>
          </w:p>
        </w:tc>
        <w:tc>
          <w:tcPr>
            <w:tcW w:w="2551" w:type="dxa"/>
            <w:vAlign w:val="center"/>
          </w:tcPr>
          <w:p>
            <w:pPr>
              <w:pStyle w:val="12"/>
            </w:pPr>
            <w:r>
              <w:t>151.60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18.16</w:t>
            </w:r>
          </w:p>
        </w:tc>
        <w:tc>
          <w:tcPr>
            <w:tcW w:w="2551" w:type="dxa"/>
            <w:vAlign w:val="center"/>
          </w:tcPr>
          <w:p>
            <w:pPr>
              <w:pStyle w:val="12"/>
            </w:pPr>
            <w:r>
              <w:t>18.16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18.16</w:t>
            </w:r>
          </w:p>
        </w:tc>
        <w:tc>
          <w:tcPr>
            <w:tcW w:w="2551" w:type="dxa"/>
            <w:vAlign w:val="center"/>
          </w:tcPr>
          <w:p>
            <w:pPr>
              <w:pStyle w:val="12"/>
            </w:pPr>
            <w:r>
              <w:t>18.16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18.16</w:t>
            </w:r>
          </w:p>
        </w:tc>
        <w:tc>
          <w:tcPr>
            <w:tcW w:w="2551" w:type="dxa"/>
            <w:vAlign w:val="center"/>
          </w:tcPr>
          <w:p>
            <w:pPr>
              <w:pStyle w:val="12"/>
            </w:pPr>
            <w:r>
              <w:t>18.16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7.90</w:t>
            </w:r>
          </w:p>
        </w:tc>
        <w:tc>
          <w:tcPr>
            <w:tcW w:w="2551" w:type="dxa"/>
            <w:vAlign w:val="center"/>
          </w:tcPr>
          <w:p>
            <w:pPr>
              <w:pStyle w:val="12"/>
            </w:pPr>
            <w:r>
              <w:t>7.90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7.90</w:t>
            </w:r>
          </w:p>
        </w:tc>
        <w:tc>
          <w:tcPr>
            <w:tcW w:w="2551" w:type="dxa"/>
            <w:vAlign w:val="center"/>
          </w:tcPr>
          <w:p>
            <w:pPr>
              <w:pStyle w:val="12"/>
            </w:pPr>
            <w:r>
              <w:t>7.90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7.90</w:t>
            </w:r>
          </w:p>
        </w:tc>
        <w:tc>
          <w:tcPr>
            <w:tcW w:w="2551" w:type="dxa"/>
            <w:vAlign w:val="center"/>
          </w:tcPr>
          <w:p>
            <w:pPr>
              <w:pStyle w:val="12"/>
            </w:pPr>
            <w:r>
              <w:t>7.90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15.09</w:t>
            </w:r>
          </w:p>
        </w:tc>
        <w:tc>
          <w:tcPr>
            <w:tcW w:w="2551" w:type="dxa"/>
            <w:vAlign w:val="center"/>
          </w:tcPr>
          <w:p>
            <w:pPr>
              <w:pStyle w:val="12"/>
            </w:pPr>
            <w:r>
              <w:t>15.09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15.09</w:t>
            </w:r>
          </w:p>
        </w:tc>
        <w:tc>
          <w:tcPr>
            <w:tcW w:w="2551" w:type="dxa"/>
            <w:vAlign w:val="center"/>
          </w:tcPr>
          <w:p>
            <w:pPr>
              <w:pStyle w:val="12"/>
            </w:pPr>
            <w:r>
              <w:t>15.09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15.09</w:t>
            </w:r>
          </w:p>
        </w:tc>
        <w:tc>
          <w:tcPr>
            <w:tcW w:w="2551" w:type="dxa"/>
            <w:vAlign w:val="center"/>
          </w:tcPr>
          <w:p>
            <w:pPr>
              <w:pStyle w:val="12"/>
            </w:pPr>
            <w:r>
              <w:t>15.09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125中共沙河市委机构编制委员会办公室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192.75</w:t>
            </w:r>
          </w:p>
        </w:tc>
        <w:tc>
          <w:tcPr>
            <w:tcW w:w="2551" w:type="dxa"/>
            <w:vAlign w:val="center"/>
          </w:tcPr>
          <w:p>
            <w:pPr>
              <w:pStyle w:val="16"/>
            </w:pPr>
            <w:r>
              <w:t>178.51</w:t>
            </w:r>
          </w:p>
        </w:tc>
        <w:tc>
          <w:tcPr>
            <w:tcW w:w="2551" w:type="dxa"/>
            <w:vAlign w:val="center"/>
          </w:tcPr>
          <w:p>
            <w:pPr>
              <w:pStyle w:val="16"/>
            </w:pPr>
            <w:r>
              <w:t>14.24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173.36</w:t>
            </w:r>
          </w:p>
        </w:tc>
        <w:tc>
          <w:tcPr>
            <w:tcW w:w="2551" w:type="dxa"/>
            <w:vAlign w:val="center"/>
          </w:tcPr>
          <w:p>
            <w:pPr>
              <w:pStyle w:val="12"/>
            </w:pPr>
            <w:r>
              <w:t>173.36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72.63</w:t>
            </w:r>
          </w:p>
        </w:tc>
        <w:tc>
          <w:tcPr>
            <w:tcW w:w="2551" w:type="dxa"/>
            <w:vAlign w:val="center"/>
          </w:tcPr>
          <w:p>
            <w:pPr>
              <w:pStyle w:val="12"/>
            </w:pPr>
            <w:r>
              <w:t>72.63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25.63</w:t>
            </w:r>
          </w:p>
        </w:tc>
        <w:tc>
          <w:tcPr>
            <w:tcW w:w="2551" w:type="dxa"/>
            <w:vAlign w:val="center"/>
          </w:tcPr>
          <w:p>
            <w:pPr>
              <w:pStyle w:val="12"/>
            </w:pPr>
            <w:r>
              <w:t>25.63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16.08</w:t>
            </w:r>
          </w:p>
        </w:tc>
        <w:tc>
          <w:tcPr>
            <w:tcW w:w="2551" w:type="dxa"/>
            <w:vAlign w:val="center"/>
          </w:tcPr>
          <w:p>
            <w:pPr>
              <w:pStyle w:val="12"/>
            </w:pPr>
            <w:r>
              <w:t>16.08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17.87</w:t>
            </w:r>
          </w:p>
        </w:tc>
        <w:tc>
          <w:tcPr>
            <w:tcW w:w="2551" w:type="dxa"/>
            <w:vAlign w:val="center"/>
          </w:tcPr>
          <w:p>
            <w:pPr>
              <w:pStyle w:val="12"/>
            </w:pPr>
            <w:r>
              <w:t>17.87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18.16</w:t>
            </w:r>
          </w:p>
        </w:tc>
        <w:tc>
          <w:tcPr>
            <w:tcW w:w="2551" w:type="dxa"/>
            <w:vAlign w:val="center"/>
          </w:tcPr>
          <w:p>
            <w:pPr>
              <w:pStyle w:val="12"/>
            </w:pPr>
            <w:r>
              <w:t>18.16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7.90</w:t>
            </w:r>
          </w:p>
        </w:tc>
        <w:tc>
          <w:tcPr>
            <w:tcW w:w="2551" w:type="dxa"/>
            <w:vAlign w:val="center"/>
          </w:tcPr>
          <w:p>
            <w:pPr>
              <w:pStyle w:val="12"/>
            </w:pPr>
            <w:r>
              <w:t>7.90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15.09</w:t>
            </w:r>
          </w:p>
        </w:tc>
        <w:tc>
          <w:tcPr>
            <w:tcW w:w="2551" w:type="dxa"/>
            <w:vAlign w:val="center"/>
          </w:tcPr>
          <w:p>
            <w:pPr>
              <w:pStyle w:val="12"/>
            </w:pPr>
            <w:r>
              <w:t>15.09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14.24</w:t>
            </w:r>
          </w:p>
        </w:tc>
        <w:tc>
          <w:tcPr>
            <w:tcW w:w="2551" w:type="dxa"/>
            <w:vAlign w:val="center"/>
          </w:tcPr>
          <w:p>
            <w:pPr>
              <w:pStyle w:val="12"/>
            </w:pPr>
          </w:p>
        </w:tc>
        <w:tc>
          <w:tcPr>
            <w:tcW w:w="2551" w:type="dxa"/>
            <w:vAlign w:val="center"/>
          </w:tcPr>
          <w:p>
            <w:pPr>
              <w:pStyle w:val="12"/>
            </w:pPr>
            <w:r>
              <w:t>14.24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2.88</w:t>
            </w:r>
          </w:p>
        </w:tc>
        <w:tc>
          <w:tcPr>
            <w:tcW w:w="2551" w:type="dxa"/>
            <w:vAlign w:val="center"/>
          </w:tcPr>
          <w:p>
            <w:pPr>
              <w:pStyle w:val="12"/>
            </w:pPr>
          </w:p>
        </w:tc>
        <w:tc>
          <w:tcPr>
            <w:tcW w:w="2551" w:type="dxa"/>
            <w:vAlign w:val="center"/>
          </w:tcPr>
          <w:p>
            <w:pPr>
              <w:pStyle w:val="12"/>
            </w:pPr>
            <w:r>
              <w:t>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1.29</w:t>
            </w:r>
          </w:p>
        </w:tc>
        <w:tc>
          <w:tcPr>
            <w:tcW w:w="2551" w:type="dxa"/>
            <w:vAlign w:val="center"/>
          </w:tcPr>
          <w:p>
            <w:pPr>
              <w:pStyle w:val="12"/>
            </w:pPr>
          </w:p>
        </w:tc>
        <w:tc>
          <w:tcPr>
            <w:tcW w:w="2551" w:type="dxa"/>
            <w:vAlign w:val="center"/>
          </w:tcPr>
          <w:p>
            <w:pPr>
              <w:pStyle w:val="12"/>
            </w:pPr>
            <w:r>
              <w:t>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1.61</w:t>
            </w:r>
          </w:p>
        </w:tc>
        <w:tc>
          <w:tcPr>
            <w:tcW w:w="2551" w:type="dxa"/>
            <w:vAlign w:val="center"/>
          </w:tcPr>
          <w:p>
            <w:pPr>
              <w:pStyle w:val="12"/>
            </w:pPr>
          </w:p>
        </w:tc>
        <w:tc>
          <w:tcPr>
            <w:tcW w:w="2551" w:type="dxa"/>
            <w:vAlign w:val="center"/>
          </w:tcPr>
          <w:p>
            <w:pPr>
              <w:pStyle w:val="12"/>
            </w:pPr>
            <w:r>
              <w:t>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7.26</w:t>
            </w:r>
          </w:p>
        </w:tc>
        <w:tc>
          <w:tcPr>
            <w:tcW w:w="2551" w:type="dxa"/>
            <w:vAlign w:val="center"/>
          </w:tcPr>
          <w:p>
            <w:pPr>
              <w:pStyle w:val="12"/>
            </w:pPr>
          </w:p>
        </w:tc>
        <w:tc>
          <w:tcPr>
            <w:tcW w:w="2551" w:type="dxa"/>
            <w:vAlign w:val="center"/>
          </w:tcPr>
          <w:p>
            <w:pPr>
              <w:pStyle w:val="12"/>
            </w:pPr>
            <w:r>
              <w:t>7.26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5.15</w:t>
            </w:r>
          </w:p>
        </w:tc>
        <w:tc>
          <w:tcPr>
            <w:tcW w:w="2551" w:type="dxa"/>
            <w:vAlign w:val="center"/>
          </w:tcPr>
          <w:p>
            <w:pPr>
              <w:pStyle w:val="12"/>
            </w:pPr>
            <w:r>
              <w:t>5.15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5.15</w:t>
            </w:r>
          </w:p>
        </w:tc>
        <w:tc>
          <w:tcPr>
            <w:tcW w:w="2551" w:type="dxa"/>
            <w:vAlign w:val="center"/>
          </w:tcPr>
          <w:p>
            <w:pPr>
              <w:pStyle w:val="12"/>
            </w:pPr>
            <w:r>
              <w:t>5.15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125中共沙河市委机构编制委员会办公室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125中共沙河市委机构编制委员会办公室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125中共沙河市委机构编制委员会办公室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中共沙河市委机构编制委员会办公室2025年部门预算信息公开情况说明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中共沙河市委机构编制委员会办公室2025年部门预算信息公开情况说明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按照《中华人民共和国预算法》、《地方预决算公开操作规程》和《关于进一步推进预算公开工作的实施意见》规定，现将中共沙河市委机构编制委员会办公室2025年部门预算公开如下：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落实党中央和省委、邢台市委、沙河市委关于行政管理体制和机构改革以及机构编制管理的政策法规，组织拟订相关政策措施并监督实施。管理和指导各级党委、人大、政府、政协、监委机关，各民主党派、人民团体机关以及全市事业单位的机构编制工作。</w:t>
      </w:r>
    </w:p>
    <w:p>
      <w:pPr>
        <w:pStyle w:val="18"/>
      </w:pPr>
      <w:r>
        <w:t>（二）组织拟订全市行政管理体制改革和市委、市政府机构改革方案并组织实施。指导乡（镇）办事处行政管理体制和机构改革以及机构编制管理工作；负责行政执法体制改革工作。</w:t>
      </w:r>
    </w:p>
    <w:p>
      <w:pPr>
        <w:pStyle w:val="18"/>
      </w:pPr>
      <w:r>
        <w:t>（三）协调市委、市政府各部门的职能配置及其调整。协调市委、市政府部门之间以及市直部门与各乡（镇）办事处之间的职责分工。</w:t>
      </w:r>
    </w:p>
    <w:p>
      <w:pPr>
        <w:pStyle w:val="18"/>
      </w:pPr>
      <w:r>
        <w:t>（四）审核或审批市委、市政府各部门及各部门派出机构的职能配置、机构设置、人员编制和领导职数；审核市人大、市政协、市监委和各民主党派、人民团体机关的职能配置、机构设置、人员编制和领导职数。</w:t>
      </w:r>
    </w:p>
    <w:p>
      <w:pPr>
        <w:pStyle w:val="18"/>
      </w:pPr>
      <w:r>
        <w:t>（五）审核市委、市政府股级以上机构设置和调整事宜；审核人大、政协、监委和各民主党派、人民团体机关股级以上机构设置和调整事宜；审核市直各部门、乡（镇）办事处机构编制分类；负责需要承办的中央和国家机关、省垂直管理部门或双重管理部门（单位）机构编制有关事宜。</w:t>
      </w:r>
    </w:p>
    <w:p>
      <w:pPr>
        <w:pStyle w:val="18"/>
      </w:pPr>
      <w:r>
        <w:t>（六）组织拟订全市事业单位管理体制和机构改革方案。落实各类事业单位人员编制标准，组织拟订全市各类事业单位机构编制管理办法，负责推进事业单位机构编制标准体系建设；审核或审批市委、市政府直属事业单位和市直部门所属事业单位的机构编制事宜；指导市直各部门、乡（镇）办事处事业单位管理体制改革和机构编制管理工作；负责全市党政群机关统一社会信用代码赋码管理工作，负责全市事业单位法人登记的监督检查工作。</w:t>
      </w:r>
    </w:p>
    <w:p>
      <w:pPr>
        <w:pStyle w:val="18"/>
      </w:pPr>
      <w:r>
        <w:t>（七）指导开发区（园区）行政管理体制改革工作，组织拟订市级以上开发区（园区）机构编制管理办法并组织实施，审核开发区（园区）职能配置、机构设置、人员编制和领导职数。</w:t>
      </w:r>
    </w:p>
    <w:p>
      <w:pPr>
        <w:pStyle w:val="18"/>
      </w:pPr>
      <w:r>
        <w:t>（八）负责对全市机构编制的总量控制和动态管理。会同有关部门负责机构编制实名制工作；负责市直机关事业单位编制使用核准；建立健全机构编制部门与有关部门间的协调配合约束机制。</w:t>
      </w:r>
    </w:p>
    <w:p>
      <w:pPr>
        <w:pStyle w:val="18"/>
      </w:pPr>
      <w:r>
        <w:t>（九）负责对各级行政、事业单位管理体制和机构改革及机构编制执行情况的跟踪评估和监督检查。负责受理违反机构编制法规、纪律的检举、控告和投诉，对违反机构编制法规、纪律问题进行调查处理。</w:t>
      </w:r>
    </w:p>
    <w:p>
      <w:pPr>
        <w:pStyle w:val="18"/>
      </w:pPr>
      <w:r>
        <w:t>（十）负责全市机构编制电子政务和信息化工作。负责全市机构编制统计工作；负责机构编制网站的建设管理以及网络安全工作；指导全市党政群机关、事业单位和其他非营利性单位网上名称管理工作。</w:t>
      </w:r>
    </w:p>
    <w:p>
      <w:pPr>
        <w:pStyle w:val="18"/>
      </w:pPr>
      <w:r>
        <w:t>（十一）组织开展行政管理体制改革及机构编制管理创新基础性和前瞻性研究。</w:t>
      </w:r>
    </w:p>
    <w:p>
      <w:pPr>
        <w:pStyle w:val="18"/>
      </w:pPr>
      <w:r>
        <w:t>（十二）完成市委和市委机构编制委员会交办的其他任务。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中共沙河市委机构编制委员会办公室本级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按照预算管理有关规定，目前部门预算的编制实行综合预算管理，即全部收入和支出都反映在预算中。中共沙河市委机构编制委员会办公室机关及所属事业单位的收支包含在部门预算中。</w:t>
      </w:r>
    </w:p>
    <w:p>
      <w:pPr>
        <w:pStyle w:val="19"/>
      </w:pPr>
      <w:r>
        <w:t>1、收入说明</w:t>
      </w:r>
    </w:p>
    <w:p>
      <w:pPr>
        <w:pStyle w:val="19"/>
      </w:pPr>
      <w:r>
        <w:t>反映本部门当年全部收入。2025年预算收入195.75万元，其中：一般公共预算收入195.75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沙河市委机构编制委员会办公室年度部门预算中支出预算的总体情况。2025年支出预算195.75万元，其中基本支出192.75万元，包括人员经费178.51万元和日常公用经费14.24万元；项目支出3.00万元，主要为</w:t>
      </w:r>
      <w:bookmarkStart w:id="20" w:name="_GoBack"/>
      <w:bookmarkEnd w:id="20"/>
      <w:r>
        <w:t>履职事项清单及日常改革任务提供经费保障。</w:t>
      </w:r>
    </w:p>
    <w:p>
      <w:pPr>
        <w:pStyle w:val="19"/>
      </w:pPr>
      <w:r>
        <w:t>3、比上年增减情况</w:t>
      </w:r>
    </w:p>
    <w:p>
      <w:pPr>
        <w:pStyle w:val="19"/>
      </w:pPr>
      <w:r>
        <w:t>2025年预算收支安排195.75万元，较2024年预算增加2.61万元，其中：基本支出增加1.61万元，主要为工资调整及社保缴费增加。项目支出增加1.00万元，主要为履职事项清单提供经费保障。</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2025年，我部门机关运行经费共计安排14.24万元，主要用于日常维修、办公用房水电费、办公用房取暖费、办公用房物业管理费等日常运行支出。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0</w:t>
      </w:r>
      <w:r>
        <w:t>万元，其中因公出国（境）费0.00万元；公务用车购置及运维费</w:t>
      </w:r>
      <w:r>
        <w:rPr>
          <w:rFonts w:hint="eastAsia"/>
          <w:lang w:val="en-US" w:eastAsia="zh-CN"/>
        </w:rPr>
        <w:t>0</w:t>
      </w:r>
      <w:r>
        <w:t>万元（其中：公务用车购置费为</w:t>
      </w:r>
      <w:r>
        <w:rPr>
          <w:rFonts w:hint="eastAsia"/>
          <w:lang w:val="en-US" w:eastAsia="zh-CN"/>
        </w:rPr>
        <w:t>0</w:t>
      </w:r>
      <w:r>
        <w:t>万元，公务用车运维费</w:t>
      </w:r>
      <w:r>
        <w:rPr>
          <w:rFonts w:hint="eastAsia"/>
          <w:lang w:val="en-US" w:eastAsia="zh-CN"/>
        </w:rPr>
        <w:t>0</w:t>
      </w:r>
      <w:r>
        <w:t>万元)；公务接待费</w:t>
      </w:r>
      <w:r>
        <w:rPr>
          <w:rFonts w:hint="eastAsia"/>
          <w:lang w:val="en-US" w:eastAsia="zh-CN"/>
        </w:rPr>
        <w:t>0</w:t>
      </w:r>
      <w:r>
        <w:t>万元。与2024年相比增加</w:t>
      </w:r>
      <w:r>
        <w:rPr>
          <w:rFonts w:hint="eastAsia"/>
          <w:lang w:val="en-US" w:eastAsia="zh-CN"/>
        </w:rPr>
        <w:t>0</w:t>
      </w:r>
      <w:r>
        <w:t>万元，与上年持平。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w:t>
      </w:r>
      <w:r>
        <w:rPr>
          <w:rFonts w:hint="eastAsia"/>
          <w:lang w:val="en-US" w:eastAsia="zh-CN"/>
        </w:rPr>
        <w:t>5</w:t>
      </w:r>
      <w:r>
        <w:t>年部门总体绩效目标为：进一步推进党政群机构改革，按照上级安排部署、组建精干高效的政府体系；继续深化事业单位分类改革，推进政事分开、事企分开、管办分离；进一步加强机构编制管理，增强机构编制管理的有效性和权威性。扎实做好全市控编减编工作，严格控制编制总量和人员增长，积极做好迎接上级部门对我市控编减编工作的抽查工作；做好机构编制统计分析和实名制平台日常管理工作，加强网上名称管理，加大中文域名、机构编制云平台等应用的推广力度。提升编制实名制管理平台水平，保证机构编制信息的时效性与真实性；不断改善事业单位登记管理工作，优化服务方式；进一步加强自身建设，为做好全年工作提供有力保障。突出党的政治建设，着力抓好机关党的建设，不断加强干部队伍建设，全力提升机关运行管理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（一）行政、事业管理体制改革</w:t>
      </w:r>
    </w:p>
    <w:p>
      <w:pPr>
        <w:pStyle w:val="23"/>
      </w:pPr>
      <w:r>
        <w:t>行政单位管理体制和机构改革绩效目标：拟定市委、市政府机构改革方案；审核管理市委、市政府各部门职能配置、机构设置、人员编制和领导职数；审核各乡镇政府行政管理体制和机构改革方案；审核管理全市各级各类人员编制总额；协调各乡镇、功能园区体制改革和机构改革以及机构编制管理工作。</w:t>
      </w:r>
    </w:p>
    <w:p>
      <w:pPr>
        <w:pStyle w:val="23"/>
      </w:pPr>
      <w:r>
        <w:t>事业单位管理体制和机构改革绩效目标：做好事业单位分类工作；做好各部门所属事业单位分类改革工作；规范事业单位台账管理，扎实推进事业单位法人治理结构试点工作。</w:t>
      </w:r>
    </w:p>
    <w:p>
      <w:pPr>
        <w:pStyle w:val="23"/>
      </w:pPr>
      <w:r>
        <w:t>绩效指标：机构改革完成率超过90%、群众满意度超过90%。</w:t>
      </w:r>
    </w:p>
    <w:p>
      <w:pPr>
        <w:pStyle w:val="23"/>
      </w:pPr>
      <w:r>
        <w:t>（二）机构编制管理</w:t>
      </w:r>
    </w:p>
    <w:p>
      <w:pPr>
        <w:pStyle w:val="23"/>
      </w:pPr>
      <w:r>
        <w:t>绩效目标：审核或审批市委、市政府，人大、政协、法院、检察院机关，人民团体机关的机构编制管理事宜；负责全市事业单位法人登记管理和监督检查工作。</w:t>
      </w:r>
    </w:p>
    <w:p>
      <w:pPr>
        <w:pStyle w:val="23"/>
      </w:pPr>
      <w:r>
        <w:t>绩效指标：机构编制重点工作完成率超过90%，全市编制控制率不超过110%，群众满意度超过90%。</w:t>
      </w:r>
    </w:p>
    <w:p>
      <w:pPr>
        <w:pStyle w:val="23"/>
      </w:pPr>
      <w:r>
        <w:t>（三）编办事务管理</w:t>
      </w:r>
    </w:p>
    <w:p>
      <w:pPr>
        <w:pStyle w:val="23"/>
      </w:pPr>
      <w:r>
        <w:t>绩效目标：负责机关人事、劳资、行政后勤、财务和资产管理工作，保障各项综合事务顺利完成。</w:t>
      </w:r>
    </w:p>
    <w:p>
      <w:pPr>
        <w:pStyle w:val="23"/>
      </w:pPr>
      <w:r>
        <w:t>绩效指标：人员出勤率不少于90%，编制控制率不超过100%，工资发放人数不少于1</w:t>
      </w:r>
      <w:r>
        <w:rPr>
          <w:rFonts w:hint="eastAsia"/>
          <w:lang w:val="en-US" w:eastAsia="zh-CN"/>
        </w:rPr>
        <w:t>5</w:t>
      </w:r>
      <w:r>
        <w:t>人，保险缴纳时限不超过1个月。</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（一）加强组织领导，完善工作机制</w:t>
      </w:r>
    </w:p>
    <w:p>
      <w:pPr>
        <w:pStyle w:val="24"/>
      </w:pPr>
      <w:r>
        <w:t>年度预算绩效工作由主要领导人负责。综合股负责制定完善机关预算绩效管理制度、资金管理办法、工作保障制度等机制。机关其他处级领导，要加强分管科室预算和资金支出等工作的调度指导，督促抓好执行落实，确保工作有序开展。机关各科室要围绕任务目标，认真负责，分工协作、密切配合，高质高效地完成好承担的预算和支出事项。</w:t>
      </w:r>
    </w:p>
    <w:p>
      <w:pPr>
        <w:pStyle w:val="24"/>
      </w:pPr>
      <w:r>
        <w:t>（二）强化预算执行，严格支出管理</w:t>
      </w:r>
    </w:p>
    <w:p>
      <w:pPr>
        <w:pStyle w:val="24"/>
      </w:pPr>
      <w:r>
        <w:t>强化财政预算执行，在保障机关工作正常运转的前提下，要厉行节约，坚决杜绝铺张浪费。严格做到专款专用、事财相符，做到支出事项合理，程序合法，进度合规。进一步优化预算支出结构，创新财政资金支出思路，合理改进支出方式，确保按照时间节点完成支出任务。</w:t>
      </w:r>
    </w:p>
    <w:p>
      <w:pPr>
        <w:pStyle w:val="24"/>
      </w:pPr>
      <w:r>
        <w:t>（三）聚焦重点工作，抓好创新管理</w:t>
      </w:r>
    </w:p>
    <w:p>
      <w:pPr>
        <w:pStyle w:val="24"/>
      </w:pPr>
      <w:r>
        <w:t>各科室要强化大数据理念，充分利用信息化手段和创新思维，做好机构改革和机构编制各项业务，动态管理机构编制，充分发挥机构编制的有效性。</w:t>
      </w:r>
    </w:p>
    <w:p>
      <w:pPr>
        <w:pStyle w:val="24"/>
      </w:pPr>
      <w:r>
        <w:t>（四）健全评价机制，狠抓工作落实</w:t>
      </w:r>
    </w:p>
    <w:p>
      <w:pPr>
        <w:pStyle w:val="24"/>
      </w:pPr>
      <w:r>
        <w:t>制定科学评价办法，对年度预算绩效开展全方位评价，及时发现工作中存在的问题，研究解决对策，及时整改，调整优化支出结构，提高财政资金使用效益。各科室负责科学制定分管项目和内容的中期、终期绩效目标和评价指标，动态收集评估数据信息，开展预算绩效中期评估、终期评价，落实整改措施等。</w:t>
      </w:r>
    </w:p>
    <w:p>
      <w:pPr>
        <w:pStyle w:val="24"/>
      </w:pPr>
      <w:r>
        <w:t>（五）规范财务管理,严格审批程序</w:t>
      </w:r>
    </w:p>
    <w:p>
      <w:pPr>
        <w:pStyle w:val="24"/>
      </w:pPr>
      <w:r>
        <w:t>要完善财务管理制度，加强固定资产登记、使用和报废处置管理，定期对固定资产进行盘点登记，严格审批程序，做到支出合理，物尽其用。</w:t>
      </w:r>
    </w:p>
    <w:p>
      <w:pPr>
        <w:pStyle w:val="24"/>
      </w:pPr>
      <w:r>
        <w:t>（六）加强内部监督，确保资金安全</w:t>
      </w:r>
    </w:p>
    <w:p>
      <w:pPr>
        <w:pStyle w:val="24"/>
      </w:pPr>
      <w:r>
        <w:t>综合股负责对绩效运行情况、重大支出决策、资产处置及其他重要事项的决策和执行进行督导，对会计资料进行内部审计，并配合做好审计、财政监督等外部监督工作，确保财政资金安全有效。</w:t>
      </w:r>
    </w:p>
    <w:p>
      <w:pPr>
        <w:pStyle w:val="24"/>
      </w:pPr>
      <w:r>
        <w:t>（七）强化业务培训，加大宣传力度</w:t>
      </w:r>
    </w:p>
    <w:p>
      <w:pPr>
        <w:pStyle w:val="24"/>
        <w:sectPr>
          <w:pgSz w:w="16840" w:h="11900" w:orient="landscape"/>
          <w:pgMar w:top="1361" w:right="1020" w:bottom="1361" w:left="1020" w:header="720" w:footer="720" w:gutter="0"/>
          <w:cols w:space="720" w:num="1"/>
        </w:sectPr>
      </w:pPr>
      <w:r>
        <w:t>综合股负责制定培训计划，加大对财务人员业务能力培训工作力度，每季度培训一次，使财务人员熟悉工作流程，掌握工作方法，提升工作能力。同时，加强宣传，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1、编办工作经费绩效目标表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13058225P00001010053H</w:t>
            </w:r>
          </w:p>
        </w:tc>
        <w:tc>
          <w:tcPr>
            <w:tcW w:w="2835" w:type="dxa"/>
            <w:vAlign w:val="center"/>
          </w:tcPr>
          <w:p>
            <w:pPr>
              <w:pStyle w:val="11"/>
            </w:pPr>
            <w:r>
              <w:t>项目名称</w:t>
            </w:r>
          </w:p>
        </w:tc>
        <w:tc>
          <w:tcPr>
            <w:tcW w:w="6095" w:type="dxa"/>
            <w:gridSpan w:val="3"/>
            <w:vAlign w:val="center"/>
          </w:tcPr>
          <w:p>
            <w:pPr>
              <w:pStyle w:val="13"/>
            </w:pPr>
            <w:r>
              <w:t>编办工作经费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1.编办机关正常运转，相关工作按时完成</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职工人数</w:t>
            </w:r>
          </w:p>
        </w:tc>
        <w:tc>
          <w:tcPr>
            <w:tcW w:w="5386" w:type="dxa"/>
            <w:vAlign w:val="center"/>
          </w:tcPr>
          <w:p>
            <w:pPr>
              <w:pStyle w:val="13"/>
            </w:pPr>
            <w:r>
              <w:t>职工人数</w:t>
            </w:r>
          </w:p>
        </w:tc>
        <w:tc>
          <w:tcPr>
            <w:tcW w:w="2268" w:type="dxa"/>
            <w:vAlign w:val="center"/>
          </w:tcPr>
          <w:p>
            <w:pPr>
              <w:pStyle w:val="13"/>
            </w:pPr>
            <w:r>
              <w:t>≥15人</w:t>
            </w:r>
          </w:p>
        </w:tc>
        <w:tc>
          <w:tcPr>
            <w:tcW w:w="1276" w:type="dxa"/>
            <w:vAlign w:val="center"/>
          </w:tcPr>
          <w:p>
            <w:pPr>
              <w:pStyle w:val="13"/>
            </w:pPr>
            <w:r>
              <w:t>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职工出勤率</w:t>
            </w:r>
          </w:p>
        </w:tc>
        <w:tc>
          <w:tcPr>
            <w:tcW w:w="5386" w:type="dxa"/>
            <w:vAlign w:val="center"/>
          </w:tcPr>
          <w:p>
            <w:pPr>
              <w:pStyle w:val="13"/>
            </w:pPr>
            <w:r>
              <w:t>职工出勤率</w:t>
            </w:r>
          </w:p>
        </w:tc>
        <w:tc>
          <w:tcPr>
            <w:tcW w:w="2268" w:type="dxa"/>
            <w:vAlign w:val="center"/>
          </w:tcPr>
          <w:p>
            <w:pPr>
              <w:pStyle w:val="13"/>
            </w:pPr>
            <w:r>
              <w:t>≥90百分比</w:t>
            </w:r>
          </w:p>
        </w:tc>
        <w:tc>
          <w:tcPr>
            <w:tcW w:w="1276" w:type="dxa"/>
            <w:vAlign w:val="center"/>
          </w:tcPr>
          <w:p>
            <w:pPr>
              <w:pStyle w:val="13"/>
            </w:pPr>
            <w:r>
              <w:t>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年度重点工作计划完成及时率</w:t>
            </w:r>
          </w:p>
        </w:tc>
        <w:tc>
          <w:tcPr>
            <w:tcW w:w="5386" w:type="dxa"/>
            <w:vAlign w:val="center"/>
          </w:tcPr>
          <w:p>
            <w:pPr>
              <w:pStyle w:val="13"/>
            </w:pPr>
            <w:r>
              <w:t>年度重点工作计划完成及时率</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经费支出占预算支出百分比</w:t>
            </w:r>
          </w:p>
        </w:tc>
        <w:tc>
          <w:tcPr>
            <w:tcW w:w="5386" w:type="dxa"/>
            <w:vAlign w:val="center"/>
          </w:tcPr>
          <w:p>
            <w:pPr>
              <w:pStyle w:val="13"/>
            </w:pPr>
            <w:r>
              <w:t>经费支出占预算支出百分比</w:t>
            </w:r>
          </w:p>
        </w:tc>
        <w:tc>
          <w:tcPr>
            <w:tcW w:w="2268" w:type="dxa"/>
            <w:vAlign w:val="center"/>
          </w:tcPr>
          <w:p>
            <w:pPr>
              <w:pStyle w:val="13"/>
            </w:pPr>
            <w:r>
              <w:t>≥90百分比</w:t>
            </w:r>
          </w:p>
        </w:tc>
        <w:tc>
          <w:tcPr>
            <w:tcW w:w="1276" w:type="dxa"/>
            <w:vAlign w:val="center"/>
          </w:tcPr>
          <w:p>
            <w:pPr>
              <w:pStyle w:val="13"/>
            </w:pPr>
            <w:r>
              <w:t>预算文件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重点工作完成率</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年度工作计划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2、履职清单保障经费绩效目标表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13058225P000010100545</w:t>
            </w:r>
          </w:p>
        </w:tc>
        <w:tc>
          <w:tcPr>
            <w:tcW w:w="2835" w:type="dxa"/>
            <w:vAlign w:val="center"/>
          </w:tcPr>
          <w:p>
            <w:pPr>
              <w:pStyle w:val="11"/>
            </w:pPr>
            <w:r>
              <w:t>项目名称</w:t>
            </w:r>
          </w:p>
        </w:tc>
        <w:tc>
          <w:tcPr>
            <w:tcW w:w="6095" w:type="dxa"/>
            <w:gridSpan w:val="3"/>
            <w:vAlign w:val="center"/>
          </w:tcPr>
          <w:p>
            <w:pPr>
              <w:pStyle w:val="13"/>
            </w:pPr>
            <w:r>
              <w:t>履职清单保障经费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履职清单保障经费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1.全面建立乡镇（街道）履行职责事项清单。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完成职责清单乡镇数量</w:t>
            </w:r>
          </w:p>
        </w:tc>
        <w:tc>
          <w:tcPr>
            <w:tcW w:w="5386" w:type="dxa"/>
            <w:vAlign w:val="center"/>
          </w:tcPr>
          <w:p>
            <w:pPr>
              <w:pStyle w:val="13"/>
            </w:pPr>
            <w:r>
              <w:t>完成职责清单乡镇数量</w:t>
            </w:r>
          </w:p>
        </w:tc>
        <w:tc>
          <w:tcPr>
            <w:tcW w:w="2268" w:type="dxa"/>
            <w:vAlign w:val="center"/>
          </w:tcPr>
          <w:p>
            <w:pPr>
              <w:pStyle w:val="13"/>
            </w:pPr>
            <w:r>
              <w:t>≥13个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职责清单事项完成率</w:t>
            </w:r>
          </w:p>
        </w:tc>
        <w:tc>
          <w:tcPr>
            <w:tcW w:w="5386" w:type="dxa"/>
            <w:vAlign w:val="center"/>
          </w:tcPr>
          <w:p>
            <w:pPr>
              <w:pStyle w:val="13"/>
            </w:pPr>
            <w:r>
              <w:t>职责清单事项完成</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经费成本</w:t>
            </w:r>
          </w:p>
        </w:tc>
        <w:tc>
          <w:tcPr>
            <w:tcW w:w="5386" w:type="dxa"/>
            <w:vAlign w:val="center"/>
          </w:tcPr>
          <w:p>
            <w:pPr>
              <w:pStyle w:val="13"/>
            </w:pPr>
            <w:r>
              <w:t>人均公用经费成本</w:t>
            </w:r>
          </w:p>
        </w:tc>
        <w:tc>
          <w:tcPr>
            <w:tcW w:w="2268" w:type="dxa"/>
            <w:vAlign w:val="center"/>
          </w:tcPr>
          <w:p>
            <w:pPr>
              <w:pStyle w:val="13"/>
            </w:pPr>
            <w:r>
              <w:t>≤10000元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125中共沙河市委机构编制委员会办公室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中共沙河市委机构编制委员会办公室（含所属单位）上年末固定资产金额为26.97万元（详见下表）。本年度拟购置固定资产总额为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125中共沙河市委机构编制委员会办公室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139</w:t>
            </w:r>
          </w:p>
        </w:tc>
        <w:tc>
          <w:tcPr>
            <w:tcW w:w="2835" w:type="dxa"/>
            <w:vAlign w:val="center"/>
          </w:tcPr>
          <w:p>
            <w:pPr>
              <w:pStyle w:val="12"/>
            </w:pPr>
            <w:r>
              <w:t>26.97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931DB"/>
    <w:multiLevelType w:val="singleLevel"/>
    <w:tmpl w:val="8E7931D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IzMTZhMzkxMjNlZDE3MjljZjc4ZWQ4YWE4NjBmZDMifQ=="/>
  </w:docVars>
  <w:rsids>
    <w:rsidRoot w:val="00000000"/>
    <w:rsid w:val="362D20F6"/>
    <w:rsid w:val="57F37007"/>
    <w:rsid w:val="6AAB189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TotalTime>12</TotalTime>
  <ScaleCrop>false</ScaleCrop>
  <LinksUpToDate>false</LinksUpToDate>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2025-02-17T09:08:00Z</dcterms:created>
  <dc:creator>Administrator</dc:creator>
  <cp:lastModifiedBy>卡拉han</cp:lastModifiedBy>
  <dcterms:modified xsi:type="dcterms:W3CDTF">2025-02-17T01:35:23Z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ED1BDBA342F84E09A4B585F6B5AC3A1A_12</vt:lpwstr>
  </property>
</Properties>
</file>