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64A3F">
      <w:pPr>
        <w:spacing w:line="400" w:lineRule="auto"/>
        <w:jc w:val="left"/>
        <w:rPr>
          <w:rFonts w:ascii="仿宋" w:hAnsi="仿宋" w:eastAsia="仿宋" w:cs="仿宋"/>
          <w:sz w:val="32"/>
          <w:shd w:val="clear" w:color="auto" w:fill="FFFFFF"/>
        </w:rPr>
      </w:pPr>
      <w:bookmarkStart w:id="6" w:name="_GoBack"/>
      <w:bookmarkEnd w:id="6"/>
    </w:p>
    <w:p w14:paraId="52205387">
      <w:pPr>
        <w:spacing w:line="480" w:lineRule="auto"/>
        <w:jc w:val="left"/>
        <w:rPr>
          <w:rFonts w:ascii="宋体" w:cs="宋体"/>
          <w:b/>
          <w:color w:val="000000"/>
          <w:sz w:val="44"/>
          <w:shd w:val="clear" w:color="auto" w:fill="FFFFFF"/>
        </w:rPr>
      </w:pPr>
      <w:r>
        <w:rPr>
          <w:rFonts w:hint="eastAsia" w:ascii="仿宋" w:hAnsi="仿宋" w:eastAsia="仿宋" w:cs="仿宋"/>
          <w:sz w:val="32"/>
          <w:shd w:val="clear" w:color="auto" w:fill="FFFFFF"/>
        </w:rPr>
        <w:t>附件</w:t>
      </w:r>
      <w:r>
        <w:rPr>
          <w:rFonts w:ascii="仿宋" w:hAnsi="仿宋" w:eastAsia="仿宋" w:cs="仿宋"/>
          <w:sz w:val="32"/>
          <w:shd w:val="clear" w:color="auto" w:fill="FFFFFF"/>
        </w:rPr>
        <w:t>1</w:t>
      </w:r>
      <w:r>
        <w:rPr>
          <w:rFonts w:hint="eastAsia" w:ascii="仿宋" w:hAnsi="仿宋" w:eastAsia="仿宋" w:cs="仿宋"/>
          <w:sz w:val="32"/>
          <w:shd w:val="clear" w:color="auto" w:fill="FFFFFF"/>
        </w:rPr>
        <w:t>：</w:t>
      </w:r>
    </w:p>
    <w:p w14:paraId="47A80B71">
      <w:pPr>
        <w:spacing w:line="480" w:lineRule="auto"/>
        <w:jc w:val="center"/>
        <w:rPr>
          <w:rFonts w:ascii="仿宋" w:hAnsi="仿宋" w:eastAsia="仿宋" w:cs="仿宋"/>
          <w:sz w:val="32"/>
        </w:rPr>
      </w:pPr>
      <w:r>
        <w:rPr>
          <w:rFonts w:hint="eastAsia" w:ascii="宋体" w:hAnsi="宋体" w:cs="宋体"/>
          <w:b/>
          <w:sz w:val="44"/>
        </w:rPr>
        <w:t>部门整体支出绩效评价</w:t>
      </w:r>
      <w:r>
        <w:rPr>
          <w:rFonts w:hint="eastAsia" w:ascii="宋体" w:hAnsi="宋体" w:cs="宋体"/>
          <w:b/>
          <w:color w:val="000000"/>
          <w:sz w:val="44"/>
          <w:shd w:val="clear" w:color="auto" w:fill="FFFFFF"/>
        </w:rPr>
        <w:t>指标体系评分表</w:t>
      </w:r>
    </w:p>
    <w:tbl>
      <w:tblPr>
        <w:tblStyle w:val="4"/>
        <w:tblW w:w="0" w:type="auto"/>
        <w:tblInd w:w="-8" w:type="dxa"/>
        <w:tblLayout w:type="autofit"/>
        <w:tblCellMar>
          <w:top w:w="0" w:type="dxa"/>
          <w:left w:w="10" w:type="dxa"/>
          <w:bottom w:w="0" w:type="dxa"/>
          <w:right w:w="10" w:type="dxa"/>
        </w:tblCellMar>
      </w:tblPr>
      <w:tblGrid>
        <w:gridCol w:w="846"/>
        <w:gridCol w:w="846"/>
        <w:gridCol w:w="1164"/>
        <w:gridCol w:w="2902"/>
        <w:gridCol w:w="2087"/>
        <w:gridCol w:w="685"/>
      </w:tblGrid>
      <w:tr w14:paraId="5807B8D3">
        <w:tblPrEx>
          <w:tblCellMar>
            <w:top w:w="0" w:type="dxa"/>
            <w:left w:w="10" w:type="dxa"/>
            <w:bottom w:w="0" w:type="dxa"/>
            <w:right w:w="10"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C679E9">
            <w:pPr>
              <w:jc w:val="center"/>
              <w:rPr>
                <w:rFonts w:ascii="宋体" w:cs="宋体"/>
              </w:rPr>
            </w:pPr>
            <w:r>
              <w:rPr>
                <w:rFonts w:hint="eastAsia" w:ascii="宋体" w:hAnsi="宋体" w:cs="宋体"/>
                <w:b/>
                <w:sz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A86DE2">
            <w:pPr>
              <w:jc w:val="center"/>
              <w:rPr>
                <w:rFonts w:ascii="宋体" w:cs="宋体"/>
              </w:rPr>
            </w:pPr>
            <w:r>
              <w:rPr>
                <w:rFonts w:hint="eastAsia" w:ascii="宋体" w:hAnsi="宋体" w:cs="宋体"/>
                <w:b/>
                <w:sz w:val="24"/>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E4DB8A">
            <w:pPr>
              <w:jc w:val="center"/>
              <w:rPr>
                <w:rFonts w:ascii="宋体" w:cs="宋体"/>
              </w:rPr>
            </w:pPr>
            <w:r>
              <w:rPr>
                <w:rFonts w:hint="eastAsia" w:ascii="宋体" w:hAnsi="宋体" w:cs="宋体"/>
                <w:b/>
                <w:sz w:val="24"/>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FD819">
            <w:pPr>
              <w:jc w:val="center"/>
              <w:rPr>
                <w:rFonts w:ascii="宋体" w:cs="宋体"/>
              </w:rPr>
            </w:pPr>
            <w:r>
              <w:rPr>
                <w:rFonts w:hint="eastAsia" w:ascii="宋体" w:hAnsi="宋体" w:cs="宋体"/>
                <w:b/>
                <w:sz w:val="24"/>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5E633">
            <w:pPr>
              <w:jc w:val="left"/>
              <w:rPr>
                <w:rFonts w:ascii="宋体" w:cs="宋体"/>
              </w:rPr>
            </w:pPr>
            <w:r>
              <w:rPr>
                <w:rFonts w:hint="eastAsia" w:ascii="宋体" w:hAnsi="宋体" w:cs="宋体"/>
                <w:b/>
                <w:sz w:val="24"/>
              </w:rPr>
              <w:t>得分</w:t>
            </w:r>
          </w:p>
        </w:tc>
      </w:tr>
      <w:tr w14:paraId="7DB4E9E7">
        <w:tblPrEx>
          <w:tblCellMar>
            <w:top w:w="0" w:type="dxa"/>
            <w:left w:w="10" w:type="dxa"/>
            <w:bottom w:w="0" w:type="dxa"/>
            <w:right w:w="10"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3181E8">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7F85F0">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0D8331">
            <w:pPr>
              <w:jc w:val="center"/>
              <w:rPr>
                <w:rFonts w:ascii="宋体" w:cs="宋体"/>
              </w:rPr>
            </w:pPr>
            <w:r>
              <w:rPr>
                <w:rFonts w:hint="eastAsia" w:ascii="宋体" w:hAnsi="宋体" w:cs="宋体"/>
                <w:b/>
                <w:sz w:val="24"/>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EFCBF6">
            <w:pPr>
              <w:jc w:val="center"/>
              <w:rPr>
                <w:rFonts w:ascii="宋体" w:cs="宋体"/>
              </w:rPr>
            </w:pPr>
            <w:r>
              <w:rPr>
                <w:rFonts w:hint="eastAsia" w:ascii="宋体" w:hAnsi="宋体" w:cs="宋体"/>
                <w:b/>
                <w:sz w:val="24"/>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F0991E">
            <w:pPr>
              <w:spacing w:line="400" w:lineRule="auto"/>
              <w:jc w:val="left"/>
              <w:rPr>
                <w:rFonts w:ascii="宋体" w:cs="宋体"/>
                <w:sz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0AC73F">
            <w:pPr>
              <w:spacing w:line="400" w:lineRule="auto"/>
              <w:jc w:val="left"/>
              <w:rPr>
                <w:rFonts w:ascii="宋体" w:cs="宋体"/>
                <w:sz w:val="22"/>
              </w:rPr>
            </w:pPr>
          </w:p>
        </w:tc>
      </w:tr>
      <w:tr w14:paraId="2CEE090E">
        <w:tblPrEx>
          <w:tblCellMar>
            <w:top w:w="0" w:type="dxa"/>
            <w:left w:w="10" w:type="dxa"/>
            <w:bottom w:w="0" w:type="dxa"/>
            <w:right w:w="10"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1CAB48">
            <w:pPr>
              <w:jc w:val="left"/>
            </w:pPr>
            <w:r>
              <w:rPr>
                <w:rFonts w:hint="eastAsia" w:ascii="宋体" w:hAnsi="宋体" w:cs="宋体"/>
              </w:rPr>
              <w:t>投入（</w:t>
            </w:r>
            <w:r>
              <w:rPr>
                <w:rFonts w:ascii="仿宋_GB2312" w:hAnsi="仿宋_GB2312" w:eastAsia="仿宋_GB2312" w:cs="仿宋_GB2312"/>
              </w:rPr>
              <w:t>10</w:t>
            </w:r>
            <w:r>
              <w:rPr>
                <w:rFonts w:hint="eastAsia" w:ascii="宋体" w:hAnsi="宋体" w:cs="宋体"/>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E80990">
            <w:pPr>
              <w:jc w:val="left"/>
              <w:rPr>
                <w:rFonts w:eastAsia="Times New Roman" w:cs="Calibri"/>
              </w:rPr>
            </w:pPr>
            <w:r>
              <w:rPr>
                <w:rFonts w:hint="eastAsia" w:ascii="宋体" w:hAnsi="宋体" w:cs="宋体"/>
              </w:rPr>
              <w:t>绩效目标设定情况</w:t>
            </w:r>
          </w:p>
          <w:p w14:paraId="274B2979">
            <w:pPr>
              <w:jc w:val="left"/>
            </w:pPr>
            <w:r>
              <w:rPr>
                <w:rFonts w:hint="eastAsia" w:ascii="宋体" w:hAnsi="宋体" w:cs="宋体"/>
              </w:rPr>
              <w:t>（</w:t>
            </w:r>
            <w:r>
              <w:rPr>
                <w:rFonts w:ascii="仿宋_GB2312" w:hAnsi="仿宋_GB2312" w:eastAsia="仿宋_GB2312" w:cs="仿宋_GB2312"/>
              </w:rPr>
              <w:t>5</w:t>
            </w:r>
            <w:r>
              <w:rPr>
                <w:rFonts w:hint="eastAsia" w:ascii="宋体" w:hAnsi="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F1CB5">
            <w:pPr>
              <w:jc w:val="left"/>
            </w:pPr>
            <w:r>
              <w:rPr>
                <w:rFonts w:hint="eastAsia" w:ascii="宋体" w:hAnsi="宋体" w:cs="宋体"/>
              </w:rPr>
              <w:t>职责明确</w:t>
            </w:r>
            <w:r>
              <w:rPr>
                <w:rFonts w:ascii="仿宋_GB2312" w:hAnsi="仿宋_GB2312" w:eastAsia="仿宋_GB2312" w:cs="仿宋_GB2312"/>
              </w:rPr>
              <w:t xml:space="preserve"> </w:t>
            </w:r>
            <w:r>
              <w:rPr>
                <w:rFonts w:hint="eastAsia" w:ascii="宋体" w:hAnsi="宋体" w:cs="宋体"/>
              </w:rPr>
              <w:t>（</w:t>
            </w:r>
            <w:r>
              <w:rPr>
                <w:rFonts w:ascii="仿宋_GB2312" w:hAnsi="仿宋_GB2312" w:eastAsia="仿宋_GB2312" w:cs="仿宋_GB2312"/>
              </w:rPr>
              <w:t>1</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AE880A">
            <w:pPr>
              <w:jc w:val="left"/>
              <w:rPr>
                <w:rFonts w:ascii="宋体" w:cs="宋体"/>
              </w:rPr>
            </w:pPr>
            <w:r>
              <w:rPr>
                <w:rFonts w:hint="eastAsia" w:ascii="宋体" w:hAnsi="宋体" w:cs="宋体"/>
              </w:rPr>
              <w:t>部门的职责设定是否符合</w:t>
            </w:r>
            <w:r>
              <w:rPr>
                <w:rFonts w:hint="eastAsia" w:ascii="宋体" w:cs="宋体"/>
              </w:rPr>
              <w:t>“</w:t>
            </w:r>
            <w:r>
              <w:rPr>
                <w:rFonts w:hint="eastAsia" w:ascii="宋体" w:hAnsi="宋体" w:cs="宋体"/>
              </w:rPr>
              <w:t>三定</w:t>
            </w:r>
            <w:r>
              <w:rPr>
                <w:rFonts w:hint="eastAsia" w:ascii="宋体" w:cs="宋体"/>
              </w:rPr>
              <w:t>”</w:t>
            </w:r>
            <w:r>
              <w:rPr>
                <w:rFonts w:hint="eastAsia" w:ascii="宋体" w:hAnsi="宋体" w:cs="宋体"/>
              </w:rPr>
              <w:t>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BBB301">
            <w:pPr>
              <w:jc w:val="left"/>
              <w:rPr>
                <w:rFonts w:eastAsia="Times New Roman" w:cs="Calibri"/>
              </w:rPr>
            </w:pPr>
            <w:r>
              <w:rPr>
                <w:rFonts w:hint="eastAsia" w:ascii="宋体" w:hAnsi="宋体" w:cs="宋体"/>
              </w:rPr>
              <w:t>符合（</w:t>
            </w:r>
            <w:r>
              <w:rPr>
                <w:rFonts w:ascii="仿宋_GB2312" w:hAnsi="仿宋_GB2312" w:eastAsia="仿宋_GB2312" w:cs="仿宋_GB2312"/>
              </w:rPr>
              <w:t>1</w:t>
            </w:r>
            <w:r>
              <w:rPr>
                <w:rFonts w:hint="eastAsia" w:ascii="宋体" w:hAnsi="宋体" w:cs="宋体"/>
              </w:rPr>
              <w:t>）；</w:t>
            </w:r>
          </w:p>
          <w:p w14:paraId="3F7DBECD">
            <w:pPr>
              <w:jc w:val="left"/>
            </w:pPr>
            <w:r>
              <w:rPr>
                <w:rFonts w:hint="eastAsia" w:ascii="宋体" w:hAnsi="宋体" w:cs="宋体"/>
              </w:rPr>
              <w:t>不符合（</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A80D38">
            <w:pPr>
              <w:jc w:val="left"/>
              <w:rPr>
                <w:rFonts w:ascii="宋体" w:cs="宋体"/>
                <w:sz w:val="22"/>
              </w:rPr>
            </w:pPr>
            <w:r>
              <w:rPr>
                <w:rFonts w:ascii="宋体" w:cs="宋体"/>
                <w:sz w:val="22"/>
              </w:rPr>
              <w:t>1</w:t>
            </w:r>
          </w:p>
        </w:tc>
      </w:tr>
      <w:tr w14:paraId="72BD63BC">
        <w:tblPrEx>
          <w:tblCellMar>
            <w:top w:w="0" w:type="dxa"/>
            <w:left w:w="10" w:type="dxa"/>
            <w:bottom w:w="0" w:type="dxa"/>
            <w:right w:w="10"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4E2DF2">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4E8703">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B20F1C">
            <w:pPr>
              <w:jc w:val="left"/>
            </w:pPr>
            <w:r>
              <w:rPr>
                <w:rFonts w:hint="eastAsia" w:ascii="宋体" w:hAnsi="宋体" w:cs="宋体"/>
              </w:rPr>
              <w:t>活动合规性（</w:t>
            </w:r>
            <w:r>
              <w:rPr>
                <w:rFonts w:ascii="仿宋_GB2312" w:hAnsi="仿宋_GB2312" w:eastAsia="仿宋_GB2312" w:cs="仿宋_GB2312"/>
              </w:rPr>
              <w:t>2</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4E78D1">
            <w:pPr>
              <w:jc w:val="left"/>
              <w:rPr>
                <w:rFonts w:eastAsia="Times New Roman" w:cs="Calibri"/>
              </w:rPr>
            </w:pPr>
            <w:r>
              <w:rPr>
                <w:rFonts w:hint="eastAsia" w:ascii="宋体" w:hAnsi="宋体" w:cs="宋体"/>
              </w:rPr>
              <w:t>部门的活动是否在职责范围之内并符合部门中长期规划，用以反映和评价部门活动目标与部门履职、年度工作任务的相符性情况。</w:t>
            </w:r>
          </w:p>
          <w:p w14:paraId="355CE082">
            <w:pPr>
              <w:jc w:val="left"/>
              <w:rPr>
                <w:rFonts w:eastAsia="Times New Roman" w:cs="Calibri"/>
              </w:rPr>
            </w:pPr>
            <w:r>
              <w:rPr>
                <w:rFonts w:hint="eastAsia" w:ascii="宋体" w:hAnsi="宋体" w:cs="宋体"/>
              </w:rPr>
              <w:t>评价要点：</w:t>
            </w:r>
          </w:p>
          <w:p w14:paraId="31D0829B">
            <w:pPr>
              <w:jc w:val="left"/>
              <w:rPr>
                <w:rFonts w:eastAsia="Times New Roman" w:cs="Calibri"/>
              </w:rPr>
            </w:pPr>
            <w:r>
              <w:rPr>
                <w:rFonts w:ascii="仿宋_GB2312" w:hAnsi="仿宋_GB2312" w:eastAsia="仿宋_GB2312" w:cs="仿宋_GB2312"/>
              </w:rPr>
              <w:t>1.</w:t>
            </w:r>
            <w:r>
              <w:rPr>
                <w:rFonts w:hint="eastAsia" w:ascii="宋体" w:hAnsi="宋体" w:cs="宋体"/>
              </w:rPr>
              <w:t>部门活动的设定在部门所确定的职责范围之内；</w:t>
            </w:r>
          </w:p>
          <w:p w14:paraId="19AD5308">
            <w:pPr>
              <w:jc w:val="left"/>
            </w:pPr>
            <w:r>
              <w:rPr>
                <w:rFonts w:ascii="仿宋_GB2312" w:hAnsi="仿宋_GB2312" w:eastAsia="仿宋_GB2312" w:cs="仿宋_GB2312"/>
              </w:rPr>
              <w:t>2.</w:t>
            </w:r>
            <w:r>
              <w:rPr>
                <w:rFonts w:hint="eastAsia" w:ascii="宋体" w:hAnsi="宋体" w:cs="宋体"/>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32155A">
            <w:pPr>
              <w:jc w:val="left"/>
              <w:rPr>
                <w:rFonts w:eastAsia="Times New Roman" w:cs="Calibri"/>
              </w:rPr>
            </w:pPr>
            <w:r>
              <w:rPr>
                <w:rFonts w:hint="eastAsia" w:ascii="宋体" w:hAnsi="宋体" w:cs="宋体"/>
              </w:rPr>
              <w:t>全部符合（</w:t>
            </w:r>
            <w:r>
              <w:rPr>
                <w:rFonts w:ascii="仿宋_GB2312" w:hAnsi="仿宋_GB2312" w:eastAsia="仿宋_GB2312" w:cs="仿宋_GB2312"/>
              </w:rPr>
              <w:t>2</w:t>
            </w:r>
            <w:r>
              <w:rPr>
                <w:rFonts w:hint="eastAsia" w:ascii="宋体" w:hAnsi="宋体" w:cs="宋体"/>
              </w:rPr>
              <w:t>）；</w:t>
            </w:r>
          </w:p>
          <w:p w14:paraId="5169DAA5">
            <w:pPr>
              <w:jc w:val="left"/>
            </w:pPr>
            <w:r>
              <w:rPr>
                <w:rFonts w:hint="eastAsia" w:ascii="宋体" w:hAnsi="宋体" w:cs="宋体"/>
              </w:rPr>
              <w:t>其中一项不符合（</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9D7AF">
            <w:pPr>
              <w:jc w:val="left"/>
              <w:rPr>
                <w:rFonts w:ascii="宋体" w:cs="宋体"/>
                <w:sz w:val="22"/>
              </w:rPr>
            </w:pPr>
            <w:r>
              <w:rPr>
                <w:rFonts w:ascii="宋体" w:cs="宋体"/>
                <w:sz w:val="22"/>
              </w:rPr>
              <w:t>2</w:t>
            </w:r>
          </w:p>
        </w:tc>
      </w:tr>
      <w:tr w14:paraId="50441B33">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3D6D0A">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20FC86">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C58D9B">
            <w:pPr>
              <w:jc w:val="left"/>
            </w:pPr>
            <w:r>
              <w:rPr>
                <w:rFonts w:hint="eastAsia" w:ascii="宋体" w:hAnsi="宋体" w:cs="宋体"/>
              </w:rPr>
              <w:t>活动合理性（</w:t>
            </w:r>
            <w:r>
              <w:rPr>
                <w:rFonts w:ascii="仿宋_GB2312" w:hAnsi="仿宋_GB2312" w:eastAsia="仿宋_GB2312" w:cs="仿宋_GB2312"/>
              </w:rPr>
              <w:t>2</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F1E897">
            <w:pPr>
              <w:jc w:val="left"/>
              <w:rPr>
                <w:rFonts w:eastAsia="Times New Roman" w:cs="Calibri"/>
              </w:rPr>
            </w:pPr>
            <w:r>
              <w:rPr>
                <w:rFonts w:hint="eastAsia" w:ascii="宋体" w:hAnsi="宋体" w:cs="宋体"/>
              </w:rPr>
              <w:t>部门所设立的活动是否明确合理、活动的关键性指标设置是否可衡量，用以反映和评价部门活动目标设定的合理性。</w:t>
            </w:r>
          </w:p>
          <w:p w14:paraId="18235FFE">
            <w:pPr>
              <w:jc w:val="left"/>
              <w:rPr>
                <w:rFonts w:eastAsia="Times New Roman" w:cs="Calibri"/>
              </w:rPr>
            </w:pPr>
            <w:r>
              <w:rPr>
                <w:rFonts w:hint="eastAsia" w:ascii="宋体" w:hAnsi="宋体" w:cs="宋体"/>
              </w:rPr>
              <w:t>评价要点：</w:t>
            </w:r>
          </w:p>
          <w:p w14:paraId="507C9200">
            <w:pPr>
              <w:jc w:val="left"/>
              <w:rPr>
                <w:rFonts w:eastAsia="Times New Roman" w:cs="Calibri"/>
              </w:rPr>
            </w:pPr>
            <w:r>
              <w:rPr>
                <w:rFonts w:ascii="仿宋_GB2312" w:hAnsi="仿宋_GB2312" w:eastAsia="仿宋_GB2312" w:cs="仿宋_GB2312"/>
              </w:rPr>
              <w:t>1.</w:t>
            </w:r>
            <w:r>
              <w:rPr>
                <w:rFonts w:hint="eastAsia" w:ascii="宋体" w:hAnsi="宋体" w:cs="宋体"/>
              </w:rPr>
              <w:t>活动目标的设定是可量化的，可通过清晰、可衡量的关键指标值予以体现；</w:t>
            </w:r>
          </w:p>
          <w:p w14:paraId="41E1EA69">
            <w:pPr>
              <w:jc w:val="left"/>
            </w:pPr>
            <w:r>
              <w:rPr>
                <w:rFonts w:ascii="仿宋_GB2312" w:hAnsi="仿宋_GB2312" w:eastAsia="仿宋_GB2312" w:cs="仿宋_GB2312"/>
              </w:rPr>
              <w:t>2.</w:t>
            </w:r>
            <w:r>
              <w:rPr>
                <w:rFonts w:hint="eastAsia" w:ascii="宋体" w:hAnsi="宋体" w:cs="宋体"/>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1968D2">
            <w:pPr>
              <w:jc w:val="left"/>
              <w:rPr>
                <w:rFonts w:eastAsia="Times New Roman" w:cs="Calibri"/>
              </w:rPr>
            </w:pPr>
            <w:r>
              <w:rPr>
                <w:rFonts w:hint="eastAsia" w:ascii="宋体" w:hAnsi="宋体" w:cs="宋体"/>
              </w:rPr>
              <w:t>全部符合（</w:t>
            </w:r>
            <w:r>
              <w:rPr>
                <w:rFonts w:ascii="仿宋_GB2312" w:hAnsi="仿宋_GB2312" w:eastAsia="仿宋_GB2312" w:cs="仿宋_GB2312"/>
              </w:rPr>
              <w:t>2</w:t>
            </w:r>
            <w:r>
              <w:rPr>
                <w:rFonts w:hint="eastAsia" w:ascii="宋体" w:hAnsi="宋体" w:cs="宋体"/>
              </w:rPr>
              <w:t>）；</w:t>
            </w:r>
          </w:p>
          <w:p w14:paraId="0EEE9B81">
            <w:pPr>
              <w:jc w:val="left"/>
            </w:pPr>
            <w:r>
              <w:rPr>
                <w:rFonts w:hint="eastAsia" w:ascii="宋体" w:hAnsi="宋体" w:cs="宋体"/>
              </w:rPr>
              <w:t>其中一项不符合（</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DA1314">
            <w:pPr>
              <w:jc w:val="left"/>
              <w:rPr>
                <w:rFonts w:ascii="宋体" w:cs="宋体"/>
                <w:sz w:val="22"/>
              </w:rPr>
            </w:pPr>
            <w:r>
              <w:rPr>
                <w:rFonts w:ascii="宋体" w:cs="宋体"/>
                <w:sz w:val="22"/>
              </w:rPr>
              <w:t>2</w:t>
            </w:r>
          </w:p>
        </w:tc>
      </w:tr>
      <w:tr w14:paraId="57B0F3A0">
        <w:tblPrEx>
          <w:tblCellMar>
            <w:top w:w="0" w:type="dxa"/>
            <w:left w:w="10" w:type="dxa"/>
            <w:bottom w:w="0" w:type="dxa"/>
            <w:right w:w="10"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EB5B0">
            <w:pPr>
              <w:spacing w:line="400" w:lineRule="auto"/>
              <w:jc w:val="left"/>
              <w:rPr>
                <w:rFonts w:ascii="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A8600F">
            <w:pPr>
              <w:jc w:val="left"/>
            </w:pPr>
            <w:r>
              <w:rPr>
                <w:rFonts w:hint="eastAsia" w:ascii="宋体" w:hAnsi="宋体" w:cs="宋体"/>
              </w:rPr>
              <w:t>预算配置情况</w:t>
            </w:r>
            <w:r>
              <w:rPr>
                <w:rFonts w:ascii="仿宋_GB2312" w:hAnsi="仿宋_GB2312" w:eastAsia="仿宋_GB2312" w:cs="仿宋_GB2312"/>
              </w:rPr>
              <w:t>(5</w:t>
            </w:r>
            <w:r>
              <w:rPr>
                <w:rFonts w:hint="eastAsia" w:ascii="宋体" w:hAnsi="宋体" w:cs="宋体"/>
              </w:rPr>
              <w:t>分</w:t>
            </w:r>
            <w:r>
              <w:rPr>
                <w:rFonts w:ascii="仿宋_GB2312" w:hAnsi="仿宋_GB2312" w:eastAsia="仿宋_GB2312" w:cs="仿宋_GB2312"/>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8A177">
            <w:pPr>
              <w:jc w:val="left"/>
            </w:pPr>
            <w:r>
              <w:rPr>
                <w:rFonts w:hint="eastAsia" w:ascii="宋体" w:hAnsi="宋体" w:cs="宋体"/>
              </w:rPr>
              <w:t>在职人员控制率（</w:t>
            </w:r>
            <w:r>
              <w:rPr>
                <w:rFonts w:ascii="仿宋_GB2312" w:hAnsi="仿宋_GB2312" w:eastAsia="仿宋_GB2312" w:cs="仿宋_GB2312"/>
              </w:rPr>
              <w:t>1</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626626">
            <w:pPr>
              <w:jc w:val="left"/>
              <w:rPr>
                <w:rFonts w:eastAsia="Times New Roman" w:cs="Calibri"/>
              </w:rPr>
            </w:pPr>
            <w:r>
              <w:rPr>
                <w:rFonts w:hint="eastAsia" w:ascii="宋体" w:hAnsi="宋体" w:cs="宋体"/>
              </w:rPr>
              <w:t>部门本年度实际在职人员数与编制数的比率，用以反映和评价部门对人员成本的控制程度。</w:t>
            </w:r>
          </w:p>
          <w:p w14:paraId="25662D0B">
            <w:pPr>
              <w:jc w:val="left"/>
              <w:rPr>
                <w:rFonts w:eastAsia="Times New Roman" w:cs="Calibri"/>
              </w:rPr>
            </w:pPr>
            <w:r>
              <w:rPr>
                <w:rFonts w:hint="eastAsia" w:ascii="宋体" w:hAnsi="宋体" w:cs="宋体"/>
              </w:rPr>
              <w:t>在职人员控制率</w:t>
            </w:r>
            <w:r>
              <w:rPr>
                <w:rFonts w:ascii="仿宋_GB2312" w:hAnsi="仿宋_GB2312" w:eastAsia="仿宋_GB2312" w:cs="仿宋_GB2312"/>
              </w:rPr>
              <w:t>=</w:t>
            </w:r>
            <w:r>
              <w:rPr>
                <w:rFonts w:hint="eastAsia" w:ascii="宋体" w:hAnsi="宋体" w:cs="宋体"/>
              </w:rPr>
              <w:t>（在职人员数</w:t>
            </w:r>
            <w:r>
              <w:rPr>
                <w:rFonts w:ascii="仿宋_GB2312" w:hAnsi="仿宋_GB2312" w:eastAsia="仿宋_GB2312" w:cs="仿宋_GB2312"/>
              </w:rPr>
              <w:t>/</w:t>
            </w:r>
            <w:r>
              <w:rPr>
                <w:rFonts w:hint="eastAsia" w:ascii="宋体" w:hAnsi="宋体" w:cs="宋体"/>
              </w:rPr>
              <w:t>编制数）</w:t>
            </w:r>
            <w:r>
              <w:rPr>
                <w:rFonts w:hint="eastAsia" w:ascii="宋体" w:cs="宋体"/>
              </w:rPr>
              <w:t>×</w:t>
            </w:r>
            <w:r>
              <w:rPr>
                <w:rFonts w:ascii="仿宋_GB2312" w:hAnsi="仿宋_GB2312" w:eastAsia="仿宋_GB2312" w:cs="仿宋_GB2312"/>
              </w:rPr>
              <w:t>100%</w:t>
            </w:r>
            <w:r>
              <w:rPr>
                <w:rFonts w:hint="eastAsia" w:ascii="宋体" w:hAnsi="宋体" w:cs="宋体"/>
              </w:rPr>
              <w:t>。</w:t>
            </w:r>
          </w:p>
          <w:p w14:paraId="3ED300D5">
            <w:pPr>
              <w:jc w:val="left"/>
              <w:rPr>
                <w:rFonts w:eastAsia="Times New Roman" w:cs="Calibri"/>
              </w:rPr>
            </w:pPr>
            <w:r>
              <w:rPr>
                <w:rFonts w:hint="eastAsia" w:ascii="宋体" w:hAnsi="宋体" w:cs="宋体"/>
              </w:rPr>
              <w:t>在职人员数：部门实际在职人数，以财政部确定的部门决算编制口径为准，由编制部门和人劳部门批复同意的临聘人员除外。</w:t>
            </w:r>
          </w:p>
          <w:p w14:paraId="2ACE4501">
            <w:pPr>
              <w:jc w:val="left"/>
            </w:pPr>
            <w:r>
              <w:rPr>
                <w:rFonts w:hint="eastAsia" w:ascii="宋体" w:hAnsi="宋体" w:cs="宋体"/>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C9B8E2">
            <w:pPr>
              <w:jc w:val="left"/>
              <w:rPr>
                <w:rFonts w:eastAsia="Times New Roman" w:cs="Calibri"/>
              </w:rPr>
            </w:pPr>
            <w:r>
              <w:rPr>
                <w:rFonts w:ascii="仿宋_GB2312" w:hAnsi="仿宋_GB2312" w:eastAsia="仿宋_GB2312" w:cs="仿宋_GB2312"/>
              </w:rPr>
              <w:t>1.</w:t>
            </w:r>
            <w:r>
              <w:rPr>
                <w:rFonts w:hint="eastAsia" w:ascii="宋体" w:hAnsi="宋体" w:cs="宋体"/>
              </w:rPr>
              <w:t>在职人员控制率小于或等于</w:t>
            </w:r>
            <w:r>
              <w:rPr>
                <w:rFonts w:ascii="仿宋_GB2312" w:hAnsi="仿宋_GB2312" w:eastAsia="仿宋_GB2312" w:cs="仿宋_GB2312"/>
              </w:rPr>
              <w:t>100%</w:t>
            </w:r>
            <w:r>
              <w:rPr>
                <w:rFonts w:hint="eastAsia" w:ascii="宋体" w:hAnsi="宋体" w:cs="宋体"/>
              </w:rPr>
              <w:t>的，得满分；</w:t>
            </w:r>
          </w:p>
          <w:p w14:paraId="304E4AEC">
            <w:pPr>
              <w:jc w:val="left"/>
              <w:rPr>
                <w:rFonts w:eastAsia="Times New Roman" w:cs="Calibri"/>
              </w:rPr>
            </w:pPr>
            <w:r>
              <w:rPr>
                <w:rFonts w:ascii="仿宋_GB2312" w:hAnsi="仿宋_GB2312" w:eastAsia="仿宋_GB2312" w:cs="仿宋_GB2312"/>
              </w:rPr>
              <w:t>2.</w:t>
            </w:r>
            <w:r>
              <w:rPr>
                <w:rFonts w:hint="eastAsia" w:ascii="宋体" w:hAnsi="宋体" w:cs="宋体"/>
              </w:rPr>
              <w:t>在职人员控制率大于或等于</w:t>
            </w:r>
            <w:r>
              <w:rPr>
                <w:rFonts w:ascii="仿宋_GB2312" w:hAnsi="仿宋_GB2312" w:eastAsia="仿宋_GB2312" w:cs="仿宋_GB2312"/>
              </w:rPr>
              <w:t>115%</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14:paraId="2BCD8429">
            <w:pPr>
              <w:jc w:val="left"/>
              <w:rPr>
                <w:rFonts w:eastAsia="Times New Roman" w:cs="Calibri"/>
              </w:rPr>
            </w:pPr>
            <w:r>
              <w:rPr>
                <w:rFonts w:ascii="仿宋_GB2312" w:hAnsi="仿宋_GB2312" w:eastAsia="仿宋_GB2312" w:cs="仿宋_GB2312"/>
              </w:rPr>
              <w:t>3.</w:t>
            </w:r>
            <w:r>
              <w:rPr>
                <w:rFonts w:hint="eastAsia" w:ascii="宋体" w:hAnsi="宋体" w:cs="宋体"/>
              </w:rPr>
              <w:t>在职人员控制率在</w:t>
            </w:r>
            <w:r>
              <w:rPr>
                <w:rFonts w:ascii="仿宋_GB2312" w:hAnsi="仿宋_GB2312" w:eastAsia="仿宋_GB2312" w:cs="仿宋_GB2312"/>
              </w:rPr>
              <w:t>100%-115%</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分和满分之间计算确定：</w:t>
            </w:r>
          </w:p>
          <w:p w14:paraId="05E5E012">
            <w:pPr>
              <w:jc w:val="left"/>
            </w:pPr>
            <w:r>
              <w:rPr>
                <w:rFonts w:hint="eastAsia" w:ascii="宋体" w:hAnsi="宋体" w:cs="宋体"/>
              </w:rPr>
              <w:t>得分</w:t>
            </w:r>
            <w:r>
              <w:rPr>
                <w:rFonts w:ascii="仿宋_GB2312" w:hAnsi="仿宋_GB2312" w:eastAsia="仿宋_GB2312" w:cs="仿宋_GB2312"/>
              </w:rPr>
              <w:t>=[max</w:t>
            </w:r>
            <w:r>
              <w:rPr>
                <w:rFonts w:hint="eastAsia" w:ascii="宋体" w:hAnsi="宋体" w:cs="宋体"/>
              </w:rPr>
              <w:t>（在职人员控制率）－某部门在职人员控制率</w:t>
            </w:r>
            <w:r>
              <w:rPr>
                <w:rFonts w:ascii="仿宋_GB2312" w:hAnsi="仿宋_GB2312" w:eastAsia="仿宋_GB2312" w:cs="仿宋_GB2312"/>
              </w:rPr>
              <w:t>]/[max</w:t>
            </w:r>
            <w:r>
              <w:rPr>
                <w:rFonts w:hint="eastAsia" w:ascii="宋体" w:hAnsi="宋体" w:cs="宋体"/>
              </w:rPr>
              <w:t>（在职人员控制率）－</w:t>
            </w:r>
            <w:r>
              <w:rPr>
                <w:rFonts w:ascii="仿宋_GB2312" w:hAnsi="仿宋_GB2312" w:eastAsia="仿宋_GB2312" w:cs="仿宋_GB2312"/>
              </w:rPr>
              <w:t>min</w:t>
            </w:r>
            <w:r>
              <w:rPr>
                <w:rFonts w:hint="eastAsia" w:ascii="宋体" w:hAnsi="宋体" w:cs="宋体"/>
              </w:rPr>
              <w:t>（在职人员控制率）</w:t>
            </w:r>
            <w:r>
              <w:rPr>
                <w:rFonts w:ascii="仿宋_GB2312" w:hAnsi="仿宋_GB2312" w:eastAsia="仿宋_GB2312" w:cs="仿宋_GB2312"/>
              </w:rPr>
              <w:t>]</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A64131">
            <w:pPr>
              <w:jc w:val="left"/>
              <w:rPr>
                <w:rFonts w:ascii="宋体" w:cs="宋体"/>
                <w:sz w:val="22"/>
              </w:rPr>
            </w:pPr>
            <w:r>
              <w:rPr>
                <w:rFonts w:ascii="宋体" w:cs="宋体"/>
                <w:sz w:val="22"/>
              </w:rPr>
              <w:t>0</w:t>
            </w:r>
          </w:p>
        </w:tc>
      </w:tr>
      <w:tr w14:paraId="1E600165">
        <w:tblPrEx>
          <w:tblCellMar>
            <w:top w:w="0" w:type="dxa"/>
            <w:left w:w="10" w:type="dxa"/>
            <w:bottom w:w="0" w:type="dxa"/>
            <w:right w:w="10" w:type="dxa"/>
          </w:tblCellMar>
        </w:tblPrEx>
        <w:trPr>
          <w:trHeight w:val="45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8D1641">
            <w:pPr>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6F8A16">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3F51E1">
            <w:pPr>
              <w:jc w:val="left"/>
            </w:pPr>
            <w:r>
              <w:rPr>
                <w:rFonts w:hint="eastAsia" w:ascii="仿宋" w:hAnsi="仿宋" w:eastAsia="仿宋" w:cs="仿宋"/>
                <w:color w:val="000000"/>
              </w:rPr>
              <w:t>“三公经费”变动率（</w:t>
            </w:r>
            <w:r>
              <w:rPr>
                <w:rFonts w:ascii="仿宋" w:hAnsi="仿宋" w:eastAsia="仿宋" w:cs="仿宋"/>
                <w:color w:val="000000"/>
              </w:rPr>
              <w:t>2</w:t>
            </w:r>
            <w:r>
              <w:rPr>
                <w:rFonts w:hint="eastAsia" w:ascii="仿宋" w:hAnsi="仿宋" w:eastAsia="仿宋" w:cs="仿宋"/>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DAB300">
            <w:pPr>
              <w:jc w:val="left"/>
            </w:pPr>
            <w:r>
              <w:rPr>
                <w:rFonts w:hint="eastAsia" w:ascii="仿宋" w:hAnsi="仿宋" w:eastAsia="仿宋" w:cs="仿宋"/>
                <w:color w:val="000000"/>
              </w:rPr>
              <w:t>部门本年度“三公经费”预算数与上年度“三公经费”预算数的变动比率，用以反映和考核部门对控制重点行政成本的努力程度。“三公经费”变动率</w:t>
            </w:r>
            <w:r>
              <w:rPr>
                <w:rFonts w:ascii="仿宋" w:hAnsi="仿宋" w:eastAsia="仿宋" w:cs="仿宋"/>
                <w:color w:val="000000"/>
              </w:rPr>
              <w:t>=[</w:t>
            </w:r>
            <w:r>
              <w:rPr>
                <w:rFonts w:hint="eastAsia" w:ascii="仿宋" w:hAnsi="仿宋" w:eastAsia="仿宋" w:cs="仿宋"/>
                <w:color w:val="000000"/>
              </w:rPr>
              <w:t>（本年度“三公经费”总额</w:t>
            </w:r>
            <w:r>
              <w:rPr>
                <w:rFonts w:ascii="仿宋" w:hAnsi="仿宋" w:eastAsia="仿宋" w:cs="仿宋"/>
                <w:color w:val="000000"/>
              </w:rPr>
              <w:t>-</w:t>
            </w:r>
            <w:r>
              <w:rPr>
                <w:rFonts w:hint="eastAsia" w:ascii="仿宋" w:hAnsi="仿宋" w:eastAsia="仿宋" w:cs="仿宋"/>
                <w:color w:val="000000"/>
              </w:rPr>
              <w:t>上年度“三公经费”总额）</w:t>
            </w:r>
            <w:r>
              <w:rPr>
                <w:rFonts w:ascii="仿宋" w:hAnsi="仿宋" w:eastAsia="仿宋" w:cs="仿宋"/>
                <w:color w:val="000000"/>
              </w:rPr>
              <w:t>/</w:t>
            </w:r>
            <w:r>
              <w:rPr>
                <w:rFonts w:hint="eastAsia" w:ascii="仿宋" w:hAnsi="仿宋" w:eastAsia="仿宋" w:cs="仿宋"/>
                <w:color w:val="000000"/>
              </w:rPr>
              <w:t>上年度“三公经费”总额</w:t>
            </w:r>
            <w:r>
              <w:rPr>
                <w:rFonts w:ascii="仿宋" w:hAnsi="仿宋" w:eastAsia="仿宋" w:cs="仿宋"/>
                <w:color w:val="000000"/>
              </w:rPr>
              <w:t>]</w:t>
            </w:r>
            <w:r>
              <w:rPr>
                <w:rFonts w:hint="eastAsia" w:ascii="仿宋" w:hAnsi="仿宋" w:eastAsia="仿宋" w:cs="仿宋"/>
                <w:color w:val="000000"/>
              </w:rPr>
              <w:t>×</w:t>
            </w:r>
            <w:r>
              <w:rPr>
                <w:rFonts w:ascii="仿宋" w:hAnsi="仿宋" w:eastAsia="仿宋" w:cs="仿宋"/>
                <w:color w:val="000000"/>
              </w:rPr>
              <w:t>100%</w:t>
            </w:r>
            <w:r>
              <w:rPr>
                <w:rFonts w:hint="eastAsia" w:ascii="仿宋" w:hAnsi="仿宋" w:eastAsia="仿宋" w:cs="仿宋"/>
                <w:color w:val="000000"/>
              </w:rPr>
              <w:t>。</w:t>
            </w:r>
            <w:r>
              <w:rPr>
                <w:rFonts w:ascii="仿宋" w:hAnsi="仿宋" w:eastAsia="仿宋" w:cs="仿宋"/>
                <w:color w:val="000000"/>
              </w:rPr>
              <w:br w:type="textWrapping"/>
            </w:r>
            <w:r>
              <w:rPr>
                <w:rFonts w:hint="eastAsia" w:ascii="仿宋" w:hAnsi="仿宋" w:eastAsia="仿宋" w:cs="仿宋"/>
                <w:color w:val="000000"/>
              </w:rPr>
              <w:t>“三公经费”：年度预算安排的因公出国（境）费、公务车辆购置及运行费和公务招待费。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3B1404">
            <w:pPr>
              <w:jc w:val="left"/>
              <w:rPr>
                <w:rFonts w:eastAsia="Times New Roman" w:cs="Calibri"/>
              </w:rPr>
            </w:pPr>
            <w:r>
              <w:rPr>
                <w:rFonts w:ascii="仿宋_GB2312" w:hAnsi="仿宋_GB2312" w:eastAsia="仿宋_GB2312" w:cs="仿宋_GB2312"/>
              </w:rPr>
              <w:t>1.</w:t>
            </w:r>
            <w:r>
              <w:rPr>
                <w:rFonts w:hint="eastAsia" w:ascii="仿宋" w:hAnsi="仿宋" w:eastAsia="仿宋" w:cs="仿宋"/>
                <w:color w:val="000000"/>
              </w:rPr>
              <w:t>“三公经费”变动率</w:t>
            </w:r>
            <w:r>
              <w:rPr>
                <w:rFonts w:hint="eastAsia" w:ascii="仿宋" w:hAnsi="仿宋" w:eastAsia="仿宋" w:cs="仿宋"/>
              </w:rPr>
              <w:t>小于或等于</w:t>
            </w:r>
            <w:r>
              <w:rPr>
                <w:rFonts w:ascii="仿宋_GB2312" w:hAnsi="仿宋_GB2312" w:eastAsia="仿宋_GB2312" w:cs="仿宋_GB2312"/>
              </w:rPr>
              <w:t>-5%</w:t>
            </w:r>
            <w:r>
              <w:rPr>
                <w:rFonts w:hint="eastAsia" w:ascii="仿宋" w:hAnsi="仿宋" w:eastAsia="仿宋" w:cs="仿宋"/>
              </w:rPr>
              <w:t>的，得满分；</w:t>
            </w:r>
          </w:p>
          <w:p w14:paraId="3588C783">
            <w:pPr>
              <w:jc w:val="left"/>
              <w:rPr>
                <w:rFonts w:eastAsia="Times New Roman" w:cs="Calibri"/>
              </w:rPr>
            </w:pPr>
            <w:r>
              <w:rPr>
                <w:rFonts w:ascii="仿宋_GB2312" w:hAnsi="仿宋_GB2312" w:eastAsia="仿宋_GB2312" w:cs="仿宋_GB2312"/>
              </w:rPr>
              <w:t>2.</w:t>
            </w:r>
            <w:r>
              <w:rPr>
                <w:rFonts w:hint="eastAsia" w:ascii="仿宋" w:hAnsi="仿宋" w:eastAsia="仿宋" w:cs="仿宋"/>
                <w:color w:val="000000"/>
              </w:rPr>
              <w:t>“三公经费”变动率</w:t>
            </w:r>
            <w:r>
              <w:rPr>
                <w:rFonts w:hint="eastAsia" w:ascii="仿宋" w:hAnsi="仿宋" w:eastAsia="仿宋" w:cs="仿宋"/>
              </w:rPr>
              <w:t>大于或等于</w:t>
            </w:r>
            <w:r>
              <w:rPr>
                <w:rFonts w:ascii="仿宋_GB2312" w:hAnsi="仿宋_GB2312" w:eastAsia="仿宋_GB2312" w:cs="仿宋_GB2312"/>
              </w:rPr>
              <w:t>10%</w:t>
            </w:r>
            <w:r>
              <w:rPr>
                <w:rFonts w:hint="eastAsia" w:ascii="仿宋" w:hAnsi="仿宋" w:eastAsia="仿宋" w:cs="仿宋"/>
              </w:rPr>
              <w:t>的，得</w:t>
            </w:r>
            <w:r>
              <w:rPr>
                <w:rFonts w:ascii="仿宋_GB2312" w:hAnsi="仿宋_GB2312" w:eastAsia="仿宋_GB2312" w:cs="仿宋_GB2312"/>
              </w:rPr>
              <w:t>0</w:t>
            </w:r>
            <w:r>
              <w:rPr>
                <w:rFonts w:hint="eastAsia" w:ascii="仿宋" w:hAnsi="仿宋" w:eastAsia="仿宋" w:cs="仿宋"/>
              </w:rPr>
              <w:t>分；</w:t>
            </w:r>
          </w:p>
          <w:p w14:paraId="0D8BEFBE">
            <w:pPr>
              <w:jc w:val="left"/>
              <w:rPr>
                <w:rFonts w:eastAsia="Times New Roman" w:cs="Calibri"/>
              </w:rPr>
            </w:pPr>
            <w:r>
              <w:rPr>
                <w:rFonts w:ascii="仿宋_GB2312" w:hAnsi="仿宋_GB2312" w:eastAsia="仿宋_GB2312" w:cs="仿宋_GB2312"/>
              </w:rPr>
              <w:t>3.</w:t>
            </w:r>
            <w:r>
              <w:rPr>
                <w:rFonts w:hint="eastAsia" w:ascii="宋体" w:hAnsi="宋体" w:cs="宋体"/>
              </w:rPr>
              <w:t>在职人员控制率在</w:t>
            </w:r>
            <w:r>
              <w:rPr>
                <w:rFonts w:ascii="仿宋_GB2312" w:hAnsi="仿宋_GB2312" w:eastAsia="仿宋_GB2312" w:cs="仿宋_GB2312"/>
              </w:rPr>
              <w:t>-5%-10%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分和满分之间计算确定：</w:t>
            </w:r>
          </w:p>
          <w:p w14:paraId="51DC18DB">
            <w:pPr>
              <w:jc w:val="left"/>
            </w:pPr>
            <w:r>
              <w:rPr>
                <w:rFonts w:hint="eastAsia" w:ascii="宋体" w:hAnsi="宋体" w:cs="宋体"/>
              </w:rPr>
              <w:t>得分</w:t>
            </w:r>
            <w:r>
              <w:rPr>
                <w:rFonts w:ascii="仿宋_GB2312" w:hAnsi="仿宋_GB2312" w:eastAsia="仿宋_GB2312" w:cs="仿宋_GB2312"/>
              </w:rPr>
              <w:t>=[max</w:t>
            </w:r>
            <w:r>
              <w:rPr>
                <w:rFonts w:hint="eastAsia" w:ascii="宋体" w:hAnsi="宋体" w:cs="宋体"/>
              </w:rPr>
              <w:t>（</w:t>
            </w:r>
            <w:r>
              <w:rPr>
                <w:rFonts w:hint="eastAsia" w:ascii="仿宋" w:hAnsi="仿宋" w:eastAsia="仿宋" w:cs="仿宋"/>
                <w:color w:val="000000"/>
              </w:rPr>
              <w:t>“三公经费”变动率</w:t>
            </w:r>
            <w:r>
              <w:rPr>
                <w:rFonts w:hint="eastAsia" w:ascii="仿宋" w:hAnsi="仿宋" w:eastAsia="仿宋" w:cs="仿宋"/>
              </w:rPr>
              <w:t>）－</w:t>
            </w:r>
            <w:r>
              <w:rPr>
                <w:rFonts w:hint="eastAsia" w:ascii="仿宋" w:hAnsi="仿宋" w:eastAsia="仿宋" w:cs="仿宋"/>
                <w:color w:val="000000"/>
              </w:rPr>
              <w:t>“三公经费”变动率</w:t>
            </w:r>
            <w:r>
              <w:rPr>
                <w:rFonts w:ascii="仿宋_GB2312" w:hAnsi="仿宋_GB2312" w:eastAsia="仿宋_GB2312" w:cs="仿宋_GB2312"/>
              </w:rPr>
              <w:t>]/[max</w:t>
            </w:r>
            <w:r>
              <w:rPr>
                <w:rFonts w:hint="eastAsia" w:ascii="仿宋" w:hAnsi="仿宋" w:eastAsia="仿宋" w:cs="仿宋"/>
              </w:rPr>
              <w:t>（</w:t>
            </w:r>
            <w:r>
              <w:rPr>
                <w:rFonts w:hint="eastAsia" w:ascii="仿宋" w:hAnsi="仿宋" w:eastAsia="仿宋" w:cs="仿宋"/>
                <w:color w:val="000000"/>
              </w:rPr>
              <w:t>“三公经费”变动率</w:t>
            </w:r>
            <w:r>
              <w:rPr>
                <w:rFonts w:hint="eastAsia" w:ascii="仿宋" w:hAnsi="仿宋" w:eastAsia="仿宋" w:cs="仿宋"/>
              </w:rPr>
              <w:t>）－</w:t>
            </w:r>
            <w:r>
              <w:rPr>
                <w:rFonts w:ascii="仿宋_GB2312" w:hAnsi="仿宋_GB2312" w:eastAsia="仿宋_GB2312" w:cs="仿宋_GB2312"/>
              </w:rPr>
              <w:t>min</w:t>
            </w:r>
            <w:r>
              <w:rPr>
                <w:rFonts w:hint="eastAsia" w:ascii="仿宋" w:hAnsi="仿宋" w:eastAsia="仿宋" w:cs="仿宋"/>
              </w:rPr>
              <w:t>（</w:t>
            </w:r>
            <w:r>
              <w:rPr>
                <w:rFonts w:hint="eastAsia" w:ascii="仿宋" w:hAnsi="仿宋" w:eastAsia="仿宋" w:cs="仿宋"/>
                <w:color w:val="000000"/>
              </w:rPr>
              <w:t>“三公经费”变动率</w:t>
            </w:r>
            <w:r>
              <w:rPr>
                <w:rFonts w:hint="eastAsia" w:ascii="仿宋" w:hAnsi="仿宋" w:eastAsia="仿宋" w:cs="仿宋"/>
              </w:rPr>
              <w:t>）</w:t>
            </w:r>
            <w:r>
              <w:rPr>
                <w:rFonts w:ascii="仿宋_GB2312" w:hAnsi="仿宋_GB2312" w:eastAsia="仿宋_GB2312" w:cs="仿宋_GB2312"/>
              </w:rPr>
              <w:t>]</w:t>
            </w:r>
            <w:r>
              <w:rPr>
                <w:rFonts w:hint="eastAsia" w:ascii="仿宋" w:hAnsi="仿宋" w:eastAsia="仿宋" w:cs="仿宋"/>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922B9C">
            <w:pPr>
              <w:jc w:val="left"/>
              <w:rPr>
                <w:rFonts w:ascii="宋体" w:cs="宋体"/>
                <w:sz w:val="22"/>
              </w:rPr>
            </w:pPr>
            <w:r>
              <w:rPr>
                <w:rFonts w:ascii="宋体" w:cs="宋体"/>
                <w:sz w:val="22"/>
              </w:rPr>
              <w:t>2</w:t>
            </w:r>
          </w:p>
        </w:tc>
      </w:tr>
      <w:tr w14:paraId="7AAF27ED">
        <w:tblPrEx>
          <w:tblCellMar>
            <w:top w:w="0" w:type="dxa"/>
            <w:left w:w="10" w:type="dxa"/>
            <w:bottom w:w="0" w:type="dxa"/>
            <w:right w:w="10"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50351">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E8E686">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D8E7CD">
            <w:pPr>
              <w:jc w:val="left"/>
            </w:pPr>
            <w:r>
              <w:rPr>
                <w:rFonts w:hint="eastAsia" w:ascii="仿宋" w:hAnsi="仿宋" w:eastAsia="仿宋" w:cs="仿宋"/>
                <w:color w:val="000000"/>
              </w:rPr>
              <w:t>重点支出安排率（</w:t>
            </w:r>
            <w:r>
              <w:rPr>
                <w:rFonts w:ascii="仿宋" w:hAnsi="仿宋" w:eastAsia="仿宋" w:cs="仿宋"/>
                <w:color w:val="000000"/>
              </w:rPr>
              <w:t>2</w:t>
            </w:r>
            <w:r>
              <w:rPr>
                <w:rFonts w:hint="eastAsia" w:ascii="仿宋" w:hAnsi="仿宋" w:eastAsia="仿宋" w:cs="仿宋"/>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0FC530">
            <w:pPr>
              <w:jc w:val="left"/>
            </w:pPr>
            <w:r>
              <w:rPr>
                <w:rFonts w:hint="eastAsia" w:ascii="仿宋" w:hAnsi="仿宋" w:eastAsia="仿宋" w:cs="仿宋"/>
                <w:color w:val="000000"/>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rPr>
              <w:t>=</w:t>
            </w:r>
            <w:r>
              <w:rPr>
                <w:rFonts w:hint="eastAsia" w:ascii="仿宋" w:hAnsi="仿宋" w:eastAsia="仿宋" w:cs="仿宋"/>
                <w:color w:val="000000"/>
              </w:rPr>
              <w:t>（重点项目支出</w:t>
            </w:r>
            <w:r>
              <w:rPr>
                <w:rFonts w:ascii="仿宋" w:hAnsi="仿宋" w:eastAsia="仿宋" w:cs="仿宋"/>
                <w:color w:val="000000"/>
              </w:rPr>
              <w:t>/</w:t>
            </w:r>
            <w:r>
              <w:rPr>
                <w:rFonts w:hint="eastAsia" w:ascii="仿宋" w:hAnsi="仿宋" w:eastAsia="仿宋" w:cs="仿宋"/>
                <w:color w:val="000000"/>
              </w:rPr>
              <w:t>项目总支出）×</w:t>
            </w:r>
            <w:r>
              <w:rPr>
                <w:rFonts w:ascii="仿宋" w:hAnsi="仿宋" w:eastAsia="仿宋" w:cs="仿宋"/>
                <w:color w:val="000000"/>
              </w:rPr>
              <w:t>100%</w:t>
            </w:r>
            <w:r>
              <w:rPr>
                <w:rFonts w:hint="eastAsia" w:ascii="仿宋" w:hAnsi="仿宋" w:eastAsia="仿宋" w:cs="仿宋"/>
                <w:color w:val="000000"/>
              </w:rPr>
              <w:t>。</w:t>
            </w:r>
            <w:r>
              <w:rPr>
                <w:rFonts w:ascii="仿宋" w:hAnsi="仿宋" w:eastAsia="仿宋" w:cs="仿宋"/>
                <w:color w:val="000000"/>
              </w:rPr>
              <w:br w:type="textWrapping"/>
            </w:r>
            <w:r>
              <w:rPr>
                <w:rFonts w:hint="eastAsia" w:ascii="仿宋" w:hAnsi="仿宋" w:eastAsia="仿宋" w:cs="仿宋"/>
                <w:color w:val="000000"/>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rPr>
              <w:br w:type="textWrapping"/>
            </w:r>
            <w:r>
              <w:rPr>
                <w:rFonts w:hint="eastAsia" w:ascii="仿宋" w:hAnsi="仿宋" w:eastAsia="仿宋" w:cs="仿宋"/>
                <w:color w:val="000000"/>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3A4DF9">
            <w:pPr>
              <w:jc w:val="left"/>
              <w:rPr>
                <w:rFonts w:eastAsia="Times New Roman" w:cs="Calibri"/>
              </w:rPr>
            </w:pPr>
            <w:r>
              <w:rPr>
                <w:rFonts w:ascii="仿宋_GB2312" w:hAnsi="仿宋_GB2312" w:eastAsia="仿宋_GB2312" w:cs="仿宋_GB2312"/>
              </w:rPr>
              <w:t>1.</w:t>
            </w:r>
            <w:r>
              <w:rPr>
                <w:rFonts w:hint="eastAsia" w:ascii="仿宋" w:hAnsi="仿宋" w:eastAsia="仿宋" w:cs="仿宋"/>
                <w:color w:val="000000"/>
              </w:rPr>
              <w:t>重点支出安排率</w:t>
            </w:r>
            <w:r>
              <w:rPr>
                <w:rFonts w:hint="eastAsia" w:ascii="仿宋" w:hAnsi="仿宋" w:eastAsia="仿宋" w:cs="仿宋"/>
              </w:rPr>
              <w:t>大于或等于</w:t>
            </w:r>
            <w:r>
              <w:rPr>
                <w:rFonts w:ascii="仿宋_GB2312" w:hAnsi="仿宋_GB2312" w:eastAsia="仿宋_GB2312" w:cs="仿宋_GB2312"/>
              </w:rPr>
              <w:t>95%</w:t>
            </w:r>
            <w:r>
              <w:rPr>
                <w:rFonts w:hint="eastAsia" w:ascii="仿宋" w:hAnsi="仿宋" w:eastAsia="仿宋" w:cs="仿宋"/>
              </w:rPr>
              <w:t>的，得满分；</w:t>
            </w:r>
          </w:p>
          <w:p w14:paraId="7D2AFA43">
            <w:pPr>
              <w:jc w:val="left"/>
              <w:rPr>
                <w:rFonts w:eastAsia="Times New Roman" w:cs="Calibri"/>
              </w:rPr>
            </w:pPr>
            <w:r>
              <w:rPr>
                <w:rFonts w:ascii="仿宋_GB2312" w:hAnsi="仿宋_GB2312" w:eastAsia="仿宋_GB2312" w:cs="仿宋_GB2312"/>
              </w:rPr>
              <w:t>2.</w:t>
            </w:r>
            <w:r>
              <w:rPr>
                <w:rFonts w:hint="eastAsia" w:ascii="仿宋" w:hAnsi="仿宋" w:eastAsia="仿宋" w:cs="仿宋"/>
                <w:color w:val="000000"/>
              </w:rPr>
              <w:t>重点支出安排率</w:t>
            </w:r>
            <w:r>
              <w:rPr>
                <w:rFonts w:hint="eastAsia" w:ascii="仿宋" w:hAnsi="仿宋" w:eastAsia="仿宋" w:cs="仿宋"/>
              </w:rPr>
              <w:t>小于或等于</w:t>
            </w:r>
            <w:r>
              <w:rPr>
                <w:rFonts w:ascii="仿宋_GB2312" w:hAnsi="仿宋_GB2312" w:eastAsia="仿宋_GB2312" w:cs="仿宋_GB2312"/>
              </w:rPr>
              <w:t>85%</w:t>
            </w:r>
            <w:r>
              <w:rPr>
                <w:rFonts w:hint="eastAsia" w:ascii="仿宋" w:hAnsi="仿宋" w:eastAsia="仿宋" w:cs="仿宋"/>
              </w:rPr>
              <w:t>的，得</w:t>
            </w:r>
            <w:r>
              <w:rPr>
                <w:rFonts w:ascii="仿宋_GB2312" w:hAnsi="仿宋_GB2312" w:eastAsia="仿宋_GB2312" w:cs="仿宋_GB2312"/>
              </w:rPr>
              <w:t>0</w:t>
            </w:r>
            <w:r>
              <w:rPr>
                <w:rFonts w:hint="eastAsia" w:ascii="仿宋" w:hAnsi="仿宋" w:eastAsia="仿宋" w:cs="仿宋"/>
              </w:rPr>
              <w:t>分；</w:t>
            </w:r>
          </w:p>
          <w:p w14:paraId="4624BA79">
            <w:pPr>
              <w:jc w:val="left"/>
              <w:rPr>
                <w:rFonts w:eastAsia="Times New Roman" w:cs="Calibri"/>
              </w:rPr>
            </w:pPr>
            <w:r>
              <w:rPr>
                <w:rFonts w:ascii="仿宋_GB2312" w:hAnsi="仿宋_GB2312" w:eastAsia="仿宋_GB2312" w:cs="仿宋_GB2312"/>
              </w:rPr>
              <w:t>3.</w:t>
            </w:r>
            <w:r>
              <w:rPr>
                <w:rFonts w:hint="eastAsia" w:ascii="仿宋" w:hAnsi="仿宋" w:eastAsia="仿宋" w:cs="仿宋"/>
                <w:color w:val="000000"/>
              </w:rPr>
              <w:t>重点支出安排率</w:t>
            </w:r>
            <w:r>
              <w:rPr>
                <w:rFonts w:hint="eastAsia" w:ascii="仿宋" w:hAnsi="仿宋" w:eastAsia="仿宋" w:cs="仿宋"/>
              </w:rPr>
              <w:t>在</w:t>
            </w:r>
            <w:r>
              <w:rPr>
                <w:rFonts w:ascii="仿宋_GB2312" w:hAnsi="仿宋_GB2312" w:eastAsia="仿宋_GB2312" w:cs="仿宋_GB2312"/>
              </w:rPr>
              <w:t>85%-95%</w:t>
            </w:r>
            <w:r>
              <w:rPr>
                <w:rFonts w:hint="eastAsia" w:ascii="仿宋" w:hAnsi="仿宋" w:eastAsia="仿宋" w:cs="仿宋"/>
              </w:rPr>
              <w:t>之间的，在</w:t>
            </w:r>
            <w:r>
              <w:rPr>
                <w:rFonts w:ascii="仿宋_GB2312" w:hAnsi="仿宋_GB2312" w:eastAsia="仿宋_GB2312" w:cs="仿宋_GB2312"/>
              </w:rPr>
              <w:t>0</w:t>
            </w:r>
            <w:r>
              <w:rPr>
                <w:rFonts w:hint="eastAsia" w:ascii="仿宋" w:hAnsi="仿宋" w:eastAsia="仿宋" w:cs="仿宋"/>
              </w:rPr>
              <w:t>分和满分之间计算确定：</w:t>
            </w:r>
          </w:p>
          <w:p w14:paraId="0DF41AC0">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w:t>
            </w:r>
            <w:r>
              <w:rPr>
                <w:rFonts w:hint="eastAsia" w:ascii="仿宋" w:hAnsi="仿宋" w:eastAsia="仿宋" w:cs="仿宋"/>
                <w:color w:val="000000"/>
              </w:rPr>
              <w:t>重点支出安排率</w:t>
            </w:r>
            <w:r>
              <w:rPr>
                <w:rFonts w:ascii="仿宋_GB2312" w:hAnsi="仿宋_GB2312" w:eastAsia="仿宋_GB2312" w:cs="仿宋_GB2312"/>
              </w:rPr>
              <w:t>-min</w:t>
            </w:r>
            <w:r>
              <w:rPr>
                <w:rFonts w:hint="eastAsia" w:ascii="仿宋" w:hAnsi="仿宋" w:eastAsia="仿宋" w:cs="仿宋"/>
              </w:rPr>
              <w:t>（</w:t>
            </w:r>
            <w:r>
              <w:rPr>
                <w:rFonts w:hint="eastAsia" w:ascii="仿宋" w:hAnsi="仿宋" w:eastAsia="仿宋" w:cs="仿宋"/>
                <w:color w:val="000000"/>
              </w:rPr>
              <w:t>重点支出安排率</w:t>
            </w:r>
            <w:r>
              <w:rPr>
                <w:rFonts w:hint="eastAsia" w:ascii="仿宋" w:hAnsi="仿宋" w:eastAsia="仿宋" w:cs="仿宋"/>
              </w:rPr>
              <w:t>）</w:t>
            </w:r>
            <w:r>
              <w:rPr>
                <w:rFonts w:ascii="仿宋_GB2312" w:hAnsi="仿宋_GB2312" w:eastAsia="仿宋_GB2312" w:cs="仿宋_GB2312"/>
              </w:rPr>
              <w:t>]/[max</w:t>
            </w:r>
            <w:r>
              <w:rPr>
                <w:rFonts w:hint="eastAsia" w:ascii="仿宋" w:hAnsi="仿宋" w:eastAsia="仿宋" w:cs="仿宋"/>
              </w:rPr>
              <w:t>（</w:t>
            </w:r>
            <w:r>
              <w:rPr>
                <w:rFonts w:hint="eastAsia" w:ascii="仿宋" w:hAnsi="仿宋" w:eastAsia="仿宋" w:cs="仿宋"/>
                <w:color w:val="000000"/>
              </w:rPr>
              <w:t>重点支出安排率</w:t>
            </w:r>
            <w:r>
              <w:rPr>
                <w:rFonts w:hint="eastAsia" w:ascii="仿宋" w:hAnsi="仿宋" w:eastAsia="仿宋" w:cs="仿宋"/>
              </w:rPr>
              <w:t>）－</w:t>
            </w:r>
            <w:r>
              <w:rPr>
                <w:rFonts w:ascii="仿宋_GB2312" w:hAnsi="仿宋_GB2312" w:eastAsia="仿宋_GB2312" w:cs="仿宋_GB2312"/>
              </w:rPr>
              <w:t>min</w:t>
            </w:r>
            <w:r>
              <w:rPr>
                <w:rFonts w:hint="eastAsia" w:ascii="仿宋" w:hAnsi="仿宋" w:eastAsia="仿宋" w:cs="仿宋"/>
              </w:rPr>
              <w:t>（</w:t>
            </w:r>
            <w:r>
              <w:rPr>
                <w:rFonts w:hint="eastAsia" w:ascii="仿宋" w:hAnsi="仿宋" w:eastAsia="仿宋" w:cs="仿宋"/>
                <w:color w:val="000000"/>
              </w:rPr>
              <w:t>重点支出安排率</w:t>
            </w:r>
            <w:r>
              <w:rPr>
                <w:rFonts w:hint="eastAsia" w:ascii="仿宋" w:hAnsi="仿宋" w:eastAsia="仿宋" w:cs="仿宋"/>
              </w:rPr>
              <w:t>）</w:t>
            </w:r>
            <w:r>
              <w:rPr>
                <w:rFonts w:ascii="仿宋_GB2312" w:hAnsi="仿宋_GB2312" w:eastAsia="仿宋_GB2312" w:cs="仿宋_GB2312"/>
              </w:rPr>
              <w:t>]</w:t>
            </w:r>
            <w:r>
              <w:rPr>
                <w:rFonts w:hint="eastAsia" w:ascii="仿宋" w:hAnsi="仿宋" w:eastAsia="仿宋" w:cs="仿宋"/>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4D16A8">
            <w:pPr>
              <w:jc w:val="left"/>
              <w:rPr>
                <w:rFonts w:ascii="宋体" w:cs="宋体"/>
                <w:sz w:val="22"/>
              </w:rPr>
            </w:pPr>
            <w:r>
              <w:rPr>
                <w:rFonts w:ascii="宋体" w:cs="宋体"/>
                <w:sz w:val="22"/>
              </w:rPr>
              <w:t>2</w:t>
            </w:r>
          </w:p>
        </w:tc>
      </w:tr>
      <w:tr w14:paraId="692313FA">
        <w:tblPrEx>
          <w:tblCellMar>
            <w:top w:w="0" w:type="dxa"/>
            <w:left w:w="10" w:type="dxa"/>
            <w:bottom w:w="0" w:type="dxa"/>
            <w:right w:w="10"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BDFFC9">
            <w:pPr>
              <w:jc w:val="left"/>
            </w:pPr>
            <w:r>
              <w:rPr>
                <w:rFonts w:hint="eastAsia" w:ascii="宋体" w:hAnsi="宋体" w:cs="宋体"/>
              </w:rPr>
              <w:t>过程</w:t>
            </w:r>
            <w:r>
              <w:rPr>
                <w:rFonts w:ascii="仿宋_GB2312" w:hAnsi="仿宋_GB2312" w:eastAsia="仿宋_GB2312" w:cs="仿宋_GB2312"/>
              </w:rPr>
              <w:t>(45</w:t>
            </w:r>
            <w:r>
              <w:rPr>
                <w:rFonts w:hint="eastAsia" w:ascii="宋体" w:hAnsi="宋体" w:cs="宋体"/>
              </w:rPr>
              <w:t>分</w:t>
            </w:r>
            <w:r>
              <w:rPr>
                <w:rFonts w:ascii="仿宋_GB2312" w:hAnsi="仿宋_GB2312" w:eastAsia="仿宋_GB2312" w:cs="仿宋_GB2312"/>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8C7976">
            <w:pPr>
              <w:jc w:val="left"/>
            </w:pPr>
            <w:r>
              <w:rPr>
                <w:rFonts w:hint="eastAsia" w:ascii="宋体" w:hAnsi="宋体" w:cs="宋体"/>
              </w:rPr>
              <w:t>预算执行情况</w:t>
            </w:r>
            <w:r>
              <w:rPr>
                <w:rFonts w:ascii="仿宋_GB2312" w:hAnsi="仿宋_GB2312" w:eastAsia="仿宋_GB2312" w:cs="仿宋_GB2312"/>
              </w:rPr>
              <w:t>(25</w:t>
            </w:r>
            <w:r>
              <w:rPr>
                <w:rFonts w:hint="eastAsia" w:ascii="宋体" w:hAnsi="宋体" w:cs="宋体"/>
              </w:rPr>
              <w:t>分</w:t>
            </w:r>
            <w:r>
              <w:rPr>
                <w:rFonts w:ascii="仿宋_GB2312" w:hAnsi="仿宋_GB2312" w:eastAsia="仿宋_GB2312" w:cs="仿宋_GB2312"/>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76496E">
            <w:pPr>
              <w:jc w:val="left"/>
            </w:pPr>
            <w:r>
              <w:rPr>
                <w:rFonts w:hint="eastAsia" w:ascii="宋体" w:hAnsi="宋体" w:cs="宋体"/>
              </w:rPr>
              <w:t>预算完成率（</w:t>
            </w:r>
            <w:r>
              <w:rPr>
                <w:rFonts w:ascii="仿宋_GB2312" w:hAnsi="仿宋_GB2312" w:eastAsia="仿宋_GB2312" w:cs="仿宋_GB2312"/>
              </w:rPr>
              <w:t>5</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D10240">
            <w:pPr>
              <w:jc w:val="left"/>
              <w:rPr>
                <w:rFonts w:eastAsia="Times New Roman" w:cs="Calibri"/>
              </w:rPr>
            </w:pPr>
            <w:r>
              <w:rPr>
                <w:rFonts w:hint="eastAsia" w:ascii="宋体" w:hAnsi="宋体" w:cs="宋体"/>
              </w:rPr>
              <w:t>通过对部门本年度预算完成数与预算数的比较，反映和评价部门预算的完成程度。</w:t>
            </w:r>
          </w:p>
          <w:p w14:paraId="099F3C9D">
            <w:pPr>
              <w:jc w:val="left"/>
            </w:pPr>
            <w:r>
              <w:rPr>
                <w:rFonts w:hint="eastAsia" w:ascii="宋体" w:hAnsi="宋体" w:cs="宋体"/>
              </w:rPr>
              <w:t>预算完成率</w:t>
            </w:r>
            <w:r>
              <w:rPr>
                <w:rFonts w:ascii="仿宋_GB2312" w:hAnsi="仿宋_GB2312" w:eastAsia="仿宋_GB2312" w:cs="仿宋_GB2312"/>
              </w:rPr>
              <w:t>=</w:t>
            </w:r>
            <w:r>
              <w:rPr>
                <w:rFonts w:hint="eastAsia" w:ascii="宋体" w:hAnsi="宋体" w:cs="宋体"/>
              </w:rPr>
              <w:t>（预算完成数</w:t>
            </w:r>
            <w:r>
              <w:rPr>
                <w:rFonts w:ascii="仿宋_GB2312" w:hAnsi="仿宋_GB2312" w:eastAsia="仿宋_GB2312" w:cs="仿宋_GB2312"/>
              </w:rPr>
              <w:t>/</w:t>
            </w:r>
            <w:r>
              <w:rPr>
                <w:rFonts w:hint="eastAsia" w:ascii="宋体" w:hAnsi="宋体" w:cs="宋体"/>
              </w:rPr>
              <w:t>预算数）</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7B7CB3">
            <w:pPr>
              <w:jc w:val="left"/>
              <w:rPr>
                <w:rFonts w:eastAsia="Times New Roman" w:cs="Calibri"/>
              </w:rPr>
            </w:pPr>
            <w:r>
              <w:rPr>
                <w:rFonts w:ascii="仿宋_GB2312" w:hAnsi="仿宋_GB2312" w:eastAsia="仿宋_GB2312" w:cs="仿宋_GB2312"/>
              </w:rPr>
              <w:t>1.</w:t>
            </w:r>
            <w:r>
              <w:rPr>
                <w:rFonts w:hint="eastAsia" w:ascii="宋体" w:hAnsi="宋体" w:cs="宋体"/>
              </w:rPr>
              <w:t>预算完成率大于或等于</w:t>
            </w:r>
            <w:r>
              <w:rPr>
                <w:rFonts w:ascii="仿宋_GB2312" w:hAnsi="仿宋_GB2312" w:eastAsia="仿宋_GB2312" w:cs="仿宋_GB2312"/>
              </w:rPr>
              <w:t>95%</w:t>
            </w:r>
            <w:r>
              <w:rPr>
                <w:rFonts w:hint="eastAsia" w:ascii="宋体" w:hAnsi="宋体" w:cs="宋体"/>
              </w:rPr>
              <w:t>的，得满分；</w:t>
            </w:r>
          </w:p>
          <w:p w14:paraId="3CC7D43A">
            <w:pPr>
              <w:jc w:val="left"/>
              <w:rPr>
                <w:rFonts w:eastAsia="Times New Roman" w:cs="Calibri"/>
              </w:rPr>
            </w:pPr>
            <w:r>
              <w:rPr>
                <w:rFonts w:ascii="仿宋_GB2312" w:hAnsi="仿宋_GB2312" w:eastAsia="仿宋_GB2312" w:cs="仿宋_GB2312"/>
              </w:rPr>
              <w:t>2.</w:t>
            </w:r>
            <w:r>
              <w:rPr>
                <w:rFonts w:hint="eastAsia" w:ascii="宋体" w:hAnsi="宋体" w:cs="宋体"/>
              </w:rPr>
              <w:t>预算完成率小于或等于</w:t>
            </w:r>
            <w:r>
              <w:rPr>
                <w:rFonts w:ascii="仿宋_GB2312" w:hAnsi="仿宋_GB2312" w:eastAsia="仿宋_GB2312" w:cs="仿宋_GB2312"/>
              </w:rPr>
              <w:t>85%</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14:paraId="3E6E3442">
            <w:pPr>
              <w:jc w:val="left"/>
              <w:rPr>
                <w:rFonts w:eastAsia="Times New Roman" w:cs="Calibri"/>
              </w:rPr>
            </w:pPr>
            <w:r>
              <w:rPr>
                <w:rFonts w:ascii="仿宋_GB2312" w:hAnsi="仿宋_GB2312" w:eastAsia="仿宋_GB2312" w:cs="仿宋_GB2312"/>
              </w:rPr>
              <w:t>3.</w:t>
            </w:r>
            <w:r>
              <w:rPr>
                <w:rFonts w:hint="eastAsia" w:ascii="宋体" w:hAnsi="宋体" w:cs="宋体"/>
              </w:rPr>
              <w:t>预算完成率在</w:t>
            </w:r>
            <w:r>
              <w:rPr>
                <w:rFonts w:ascii="仿宋_GB2312" w:hAnsi="仿宋_GB2312" w:eastAsia="仿宋_GB2312" w:cs="仿宋_GB2312"/>
              </w:rPr>
              <w:t>85%-95%</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分和满分之间计算确定：</w:t>
            </w:r>
          </w:p>
          <w:p w14:paraId="77663572">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某部门预算完成率</w:t>
            </w:r>
            <w:r>
              <w:rPr>
                <w:rFonts w:ascii="仿宋_GB2312" w:hAnsi="仿宋_GB2312" w:eastAsia="仿宋_GB2312" w:cs="仿宋_GB2312"/>
              </w:rPr>
              <w:t>-min</w:t>
            </w:r>
            <w:r>
              <w:rPr>
                <w:rFonts w:hint="eastAsia" w:ascii="宋体" w:hAnsi="宋体" w:cs="宋体"/>
              </w:rPr>
              <w:t>（预算完成率）</w:t>
            </w:r>
            <w:r>
              <w:rPr>
                <w:rFonts w:ascii="仿宋_GB2312" w:hAnsi="仿宋_GB2312" w:eastAsia="仿宋_GB2312" w:cs="仿宋_GB2312"/>
              </w:rPr>
              <w:t>]/[max</w:t>
            </w:r>
            <w:r>
              <w:rPr>
                <w:rFonts w:hint="eastAsia" w:ascii="宋体" w:hAnsi="宋体" w:cs="宋体"/>
              </w:rPr>
              <w:t>（预算完成率）－</w:t>
            </w:r>
            <w:r>
              <w:rPr>
                <w:rFonts w:ascii="仿宋_GB2312" w:hAnsi="仿宋_GB2312" w:eastAsia="仿宋_GB2312" w:cs="仿宋_GB2312"/>
              </w:rPr>
              <w:t>min</w:t>
            </w:r>
            <w:r>
              <w:rPr>
                <w:rFonts w:hint="eastAsia" w:ascii="宋体" w:hAnsi="宋体" w:cs="宋体"/>
              </w:rPr>
              <w:t>（预算完成率）</w:t>
            </w:r>
            <w:r>
              <w:rPr>
                <w:rFonts w:ascii="仿宋_GB2312" w:hAnsi="仿宋_GB2312" w:eastAsia="仿宋_GB2312" w:cs="仿宋_GB2312"/>
              </w:rPr>
              <w:t>]</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1CB7C2">
            <w:pPr>
              <w:jc w:val="left"/>
              <w:rPr>
                <w:rFonts w:ascii="宋体" w:cs="宋体"/>
                <w:sz w:val="22"/>
              </w:rPr>
            </w:pPr>
            <w:r>
              <w:rPr>
                <w:rFonts w:ascii="宋体" w:cs="宋体"/>
                <w:sz w:val="22"/>
              </w:rPr>
              <w:t>5</w:t>
            </w:r>
          </w:p>
        </w:tc>
      </w:tr>
      <w:tr w14:paraId="238CAB5A">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607BD2">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C1C707">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211AD5">
            <w:pPr>
              <w:jc w:val="left"/>
            </w:pPr>
            <w:r>
              <w:rPr>
                <w:rFonts w:hint="eastAsia" w:ascii="宋体" w:hAnsi="宋体" w:cs="宋体"/>
              </w:rPr>
              <w:t>预算调整率（</w:t>
            </w:r>
            <w:r>
              <w:rPr>
                <w:rFonts w:ascii="仿宋_GB2312" w:hAnsi="仿宋_GB2312" w:eastAsia="仿宋_GB2312" w:cs="仿宋_GB2312"/>
              </w:rPr>
              <w:t>3</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D6B60">
            <w:pPr>
              <w:jc w:val="left"/>
              <w:rPr>
                <w:rFonts w:eastAsia="Times New Roman" w:cs="Calibri"/>
              </w:rPr>
            </w:pPr>
            <w:r>
              <w:rPr>
                <w:rFonts w:hint="eastAsia" w:ascii="宋体" w:hAnsi="宋体" w:cs="宋体"/>
              </w:rPr>
              <w:t>部门本年度预算调整数与预算数的比率，用以反映和评价部门预算的调整程度。</w:t>
            </w:r>
          </w:p>
          <w:p w14:paraId="371EE77A">
            <w:pPr>
              <w:jc w:val="left"/>
            </w:pPr>
            <w:r>
              <w:rPr>
                <w:rFonts w:hint="eastAsia" w:ascii="宋体" w:hAnsi="宋体" w:cs="宋体"/>
              </w:rPr>
              <w:t>预算调整率</w:t>
            </w:r>
            <w:r>
              <w:rPr>
                <w:rFonts w:ascii="仿宋_GB2312" w:hAnsi="仿宋_GB2312" w:eastAsia="仿宋_GB2312" w:cs="仿宋_GB2312"/>
              </w:rPr>
              <w:t>=</w:t>
            </w:r>
            <w:r>
              <w:rPr>
                <w:rFonts w:hint="eastAsia" w:ascii="宋体" w:hAnsi="宋体" w:cs="宋体"/>
              </w:rPr>
              <w:t>（预算调整数</w:t>
            </w:r>
            <w:r>
              <w:rPr>
                <w:rFonts w:ascii="仿宋_GB2312" w:hAnsi="仿宋_GB2312" w:eastAsia="仿宋_GB2312" w:cs="仿宋_GB2312"/>
              </w:rPr>
              <w:t>/</w:t>
            </w:r>
            <w:r>
              <w:rPr>
                <w:rFonts w:hint="eastAsia" w:ascii="宋体" w:hAnsi="宋体" w:cs="宋体"/>
              </w:rPr>
              <w:t>预算数）</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CA7E1">
            <w:pPr>
              <w:jc w:val="left"/>
              <w:rPr>
                <w:rFonts w:eastAsia="Times New Roman" w:cs="Calibri"/>
              </w:rPr>
            </w:pPr>
            <w:r>
              <w:rPr>
                <w:rFonts w:ascii="仿宋_GB2312" w:hAnsi="仿宋_GB2312" w:eastAsia="仿宋_GB2312" w:cs="仿宋_GB2312"/>
              </w:rPr>
              <w:t>1.</w:t>
            </w:r>
            <w:r>
              <w:rPr>
                <w:rFonts w:hint="eastAsia" w:ascii="宋体" w:hAnsi="宋体" w:cs="宋体"/>
              </w:rPr>
              <w:t>预算调整率等于</w:t>
            </w:r>
            <w:r>
              <w:rPr>
                <w:rFonts w:ascii="仿宋_GB2312" w:hAnsi="仿宋_GB2312" w:eastAsia="仿宋_GB2312" w:cs="仿宋_GB2312"/>
              </w:rPr>
              <w:t>0</w:t>
            </w:r>
            <w:r>
              <w:rPr>
                <w:rFonts w:hint="eastAsia" w:ascii="宋体" w:hAnsi="宋体" w:cs="宋体"/>
              </w:rPr>
              <w:t>的，得满分；</w:t>
            </w:r>
            <w:r>
              <w:rPr>
                <w:rFonts w:ascii="仿宋_GB2312" w:hAnsi="仿宋_GB2312" w:eastAsia="仿宋_GB2312" w:cs="仿宋_GB2312"/>
              </w:rPr>
              <w:t xml:space="preserve"> </w:t>
            </w:r>
          </w:p>
          <w:p w14:paraId="4AEBEC4D">
            <w:pPr>
              <w:jc w:val="left"/>
              <w:rPr>
                <w:rFonts w:eastAsia="Times New Roman" w:cs="Calibri"/>
              </w:rPr>
            </w:pPr>
            <w:r>
              <w:rPr>
                <w:rFonts w:ascii="仿宋_GB2312" w:hAnsi="仿宋_GB2312" w:eastAsia="仿宋_GB2312" w:cs="仿宋_GB2312"/>
              </w:rPr>
              <w:t>2.</w:t>
            </w:r>
            <w:r>
              <w:rPr>
                <w:rFonts w:hint="eastAsia" w:ascii="宋体" w:hAnsi="宋体" w:cs="宋体"/>
              </w:rPr>
              <w:t>预算调整率大于或等于</w:t>
            </w:r>
            <w:r>
              <w:rPr>
                <w:rFonts w:ascii="仿宋_GB2312" w:hAnsi="仿宋_GB2312" w:eastAsia="仿宋_GB2312" w:cs="仿宋_GB2312"/>
              </w:rPr>
              <w:t>10%</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14:paraId="47C47F6C">
            <w:pPr>
              <w:jc w:val="left"/>
              <w:rPr>
                <w:rFonts w:eastAsia="Times New Roman" w:cs="Calibri"/>
              </w:rPr>
            </w:pPr>
            <w:r>
              <w:rPr>
                <w:rFonts w:ascii="仿宋_GB2312" w:hAnsi="仿宋_GB2312" w:eastAsia="仿宋_GB2312" w:cs="仿宋_GB2312"/>
              </w:rPr>
              <w:t>3.</w:t>
            </w:r>
            <w:r>
              <w:rPr>
                <w:rFonts w:hint="eastAsia" w:ascii="宋体" w:hAnsi="宋体" w:cs="宋体"/>
              </w:rPr>
              <w:t>预算调整率在</w:t>
            </w:r>
            <w:r>
              <w:rPr>
                <w:rFonts w:ascii="仿宋_GB2312" w:hAnsi="仿宋_GB2312" w:eastAsia="仿宋_GB2312" w:cs="仿宋_GB2312"/>
              </w:rPr>
              <w:t>0-10%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分和满分之间确定：</w:t>
            </w:r>
          </w:p>
          <w:p w14:paraId="2C5B0A5F">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（预算调整率）</w:t>
            </w:r>
            <w:r>
              <w:rPr>
                <w:rFonts w:ascii="仿宋_GB2312" w:hAnsi="仿宋_GB2312" w:eastAsia="仿宋_GB2312" w:cs="仿宋_GB2312"/>
              </w:rPr>
              <w:t>-</w:t>
            </w:r>
            <w:r>
              <w:rPr>
                <w:rFonts w:hint="eastAsia" w:ascii="宋体" w:hAnsi="宋体" w:cs="宋体"/>
              </w:rPr>
              <w:t>某部门预算调整率］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（预算调整率）</w:t>
            </w:r>
            <w:r>
              <w:rPr>
                <w:rFonts w:ascii="仿宋_GB2312" w:hAnsi="仿宋_GB2312" w:eastAsia="仿宋_GB2312" w:cs="仿宋_GB2312"/>
              </w:rPr>
              <w:t>-min</w:t>
            </w:r>
            <w:r>
              <w:rPr>
                <w:rFonts w:hint="eastAsia" w:ascii="宋体" w:hAnsi="宋体" w:cs="宋体"/>
              </w:rPr>
              <w:t>（预算调整率）］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AAF88C">
            <w:pPr>
              <w:jc w:val="left"/>
              <w:rPr>
                <w:rFonts w:ascii="宋体" w:cs="宋体"/>
                <w:sz w:val="22"/>
              </w:rPr>
            </w:pPr>
            <w:r>
              <w:rPr>
                <w:rFonts w:ascii="宋体" w:cs="宋体"/>
                <w:sz w:val="22"/>
              </w:rPr>
              <w:t>3</w:t>
            </w:r>
          </w:p>
        </w:tc>
      </w:tr>
      <w:tr w14:paraId="45346E86">
        <w:tblPrEx>
          <w:tblCellMar>
            <w:top w:w="0" w:type="dxa"/>
            <w:left w:w="10" w:type="dxa"/>
            <w:bottom w:w="0" w:type="dxa"/>
            <w:right w:w="10"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7DCC0C">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B5472E">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B70F6C">
            <w:pPr>
              <w:jc w:val="left"/>
            </w:pPr>
            <w:r>
              <w:rPr>
                <w:rFonts w:hint="eastAsia" w:ascii="宋体" w:hAnsi="宋体" w:cs="宋体"/>
                <w:color w:val="000000"/>
              </w:rPr>
              <w:t>支付进度率</w:t>
            </w:r>
            <w:r>
              <w:rPr>
                <w:rFonts w:hint="eastAsia" w:ascii="宋体" w:hAnsi="宋体" w:cs="宋体"/>
              </w:rPr>
              <w:t>（</w:t>
            </w:r>
            <w:r>
              <w:rPr>
                <w:rFonts w:ascii="仿宋_GB2312" w:hAnsi="仿宋_GB2312" w:eastAsia="仿宋_GB2312" w:cs="仿宋_GB2312"/>
              </w:rPr>
              <w:t>5</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F20B98">
            <w:pPr>
              <w:jc w:val="left"/>
              <w:rPr>
                <w:rFonts w:eastAsia="Times New Roman" w:cs="Calibri"/>
              </w:rPr>
            </w:pPr>
            <w:r>
              <w:rPr>
                <w:rFonts w:hint="eastAsia" w:ascii="宋体" w:hAnsi="宋体" w:cs="宋体"/>
              </w:rPr>
              <w:t>部门年度支付数与年度任务数的比率，用以反映和评价部门预算执行的及时和均衡程度。</w:t>
            </w:r>
          </w:p>
          <w:p w14:paraId="61E9D264">
            <w:pPr>
              <w:jc w:val="left"/>
            </w:pPr>
            <w:r>
              <w:rPr>
                <w:rFonts w:hint="eastAsia" w:ascii="宋体" w:hAnsi="宋体" w:cs="宋体"/>
              </w:rPr>
              <w:t>支付进度率</w:t>
            </w:r>
            <w:r>
              <w:rPr>
                <w:rFonts w:ascii="仿宋_GB2312" w:hAnsi="仿宋_GB2312" w:eastAsia="仿宋_GB2312" w:cs="仿宋_GB2312"/>
              </w:rPr>
              <w:t>=</w:t>
            </w:r>
            <w:r>
              <w:rPr>
                <w:rFonts w:hint="eastAsia" w:ascii="宋体" w:hAnsi="宋体" w:cs="宋体"/>
              </w:rPr>
              <w:t>（年度支付数</w:t>
            </w:r>
            <w:r>
              <w:rPr>
                <w:rFonts w:ascii="仿宋_GB2312" w:hAnsi="仿宋_GB2312" w:eastAsia="仿宋_GB2312" w:cs="仿宋_GB2312"/>
              </w:rPr>
              <w:t>/</w:t>
            </w:r>
            <w:r>
              <w:rPr>
                <w:rFonts w:hint="eastAsia" w:ascii="宋体" w:hAnsi="宋体" w:cs="宋体"/>
              </w:rPr>
              <w:t>年度任务数）</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59DCC3">
            <w:pPr>
              <w:jc w:val="left"/>
              <w:rPr>
                <w:rFonts w:eastAsia="Times New Roman" w:cs="Calibri"/>
              </w:rPr>
            </w:pPr>
            <w:r>
              <w:rPr>
                <w:rFonts w:hint="eastAsia" w:ascii="宋体" w:hAnsi="宋体" w:cs="宋体"/>
              </w:rPr>
              <w:t>按年度的执行情况进行打分。得分</w:t>
            </w:r>
            <w:r>
              <w:rPr>
                <w:rFonts w:ascii="仿宋_GB2312" w:hAnsi="仿宋_GB2312" w:eastAsia="仿宋_GB2312" w:cs="仿宋_GB2312"/>
              </w:rPr>
              <w:t>=</w:t>
            </w:r>
            <w:r>
              <w:rPr>
                <w:rFonts w:hint="eastAsia" w:ascii="宋体" w:hAnsi="宋体" w:cs="宋体"/>
              </w:rPr>
              <w:t>年度支付数</w:t>
            </w:r>
            <w:r>
              <w:rPr>
                <w:rFonts w:ascii="仿宋_GB2312" w:hAnsi="仿宋_GB2312" w:eastAsia="仿宋_GB2312" w:cs="仿宋_GB2312"/>
              </w:rPr>
              <w:t>/</w:t>
            </w:r>
            <w:r>
              <w:rPr>
                <w:rFonts w:hint="eastAsia" w:ascii="宋体" w:hAnsi="宋体" w:cs="宋体"/>
              </w:rPr>
              <w:t>年度任务数</w:t>
            </w:r>
            <w:r>
              <w:rPr>
                <w:rFonts w:hint="eastAsia" w:ascii="宋体" w:cs="宋体"/>
              </w:rPr>
              <w:t>×</w:t>
            </w:r>
            <w:r>
              <w:rPr>
                <w:rFonts w:hint="eastAsia" w:ascii="宋体" w:hAnsi="宋体" w:cs="宋体"/>
              </w:rPr>
              <w:t>该指标分值。</w:t>
            </w:r>
          </w:p>
          <w:p w14:paraId="1F4C1E8A">
            <w:pPr>
              <w:jc w:val="left"/>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AD963">
            <w:pPr>
              <w:jc w:val="left"/>
              <w:rPr>
                <w:rFonts w:ascii="宋体" w:cs="宋体"/>
                <w:sz w:val="22"/>
              </w:rPr>
            </w:pPr>
            <w:r>
              <w:rPr>
                <w:rFonts w:ascii="宋体" w:cs="宋体"/>
                <w:sz w:val="22"/>
              </w:rPr>
              <w:t>4</w:t>
            </w:r>
          </w:p>
        </w:tc>
      </w:tr>
      <w:tr w14:paraId="5403365F">
        <w:tblPrEx>
          <w:tblCellMar>
            <w:top w:w="0" w:type="dxa"/>
            <w:left w:w="10" w:type="dxa"/>
            <w:bottom w:w="0" w:type="dxa"/>
            <w:right w:w="10"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FB93F3">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FE661D">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385C73">
            <w:pPr>
              <w:jc w:val="left"/>
            </w:pPr>
            <w:r>
              <w:rPr>
                <w:rFonts w:hint="eastAsia" w:ascii="宋体" w:hAnsi="宋体" w:cs="宋体"/>
              </w:rPr>
              <w:t>结转结余率（</w:t>
            </w:r>
            <w:r>
              <w:rPr>
                <w:rFonts w:ascii="仿宋_GB2312" w:hAnsi="仿宋_GB2312" w:eastAsia="仿宋_GB2312" w:cs="仿宋_GB2312"/>
              </w:rPr>
              <w:t>4</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9F6F31">
            <w:pPr>
              <w:jc w:val="left"/>
              <w:rPr>
                <w:rFonts w:eastAsia="Times New Roman" w:cs="Calibri"/>
              </w:rPr>
            </w:pPr>
            <w:r>
              <w:rPr>
                <w:rFonts w:hint="eastAsia" w:ascii="宋体" w:hAnsi="宋体" w:cs="宋体"/>
              </w:rPr>
              <w:t>通过对部门本年度结转结余总额与支出预算数的比较，反映和评价部门对本年度结转结余资金的实际控制程度。</w:t>
            </w:r>
          </w:p>
          <w:p w14:paraId="044B37D1">
            <w:pPr>
              <w:jc w:val="left"/>
            </w:pPr>
            <w:r>
              <w:rPr>
                <w:rFonts w:hint="eastAsia" w:ascii="宋体" w:hAnsi="宋体" w:cs="宋体"/>
              </w:rPr>
              <w:t>结转结余率</w:t>
            </w:r>
            <w:r>
              <w:rPr>
                <w:rFonts w:ascii="仿宋_GB2312" w:hAnsi="仿宋_GB2312" w:eastAsia="仿宋_GB2312" w:cs="仿宋_GB2312"/>
              </w:rPr>
              <w:t>=</w:t>
            </w:r>
            <w:r>
              <w:rPr>
                <w:rFonts w:hint="eastAsia" w:ascii="宋体" w:hAnsi="宋体" w:cs="宋体"/>
              </w:rPr>
              <w:t>（结转结余总额</w:t>
            </w:r>
            <w:r>
              <w:rPr>
                <w:rFonts w:ascii="仿宋_GB2312" w:hAnsi="仿宋_GB2312" w:eastAsia="仿宋_GB2312" w:cs="仿宋_GB2312"/>
              </w:rPr>
              <w:t>/</w:t>
            </w:r>
            <w:r>
              <w:rPr>
                <w:rFonts w:hint="eastAsia" w:ascii="宋体" w:hAnsi="宋体" w:cs="宋体"/>
              </w:rPr>
              <w:t>支出预算数）</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EE9CA">
            <w:pPr>
              <w:jc w:val="left"/>
              <w:rPr>
                <w:rFonts w:eastAsia="Times New Roman" w:cs="Calibri"/>
              </w:rPr>
            </w:pPr>
            <w:r>
              <w:rPr>
                <w:rFonts w:ascii="仿宋_GB2312" w:hAnsi="仿宋_GB2312" w:eastAsia="仿宋_GB2312" w:cs="仿宋_GB2312"/>
              </w:rPr>
              <w:t>1.</w:t>
            </w:r>
            <w:r>
              <w:rPr>
                <w:rFonts w:hint="eastAsia" w:ascii="宋体" w:hAnsi="宋体" w:cs="宋体"/>
              </w:rPr>
              <w:t>结转结余率等于</w:t>
            </w:r>
            <w:r>
              <w:rPr>
                <w:rFonts w:ascii="仿宋_GB2312" w:hAnsi="仿宋_GB2312" w:eastAsia="仿宋_GB2312" w:cs="仿宋_GB2312"/>
              </w:rPr>
              <w:t>0</w:t>
            </w:r>
            <w:r>
              <w:rPr>
                <w:rFonts w:hint="eastAsia" w:ascii="宋体" w:hAnsi="宋体" w:cs="宋体"/>
              </w:rPr>
              <w:t>的，得满分；</w:t>
            </w:r>
          </w:p>
          <w:p w14:paraId="60ABA0E5">
            <w:pPr>
              <w:jc w:val="left"/>
              <w:rPr>
                <w:rFonts w:eastAsia="Times New Roman" w:cs="Calibri"/>
              </w:rPr>
            </w:pPr>
            <w:r>
              <w:rPr>
                <w:rFonts w:ascii="仿宋_GB2312" w:hAnsi="仿宋_GB2312" w:eastAsia="仿宋_GB2312" w:cs="仿宋_GB2312"/>
              </w:rPr>
              <w:t>2.</w:t>
            </w:r>
            <w:r>
              <w:rPr>
                <w:rFonts w:hint="eastAsia" w:ascii="宋体" w:hAnsi="宋体" w:cs="宋体"/>
              </w:rPr>
              <w:t>结转结余率大于或等于</w:t>
            </w:r>
            <w:r>
              <w:rPr>
                <w:rFonts w:ascii="仿宋_GB2312" w:hAnsi="仿宋_GB2312" w:eastAsia="仿宋_GB2312" w:cs="仿宋_GB2312"/>
              </w:rPr>
              <w:t>50%</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14:paraId="0E6EA129">
            <w:pPr>
              <w:jc w:val="left"/>
              <w:rPr>
                <w:rFonts w:eastAsia="Times New Roman" w:cs="Calibri"/>
              </w:rPr>
            </w:pPr>
            <w:r>
              <w:rPr>
                <w:rFonts w:ascii="仿宋_GB2312" w:hAnsi="仿宋_GB2312" w:eastAsia="仿宋_GB2312" w:cs="仿宋_GB2312"/>
              </w:rPr>
              <w:t>3.</w:t>
            </w:r>
            <w:r>
              <w:rPr>
                <w:rFonts w:hint="eastAsia" w:ascii="宋体" w:hAnsi="宋体" w:cs="宋体"/>
              </w:rPr>
              <w:t>结转结余率在</w:t>
            </w:r>
            <w:r>
              <w:rPr>
                <w:rFonts w:ascii="仿宋_GB2312" w:hAnsi="仿宋_GB2312" w:eastAsia="仿宋_GB2312" w:cs="仿宋_GB2312"/>
              </w:rPr>
              <w:t>0-50%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p>
          <w:p w14:paraId="7104B383">
            <w:pPr>
              <w:jc w:val="left"/>
            </w:pPr>
            <w:r>
              <w:rPr>
                <w:rFonts w:hint="eastAsia" w:ascii="宋体" w:hAnsi="宋体" w:cs="宋体"/>
              </w:rPr>
              <w:t>得分</w:t>
            </w:r>
            <w:r>
              <w:rPr>
                <w:rFonts w:ascii="仿宋_GB2312" w:hAnsi="仿宋_GB2312" w:eastAsia="仿宋_GB2312" w:cs="仿宋_GB2312"/>
              </w:rPr>
              <w:t>=[max</w:t>
            </w:r>
            <w:r>
              <w:rPr>
                <w:rFonts w:hint="eastAsia" w:ascii="宋体" w:hAnsi="宋体" w:cs="宋体"/>
              </w:rPr>
              <w:t>（结转结余率）－某部门结转结余率</w:t>
            </w:r>
            <w:r>
              <w:rPr>
                <w:rFonts w:ascii="仿宋_GB2312" w:hAnsi="仿宋_GB2312" w:eastAsia="仿宋_GB2312" w:cs="仿宋_GB2312"/>
              </w:rPr>
              <w:t>]/[max</w:t>
            </w:r>
            <w:r>
              <w:rPr>
                <w:rFonts w:hint="eastAsia" w:ascii="宋体" w:hAnsi="宋体" w:cs="宋体"/>
              </w:rPr>
              <w:t>（结转结余率）－</w:t>
            </w:r>
            <w:r>
              <w:rPr>
                <w:rFonts w:ascii="仿宋_GB2312" w:hAnsi="仿宋_GB2312" w:eastAsia="仿宋_GB2312" w:cs="仿宋_GB2312"/>
              </w:rPr>
              <w:t>min</w:t>
            </w:r>
            <w:r>
              <w:rPr>
                <w:rFonts w:hint="eastAsia" w:ascii="宋体" w:hAnsi="宋体" w:cs="宋体"/>
              </w:rPr>
              <w:t>（结转结余率）</w:t>
            </w:r>
            <w:r>
              <w:rPr>
                <w:rFonts w:ascii="仿宋_GB2312" w:hAnsi="仿宋_GB2312" w:eastAsia="仿宋_GB2312" w:cs="仿宋_GB2312"/>
              </w:rPr>
              <w:t>]</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50F02C">
            <w:pPr>
              <w:jc w:val="left"/>
              <w:rPr>
                <w:rFonts w:ascii="宋体" w:cs="宋体"/>
                <w:sz w:val="22"/>
              </w:rPr>
            </w:pPr>
            <w:r>
              <w:rPr>
                <w:rFonts w:ascii="宋体" w:cs="宋体"/>
                <w:sz w:val="22"/>
              </w:rPr>
              <w:t>3</w:t>
            </w:r>
          </w:p>
        </w:tc>
      </w:tr>
      <w:tr w14:paraId="61E54314">
        <w:tblPrEx>
          <w:tblCellMar>
            <w:top w:w="0" w:type="dxa"/>
            <w:left w:w="10" w:type="dxa"/>
            <w:bottom w:w="0" w:type="dxa"/>
            <w:right w:w="10"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7D0BE5">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F8F81B">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8AF211">
            <w:pPr>
              <w:jc w:val="left"/>
            </w:pPr>
            <w:r>
              <w:rPr>
                <w:rFonts w:hint="eastAsia" w:ascii="宋体" w:hAnsi="宋体" w:cs="宋体"/>
              </w:rPr>
              <w:t>公用经费控制率（</w:t>
            </w:r>
            <w:r>
              <w:rPr>
                <w:rFonts w:ascii="仿宋_GB2312" w:hAnsi="仿宋_GB2312" w:eastAsia="仿宋_GB2312" w:cs="仿宋_GB2312"/>
              </w:rPr>
              <w:t>4</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E0B2AA">
            <w:pPr>
              <w:jc w:val="left"/>
              <w:rPr>
                <w:rFonts w:eastAsia="Times New Roman" w:cs="Calibri"/>
              </w:rPr>
            </w:pPr>
            <w:r>
              <w:rPr>
                <w:rFonts w:hint="eastAsia" w:ascii="宋体" w:hAnsi="宋体" w:cs="宋体"/>
              </w:rPr>
              <w:t>通过对部门本年度实际支出的公用经费总额与预算安排的公用经费总额的比率，反映和评价部门对机构运转成本的实际控制程度。</w:t>
            </w:r>
          </w:p>
          <w:p w14:paraId="24DE0214">
            <w:pPr>
              <w:jc w:val="left"/>
            </w:pPr>
            <w:r>
              <w:rPr>
                <w:rFonts w:hint="eastAsia" w:ascii="宋体" w:hAnsi="宋体" w:cs="宋体"/>
              </w:rPr>
              <w:t>公用经费控制率</w:t>
            </w:r>
            <w:r>
              <w:rPr>
                <w:rFonts w:ascii="仿宋_GB2312" w:hAnsi="仿宋_GB2312" w:eastAsia="仿宋_GB2312" w:cs="仿宋_GB2312"/>
              </w:rPr>
              <w:t>=</w:t>
            </w:r>
            <w:r>
              <w:rPr>
                <w:rFonts w:hint="eastAsia" w:ascii="宋体" w:hAnsi="宋体" w:cs="宋体"/>
              </w:rPr>
              <w:t>（实际支出公用经费总额</w:t>
            </w:r>
            <w:r>
              <w:rPr>
                <w:rFonts w:ascii="仿宋_GB2312" w:hAnsi="仿宋_GB2312" w:eastAsia="仿宋_GB2312" w:cs="仿宋_GB2312"/>
              </w:rPr>
              <w:t>/</w:t>
            </w:r>
            <w:r>
              <w:rPr>
                <w:rFonts w:hint="eastAsia" w:ascii="宋体" w:hAnsi="宋体" w:cs="宋体"/>
              </w:rPr>
              <w:t>预算安排公用经费总额）</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6E6097">
            <w:pPr>
              <w:jc w:val="left"/>
              <w:rPr>
                <w:rFonts w:eastAsia="Times New Roman" w:cs="Calibri"/>
              </w:rPr>
            </w:pPr>
            <w:r>
              <w:rPr>
                <w:rFonts w:ascii="仿宋_GB2312" w:hAnsi="仿宋_GB2312" w:eastAsia="仿宋_GB2312" w:cs="仿宋_GB2312"/>
              </w:rPr>
              <w:t>1.</w:t>
            </w:r>
            <w:r>
              <w:rPr>
                <w:rFonts w:hint="eastAsia" w:ascii="宋体" w:hAnsi="宋体" w:cs="宋体"/>
              </w:rPr>
              <w:t>公用经费控制率小于或等于</w:t>
            </w:r>
            <w:r>
              <w:rPr>
                <w:rFonts w:ascii="仿宋_GB2312" w:hAnsi="仿宋_GB2312" w:eastAsia="仿宋_GB2312" w:cs="仿宋_GB2312"/>
              </w:rPr>
              <w:t>100%</w:t>
            </w:r>
            <w:r>
              <w:rPr>
                <w:rFonts w:hint="eastAsia" w:ascii="宋体" w:hAnsi="宋体" w:cs="宋体"/>
              </w:rPr>
              <w:t>的，得满分；</w:t>
            </w:r>
          </w:p>
          <w:p w14:paraId="657F73CC">
            <w:pPr>
              <w:jc w:val="left"/>
              <w:rPr>
                <w:rFonts w:eastAsia="Times New Roman" w:cs="Calibri"/>
              </w:rPr>
            </w:pPr>
            <w:r>
              <w:rPr>
                <w:rFonts w:ascii="仿宋_GB2312" w:hAnsi="仿宋_GB2312" w:eastAsia="仿宋_GB2312" w:cs="仿宋_GB2312"/>
              </w:rPr>
              <w:t>2.</w:t>
            </w:r>
            <w:r>
              <w:rPr>
                <w:rFonts w:hint="eastAsia" w:ascii="宋体" w:hAnsi="宋体" w:cs="宋体"/>
              </w:rPr>
              <w:t>公用经费控制率大于或等于</w:t>
            </w:r>
            <w:r>
              <w:rPr>
                <w:rFonts w:ascii="仿宋_GB2312" w:hAnsi="仿宋_GB2312" w:eastAsia="仿宋_GB2312" w:cs="仿宋_GB2312"/>
              </w:rPr>
              <w:t>105%</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14:paraId="23ADBFFD">
            <w:pPr>
              <w:jc w:val="left"/>
              <w:rPr>
                <w:rFonts w:eastAsia="Times New Roman" w:cs="Calibri"/>
              </w:rPr>
            </w:pPr>
            <w:r>
              <w:rPr>
                <w:rFonts w:ascii="仿宋_GB2312" w:hAnsi="仿宋_GB2312" w:eastAsia="仿宋_GB2312" w:cs="仿宋_GB2312"/>
              </w:rPr>
              <w:t>3.</w:t>
            </w:r>
            <w:r>
              <w:rPr>
                <w:rFonts w:hint="eastAsia" w:ascii="宋体" w:hAnsi="宋体" w:cs="宋体"/>
              </w:rPr>
              <w:t>公用经费控制率在</w:t>
            </w:r>
            <w:r>
              <w:rPr>
                <w:rFonts w:ascii="仿宋_GB2312" w:hAnsi="仿宋_GB2312" w:eastAsia="仿宋_GB2312" w:cs="仿宋_GB2312"/>
              </w:rPr>
              <w:t>100%-105%</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p>
          <w:p w14:paraId="661EEEAA">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（公用经费控制率）</w:t>
            </w:r>
            <w:r>
              <w:rPr>
                <w:rFonts w:ascii="仿宋_GB2312" w:hAnsi="仿宋_GB2312" w:eastAsia="仿宋_GB2312" w:cs="仿宋_GB2312"/>
              </w:rPr>
              <w:t>-</w:t>
            </w:r>
            <w:r>
              <w:rPr>
                <w:rFonts w:hint="eastAsia" w:ascii="宋体" w:hAnsi="宋体" w:cs="宋体"/>
              </w:rPr>
              <w:t>某部门公用经费控制率］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（公用经费控制率）</w:t>
            </w:r>
            <w:r>
              <w:rPr>
                <w:rFonts w:ascii="仿宋_GB2312" w:hAnsi="仿宋_GB2312" w:eastAsia="仿宋_GB2312" w:cs="仿宋_GB2312"/>
              </w:rPr>
              <w:t>-min</w:t>
            </w:r>
            <w:r>
              <w:rPr>
                <w:rFonts w:hint="eastAsia" w:ascii="宋体" w:hAnsi="宋体" w:cs="宋体"/>
              </w:rPr>
              <w:t>（公用经费控制率）］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659BEB">
            <w:pPr>
              <w:jc w:val="left"/>
              <w:rPr>
                <w:rFonts w:ascii="宋体" w:cs="宋体"/>
                <w:sz w:val="22"/>
              </w:rPr>
            </w:pPr>
            <w:r>
              <w:rPr>
                <w:rFonts w:ascii="宋体" w:cs="宋体"/>
                <w:sz w:val="22"/>
              </w:rPr>
              <w:t>4</w:t>
            </w:r>
          </w:p>
        </w:tc>
      </w:tr>
      <w:tr w14:paraId="4A5D60DD">
        <w:tblPrEx>
          <w:tblCellMar>
            <w:top w:w="0" w:type="dxa"/>
            <w:left w:w="10" w:type="dxa"/>
            <w:bottom w:w="0" w:type="dxa"/>
            <w:right w:w="10"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0D822">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8B13BA">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E187A9">
            <w:pPr>
              <w:jc w:val="left"/>
            </w:pPr>
            <w:r>
              <w:rPr>
                <w:rFonts w:hint="eastAsia" w:ascii="宋体" w:hAnsi="宋体" w:cs="宋体"/>
              </w:rPr>
              <w:t>政府采购执行率（</w:t>
            </w:r>
            <w:r>
              <w:rPr>
                <w:rFonts w:ascii="仿宋_GB2312" w:hAnsi="仿宋_GB2312" w:eastAsia="仿宋_GB2312" w:cs="仿宋_GB2312"/>
              </w:rPr>
              <w:t>4</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3CE31C">
            <w:pPr>
              <w:jc w:val="left"/>
              <w:rPr>
                <w:rFonts w:eastAsia="Times New Roman" w:cs="Calibri"/>
              </w:rPr>
            </w:pPr>
            <w:r>
              <w:rPr>
                <w:rFonts w:hint="eastAsia" w:ascii="宋体" w:hAnsi="宋体" w:cs="宋体"/>
              </w:rPr>
              <w:t>通过对部门本年度实际政府采购预算项目个数与政府采购预算项目个数的比较，反映和评价部门政府采购预算执行情况。</w:t>
            </w:r>
          </w:p>
          <w:p w14:paraId="31DFC076">
            <w:pPr>
              <w:jc w:val="left"/>
              <w:rPr>
                <w:rFonts w:eastAsia="Times New Roman" w:cs="Calibri"/>
              </w:rPr>
            </w:pPr>
            <w:r>
              <w:rPr>
                <w:rFonts w:hint="eastAsia" w:ascii="宋体" w:hAnsi="宋体" w:cs="宋体"/>
              </w:rPr>
              <w:t>政府采购执行率</w:t>
            </w:r>
            <w:r>
              <w:rPr>
                <w:rFonts w:ascii="仿宋_GB2312" w:hAnsi="仿宋_GB2312" w:eastAsia="仿宋_GB2312" w:cs="仿宋_GB2312"/>
              </w:rPr>
              <w:t>=</w:t>
            </w:r>
            <w:r>
              <w:rPr>
                <w:rFonts w:hint="eastAsia" w:ascii="宋体" w:hAnsi="宋体" w:cs="宋体"/>
              </w:rPr>
              <w:t>（实际政府采购预算项目个数</w:t>
            </w:r>
            <w:r>
              <w:rPr>
                <w:rFonts w:ascii="仿宋_GB2312" w:hAnsi="仿宋_GB2312" w:eastAsia="仿宋_GB2312" w:cs="仿宋_GB2312"/>
              </w:rPr>
              <w:t>/</w:t>
            </w:r>
            <w:r>
              <w:rPr>
                <w:rFonts w:hint="eastAsia" w:ascii="宋体" w:hAnsi="宋体" w:cs="宋体"/>
              </w:rPr>
              <w:t>政府采购预算项目个数）</w:t>
            </w:r>
            <w:r>
              <w:rPr>
                <w:rFonts w:hint="eastAsia" w:ascii="宋体" w:cs="宋体"/>
              </w:rPr>
              <w:t>×</w:t>
            </w:r>
            <w:r>
              <w:rPr>
                <w:rFonts w:ascii="仿宋_GB2312" w:hAnsi="仿宋_GB2312" w:eastAsia="仿宋_GB2312" w:cs="仿宋_GB2312"/>
              </w:rPr>
              <w:t>100%</w:t>
            </w:r>
            <w:r>
              <w:rPr>
                <w:rFonts w:hint="eastAsia" w:ascii="宋体" w:hAnsi="宋体" w:cs="宋体"/>
              </w:rPr>
              <w:t>。</w:t>
            </w:r>
          </w:p>
          <w:p w14:paraId="6698520B">
            <w:pPr>
              <w:jc w:val="left"/>
            </w:pPr>
            <w:r>
              <w:rPr>
                <w:rFonts w:hint="eastAsia" w:ascii="宋体" w:hAnsi="宋体" w:cs="宋体"/>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C13C9">
            <w:pPr>
              <w:jc w:val="left"/>
              <w:rPr>
                <w:rFonts w:eastAsia="Times New Roman" w:cs="Calibri"/>
              </w:rPr>
            </w:pPr>
            <w:r>
              <w:rPr>
                <w:rFonts w:ascii="仿宋_GB2312" w:hAnsi="仿宋_GB2312" w:eastAsia="仿宋_GB2312" w:cs="仿宋_GB2312"/>
              </w:rPr>
              <w:t>1.</w:t>
            </w:r>
            <w:r>
              <w:rPr>
                <w:rFonts w:hint="eastAsia" w:ascii="宋体" w:hAnsi="宋体" w:cs="宋体"/>
              </w:rPr>
              <w:t>政府采购执行率等于</w:t>
            </w:r>
            <w:r>
              <w:rPr>
                <w:rFonts w:ascii="仿宋_GB2312" w:hAnsi="仿宋_GB2312" w:eastAsia="仿宋_GB2312" w:cs="仿宋_GB2312"/>
              </w:rPr>
              <w:t>100%</w:t>
            </w:r>
            <w:r>
              <w:rPr>
                <w:rFonts w:hint="eastAsia" w:ascii="宋体" w:hAnsi="宋体" w:cs="宋体"/>
              </w:rPr>
              <w:t>的，得满分；</w:t>
            </w:r>
          </w:p>
          <w:p w14:paraId="26FEEB09">
            <w:pPr>
              <w:jc w:val="left"/>
              <w:rPr>
                <w:rFonts w:eastAsia="Times New Roman" w:cs="Calibri"/>
              </w:rPr>
            </w:pPr>
            <w:r>
              <w:rPr>
                <w:rFonts w:ascii="仿宋_GB2312" w:hAnsi="仿宋_GB2312" w:eastAsia="仿宋_GB2312" w:cs="仿宋_GB2312"/>
              </w:rPr>
              <w:t>2.</w:t>
            </w:r>
            <w:r>
              <w:rPr>
                <w:rFonts w:hint="eastAsia" w:ascii="宋体" w:hAnsi="宋体" w:cs="宋体"/>
              </w:rPr>
              <w:t>政府采购执行率小于或等于</w:t>
            </w:r>
            <w:r>
              <w:rPr>
                <w:rFonts w:ascii="仿宋_GB2312" w:hAnsi="仿宋_GB2312" w:eastAsia="仿宋_GB2312" w:cs="仿宋_GB2312"/>
              </w:rPr>
              <w:t>90%</w:t>
            </w:r>
            <w:r>
              <w:rPr>
                <w:rFonts w:hint="eastAsia" w:ascii="宋体" w:hAnsi="宋体" w:cs="宋体"/>
              </w:rPr>
              <w:t>的，</w:t>
            </w:r>
            <w:r>
              <w:rPr>
                <w:rFonts w:ascii="仿宋_GB2312" w:hAnsi="仿宋_GB2312" w:eastAsia="仿宋_GB2312" w:cs="仿宋_GB2312"/>
              </w:rPr>
              <w:t>0</w:t>
            </w:r>
            <w:r>
              <w:rPr>
                <w:rFonts w:hint="eastAsia" w:ascii="宋体" w:hAnsi="宋体" w:cs="宋体"/>
              </w:rPr>
              <w:t>分；</w:t>
            </w:r>
          </w:p>
          <w:p w14:paraId="7E2FC9EF">
            <w:pPr>
              <w:jc w:val="left"/>
              <w:rPr>
                <w:rFonts w:eastAsia="Times New Roman" w:cs="Calibri"/>
              </w:rPr>
            </w:pPr>
            <w:r>
              <w:rPr>
                <w:rFonts w:ascii="仿宋_GB2312" w:hAnsi="仿宋_GB2312" w:eastAsia="仿宋_GB2312" w:cs="仿宋_GB2312"/>
              </w:rPr>
              <w:t>3.</w:t>
            </w:r>
            <w:r>
              <w:rPr>
                <w:rFonts w:hint="eastAsia" w:ascii="宋体" w:hAnsi="宋体" w:cs="宋体"/>
              </w:rPr>
              <w:t>政府采购执行率在</w:t>
            </w:r>
            <w:r>
              <w:rPr>
                <w:rFonts w:ascii="仿宋_GB2312" w:hAnsi="仿宋_GB2312" w:eastAsia="仿宋_GB2312" w:cs="仿宋_GB2312"/>
              </w:rPr>
              <w:t>90%-100%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p>
          <w:p w14:paraId="47681EBB">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［某部门政府采购执行率</w:t>
            </w:r>
            <w:r>
              <w:rPr>
                <w:rFonts w:ascii="仿宋_GB2312" w:hAnsi="仿宋_GB2312" w:eastAsia="仿宋_GB2312" w:cs="仿宋_GB2312"/>
              </w:rPr>
              <w:t>-min</w:t>
            </w:r>
            <w:r>
              <w:rPr>
                <w:rFonts w:hint="eastAsia" w:ascii="宋体" w:hAnsi="宋体" w:cs="宋体"/>
              </w:rPr>
              <w:t>（政府采购执行率）］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（政府采购执行率）</w:t>
            </w:r>
            <w:r>
              <w:rPr>
                <w:rFonts w:ascii="仿宋_GB2312" w:hAnsi="仿宋_GB2312" w:eastAsia="仿宋_GB2312" w:cs="仿宋_GB2312"/>
              </w:rPr>
              <w:t>-min</w:t>
            </w:r>
            <w:r>
              <w:rPr>
                <w:rFonts w:hint="eastAsia" w:ascii="宋体" w:hAnsi="宋体" w:cs="宋体"/>
              </w:rPr>
              <w:t>（政府采购执行率）］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C7242">
            <w:pPr>
              <w:jc w:val="left"/>
              <w:rPr>
                <w:rFonts w:ascii="宋体" w:cs="宋体"/>
                <w:sz w:val="22"/>
              </w:rPr>
            </w:pPr>
            <w:r>
              <w:rPr>
                <w:rFonts w:ascii="宋体" w:cs="宋体"/>
                <w:sz w:val="22"/>
              </w:rPr>
              <w:t>4</w:t>
            </w:r>
          </w:p>
        </w:tc>
      </w:tr>
      <w:tr w14:paraId="66586190">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72EDF2">
            <w:pPr>
              <w:spacing w:line="400" w:lineRule="auto"/>
              <w:jc w:val="left"/>
              <w:rPr>
                <w:rFonts w:ascii="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8513CC">
            <w:pPr>
              <w:jc w:val="left"/>
              <w:rPr>
                <w:rFonts w:eastAsia="Times New Roman" w:cs="Calibri"/>
              </w:rPr>
            </w:pPr>
            <w:r>
              <w:rPr>
                <w:rFonts w:hint="eastAsia" w:ascii="宋体" w:hAnsi="宋体" w:cs="宋体"/>
              </w:rPr>
              <w:t>预算管理情况</w:t>
            </w:r>
          </w:p>
          <w:p w14:paraId="5E236290">
            <w:pPr>
              <w:jc w:val="left"/>
            </w:pPr>
            <w:r>
              <w:rPr>
                <w:rFonts w:hint="eastAsia" w:ascii="宋体" w:hAnsi="宋体" w:cs="宋体"/>
              </w:rPr>
              <w:t>（</w:t>
            </w:r>
            <w:r>
              <w:rPr>
                <w:rFonts w:ascii="仿宋_GB2312" w:hAnsi="仿宋_GB2312" w:eastAsia="仿宋_GB2312" w:cs="仿宋_GB2312"/>
              </w:rPr>
              <w:t>15</w:t>
            </w:r>
            <w:r>
              <w:rPr>
                <w:rFonts w:hint="eastAsia" w:ascii="宋体" w:hAnsi="宋体" w:cs="宋体"/>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430DC7">
            <w:pPr>
              <w:jc w:val="left"/>
            </w:pPr>
            <w:r>
              <w:rPr>
                <w:rFonts w:hint="eastAsia" w:ascii="宋体" w:hAnsi="宋体" w:cs="宋体"/>
              </w:rPr>
              <w:t>资金使用合规性（</w:t>
            </w:r>
            <w:r>
              <w:rPr>
                <w:rFonts w:ascii="仿宋_GB2312" w:hAnsi="仿宋_GB2312" w:eastAsia="仿宋_GB2312" w:cs="仿宋_GB2312"/>
              </w:rPr>
              <w:t>8</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D0F6E2">
            <w:pPr>
              <w:jc w:val="left"/>
              <w:rPr>
                <w:rFonts w:eastAsia="Times New Roman" w:cs="Calibri"/>
              </w:rPr>
            </w:pPr>
            <w:r>
              <w:rPr>
                <w:rFonts w:hint="eastAsia" w:ascii="宋体" w:hAnsi="宋体" w:cs="宋体"/>
              </w:rPr>
              <w:t>部门使用预算资金是否符合相关的预算财务管理制度的规定，反映和评价部门预算资金的规范运行情况。</w:t>
            </w:r>
          </w:p>
          <w:p w14:paraId="0C3F1AD4">
            <w:pPr>
              <w:jc w:val="left"/>
              <w:rPr>
                <w:rFonts w:eastAsia="Times New Roman" w:cs="Calibri"/>
              </w:rPr>
            </w:pPr>
            <w:r>
              <w:rPr>
                <w:rFonts w:hint="eastAsia" w:ascii="宋体" w:hAnsi="宋体" w:cs="宋体"/>
              </w:rPr>
              <w:t>评价要点：</w:t>
            </w:r>
          </w:p>
          <w:p w14:paraId="1F6AE3BF">
            <w:pPr>
              <w:jc w:val="left"/>
              <w:rPr>
                <w:rFonts w:eastAsia="Times New Roman" w:cs="Calibri"/>
              </w:rPr>
            </w:pPr>
            <w:r>
              <w:rPr>
                <w:rFonts w:ascii="仿宋_GB2312" w:hAnsi="仿宋_GB2312" w:eastAsia="仿宋_GB2312" w:cs="仿宋_GB2312"/>
              </w:rPr>
              <w:t>1.</w:t>
            </w:r>
            <w:r>
              <w:rPr>
                <w:rFonts w:hint="eastAsia" w:ascii="宋体" w:hAnsi="宋体" w:cs="宋体"/>
              </w:rPr>
              <w:t>符合国家财经法规和财务管理制度规定以及有关部门资金管理办法的规定；</w:t>
            </w:r>
          </w:p>
          <w:p w14:paraId="61ED18F5">
            <w:pPr>
              <w:jc w:val="left"/>
              <w:rPr>
                <w:rFonts w:eastAsia="Times New Roman" w:cs="Calibri"/>
              </w:rPr>
            </w:pPr>
            <w:r>
              <w:rPr>
                <w:rFonts w:ascii="仿宋_GB2312" w:hAnsi="仿宋_GB2312" w:eastAsia="仿宋_GB2312" w:cs="仿宋_GB2312"/>
              </w:rPr>
              <w:t>2.</w:t>
            </w:r>
            <w:r>
              <w:rPr>
                <w:rFonts w:hint="eastAsia" w:ascii="宋体" w:hAnsi="宋体" w:cs="宋体"/>
              </w:rPr>
              <w:t>资金的拨付有完整的审批过程和手续；</w:t>
            </w:r>
          </w:p>
          <w:p w14:paraId="56918506">
            <w:pPr>
              <w:jc w:val="left"/>
              <w:rPr>
                <w:rFonts w:eastAsia="Times New Roman" w:cs="Calibri"/>
              </w:rPr>
            </w:pPr>
            <w:r>
              <w:rPr>
                <w:rFonts w:ascii="仿宋_GB2312" w:hAnsi="仿宋_GB2312" w:eastAsia="仿宋_GB2312" w:cs="仿宋_GB2312"/>
              </w:rPr>
              <w:t>3.</w:t>
            </w:r>
            <w:r>
              <w:rPr>
                <w:rFonts w:hint="eastAsia" w:ascii="宋体" w:hAnsi="宋体" w:cs="宋体"/>
              </w:rPr>
              <w:t>项目的重大开支经过评估论证；</w:t>
            </w:r>
          </w:p>
          <w:p w14:paraId="6BD8E466">
            <w:pPr>
              <w:jc w:val="left"/>
              <w:rPr>
                <w:rFonts w:eastAsia="Times New Roman" w:cs="Calibri"/>
              </w:rPr>
            </w:pPr>
            <w:r>
              <w:rPr>
                <w:rFonts w:ascii="仿宋_GB2312" w:hAnsi="仿宋_GB2312" w:eastAsia="仿宋_GB2312" w:cs="仿宋_GB2312"/>
              </w:rPr>
              <w:t>4.</w:t>
            </w:r>
            <w:r>
              <w:rPr>
                <w:rFonts w:hint="eastAsia" w:ascii="宋体" w:hAnsi="宋体" w:cs="宋体"/>
              </w:rPr>
              <w:t>符合部门预算批复的用途；</w:t>
            </w:r>
          </w:p>
          <w:p w14:paraId="07BBF8F6">
            <w:pPr>
              <w:jc w:val="left"/>
              <w:rPr>
                <w:rFonts w:eastAsia="Times New Roman" w:cs="Calibri"/>
              </w:rPr>
            </w:pPr>
            <w:r>
              <w:rPr>
                <w:rFonts w:ascii="仿宋_GB2312" w:hAnsi="仿宋_GB2312" w:eastAsia="仿宋_GB2312" w:cs="仿宋_GB2312"/>
              </w:rPr>
              <w:t>5.</w:t>
            </w:r>
            <w:r>
              <w:rPr>
                <w:rFonts w:hint="eastAsia" w:ascii="宋体" w:hAnsi="宋体" w:cs="宋体"/>
              </w:rPr>
              <w:t>不存在截留情况；</w:t>
            </w:r>
          </w:p>
          <w:p w14:paraId="584F18D0">
            <w:pPr>
              <w:jc w:val="left"/>
              <w:rPr>
                <w:rFonts w:eastAsia="Times New Roman" w:cs="Calibri"/>
              </w:rPr>
            </w:pPr>
            <w:r>
              <w:rPr>
                <w:rFonts w:ascii="仿宋_GB2312" w:hAnsi="仿宋_GB2312" w:eastAsia="仿宋_GB2312" w:cs="仿宋_GB2312"/>
              </w:rPr>
              <w:t>6.</w:t>
            </w:r>
            <w:r>
              <w:rPr>
                <w:rFonts w:hint="eastAsia" w:ascii="宋体" w:hAnsi="宋体" w:cs="宋体"/>
              </w:rPr>
              <w:t>不存在挤占情况；</w:t>
            </w:r>
          </w:p>
          <w:p w14:paraId="59D76844">
            <w:pPr>
              <w:jc w:val="left"/>
              <w:rPr>
                <w:rFonts w:eastAsia="Times New Roman" w:cs="Calibri"/>
              </w:rPr>
            </w:pPr>
            <w:r>
              <w:rPr>
                <w:rFonts w:ascii="仿宋_GB2312" w:hAnsi="仿宋_GB2312" w:eastAsia="仿宋_GB2312" w:cs="仿宋_GB2312"/>
              </w:rPr>
              <w:t>7.</w:t>
            </w:r>
            <w:r>
              <w:rPr>
                <w:rFonts w:hint="eastAsia" w:ascii="宋体" w:hAnsi="宋体" w:cs="宋体"/>
              </w:rPr>
              <w:t>不存在挪用情况；</w:t>
            </w:r>
          </w:p>
          <w:p w14:paraId="4AA273D8">
            <w:pPr>
              <w:jc w:val="left"/>
            </w:pPr>
            <w:r>
              <w:rPr>
                <w:rFonts w:ascii="仿宋_GB2312" w:hAnsi="仿宋_GB2312" w:eastAsia="仿宋_GB2312" w:cs="仿宋_GB2312"/>
              </w:rPr>
              <w:t>8.</w:t>
            </w:r>
            <w:r>
              <w:rPr>
                <w:rFonts w:hint="eastAsia" w:ascii="宋体" w:hAnsi="宋体" w:cs="宋体"/>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6FA535">
            <w:pPr>
              <w:jc w:val="left"/>
              <w:rPr>
                <w:rFonts w:eastAsia="Times New Roman" w:cs="Calibri"/>
              </w:rPr>
            </w:pPr>
            <w:r>
              <w:rPr>
                <w:rFonts w:hint="eastAsia" w:ascii="宋体" w:hAnsi="宋体" w:cs="宋体"/>
              </w:rPr>
              <w:t>全部符合（</w:t>
            </w:r>
            <w:r>
              <w:rPr>
                <w:rFonts w:ascii="仿宋_GB2312" w:hAnsi="仿宋_GB2312" w:eastAsia="仿宋_GB2312" w:cs="仿宋_GB2312"/>
              </w:rPr>
              <w:t>8</w:t>
            </w:r>
            <w:r>
              <w:rPr>
                <w:rFonts w:hint="eastAsia" w:ascii="宋体" w:hAnsi="宋体" w:cs="宋体"/>
              </w:rPr>
              <w:t>）；</w:t>
            </w:r>
          </w:p>
          <w:p w14:paraId="05033A4D">
            <w:pPr>
              <w:jc w:val="left"/>
              <w:rPr>
                <w:rFonts w:eastAsia="Times New Roman" w:cs="Calibri"/>
              </w:rPr>
            </w:pPr>
            <w:r>
              <w:rPr>
                <w:rFonts w:hint="eastAsia" w:ascii="宋体" w:hAnsi="宋体" w:cs="宋体"/>
              </w:rPr>
              <w:t>符合其中七项（</w:t>
            </w:r>
            <w:r>
              <w:rPr>
                <w:rFonts w:ascii="仿宋_GB2312" w:hAnsi="仿宋_GB2312" w:eastAsia="仿宋_GB2312" w:cs="仿宋_GB2312"/>
              </w:rPr>
              <w:t>6</w:t>
            </w:r>
            <w:r>
              <w:rPr>
                <w:rFonts w:hint="eastAsia" w:ascii="宋体" w:hAnsi="宋体" w:cs="宋体"/>
              </w:rPr>
              <w:t>）；</w:t>
            </w:r>
          </w:p>
          <w:p w14:paraId="033F9609">
            <w:pPr>
              <w:jc w:val="left"/>
              <w:rPr>
                <w:rFonts w:eastAsia="Times New Roman" w:cs="Calibri"/>
              </w:rPr>
            </w:pPr>
            <w:r>
              <w:rPr>
                <w:rFonts w:hint="eastAsia" w:ascii="宋体" w:hAnsi="宋体" w:cs="宋体"/>
              </w:rPr>
              <w:t>符合其中六项（</w:t>
            </w:r>
            <w:r>
              <w:rPr>
                <w:rFonts w:ascii="仿宋_GB2312" w:hAnsi="仿宋_GB2312" w:eastAsia="仿宋_GB2312" w:cs="仿宋_GB2312"/>
              </w:rPr>
              <w:t>4</w:t>
            </w:r>
            <w:r>
              <w:rPr>
                <w:rFonts w:hint="eastAsia" w:ascii="宋体" w:hAnsi="宋体" w:cs="宋体"/>
              </w:rPr>
              <w:t>）；</w:t>
            </w:r>
          </w:p>
          <w:p w14:paraId="29074202">
            <w:pPr>
              <w:jc w:val="left"/>
              <w:rPr>
                <w:rFonts w:eastAsia="Times New Roman" w:cs="Calibri"/>
              </w:rPr>
            </w:pPr>
            <w:r>
              <w:rPr>
                <w:rFonts w:hint="eastAsia" w:ascii="宋体" w:hAnsi="宋体" w:cs="宋体"/>
              </w:rPr>
              <w:t>符合其中五项（</w:t>
            </w:r>
            <w:r>
              <w:rPr>
                <w:rFonts w:ascii="仿宋_GB2312" w:hAnsi="仿宋_GB2312" w:eastAsia="仿宋_GB2312" w:cs="仿宋_GB2312"/>
              </w:rPr>
              <w:t>2</w:t>
            </w:r>
            <w:r>
              <w:rPr>
                <w:rFonts w:hint="eastAsia" w:ascii="宋体" w:hAnsi="宋体" w:cs="宋体"/>
              </w:rPr>
              <w:t>）；</w:t>
            </w:r>
          </w:p>
          <w:p w14:paraId="1B17E496">
            <w:pPr>
              <w:jc w:val="left"/>
            </w:pPr>
            <w:r>
              <w:rPr>
                <w:rFonts w:hint="eastAsia" w:ascii="宋体" w:hAnsi="宋体" w:cs="宋体"/>
              </w:rPr>
              <w:t>符合其中四项及以下（</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A7B2F3">
            <w:pPr>
              <w:jc w:val="left"/>
              <w:rPr>
                <w:rFonts w:ascii="宋体" w:cs="宋体"/>
                <w:sz w:val="22"/>
              </w:rPr>
            </w:pPr>
            <w:r>
              <w:rPr>
                <w:rFonts w:ascii="宋体" w:cs="宋体"/>
                <w:sz w:val="22"/>
              </w:rPr>
              <w:t>8</w:t>
            </w:r>
          </w:p>
        </w:tc>
      </w:tr>
      <w:tr w14:paraId="47042D7F">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03EB94">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848EAA">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7D7C78">
            <w:pPr>
              <w:jc w:val="left"/>
            </w:pPr>
            <w:r>
              <w:rPr>
                <w:rFonts w:hint="eastAsia" w:ascii="宋体" w:hAnsi="宋体" w:cs="宋体"/>
              </w:rPr>
              <w:t>预决算信息公开性（</w:t>
            </w:r>
            <w:r>
              <w:rPr>
                <w:rFonts w:ascii="仿宋_GB2312" w:hAnsi="仿宋_GB2312" w:eastAsia="仿宋_GB2312" w:cs="仿宋_GB2312"/>
              </w:rPr>
              <w:t>3</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FC75F1">
            <w:pPr>
              <w:jc w:val="left"/>
              <w:rPr>
                <w:rFonts w:eastAsia="Times New Roman" w:cs="Calibri"/>
              </w:rPr>
            </w:pPr>
            <w:r>
              <w:rPr>
                <w:rFonts w:hint="eastAsia" w:ascii="宋体" w:hAnsi="宋体" w:cs="宋体"/>
              </w:rPr>
              <w:t>部门是否按照政府信息公开有关规定公开相关预决算信息，用以反映和评价部门预决算管理的公开透明情况。</w:t>
            </w:r>
          </w:p>
          <w:p w14:paraId="288A5921">
            <w:pPr>
              <w:jc w:val="left"/>
              <w:rPr>
                <w:rFonts w:eastAsia="Times New Roman" w:cs="Calibri"/>
              </w:rPr>
            </w:pPr>
            <w:r>
              <w:rPr>
                <w:rFonts w:hint="eastAsia" w:ascii="宋体" w:hAnsi="宋体" w:cs="宋体"/>
              </w:rPr>
              <w:t>预决算信息是指与部门预算、执行、决算、监督、绩效等管理相关的信息。</w:t>
            </w:r>
          </w:p>
          <w:p w14:paraId="57ABF9FF">
            <w:pPr>
              <w:jc w:val="left"/>
              <w:rPr>
                <w:rFonts w:eastAsia="Times New Roman" w:cs="Calibri"/>
              </w:rPr>
            </w:pPr>
            <w:r>
              <w:rPr>
                <w:rFonts w:hint="eastAsia" w:ascii="宋体" w:hAnsi="宋体" w:cs="宋体"/>
              </w:rPr>
              <w:t>评价要点：</w:t>
            </w:r>
          </w:p>
          <w:p w14:paraId="601A2B01">
            <w:pPr>
              <w:jc w:val="left"/>
              <w:rPr>
                <w:rFonts w:eastAsia="Times New Roman" w:cs="Calibri"/>
              </w:rPr>
            </w:pPr>
            <w:r>
              <w:rPr>
                <w:rFonts w:ascii="仿宋_GB2312" w:hAnsi="仿宋_GB2312" w:eastAsia="仿宋_GB2312" w:cs="仿宋_GB2312"/>
              </w:rPr>
              <w:t>1.</w:t>
            </w:r>
            <w:r>
              <w:rPr>
                <w:rFonts w:hint="eastAsia" w:ascii="宋体" w:hAnsi="宋体" w:cs="宋体"/>
              </w:rPr>
              <w:t>公开预决算信息；</w:t>
            </w:r>
          </w:p>
          <w:p w14:paraId="64434684">
            <w:pPr>
              <w:jc w:val="left"/>
              <w:rPr>
                <w:rFonts w:eastAsia="Times New Roman" w:cs="Calibri"/>
              </w:rPr>
            </w:pPr>
            <w:r>
              <w:rPr>
                <w:rFonts w:ascii="仿宋_GB2312" w:hAnsi="仿宋_GB2312" w:eastAsia="仿宋_GB2312" w:cs="仿宋_GB2312"/>
              </w:rPr>
              <w:t>2.</w:t>
            </w:r>
            <w:r>
              <w:rPr>
                <w:rFonts w:hint="eastAsia" w:ascii="宋体" w:hAnsi="宋体" w:cs="宋体"/>
              </w:rPr>
              <w:t>按规定内容公开预决算信息；</w:t>
            </w:r>
          </w:p>
          <w:p w14:paraId="32B8C046">
            <w:pPr>
              <w:jc w:val="left"/>
            </w:pPr>
            <w:r>
              <w:rPr>
                <w:rFonts w:ascii="仿宋_GB2312" w:hAnsi="仿宋_GB2312" w:eastAsia="仿宋_GB2312" w:cs="仿宋_GB2312"/>
              </w:rPr>
              <w:t>3.</w:t>
            </w:r>
            <w:r>
              <w:rPr>
                <w:rFonts w:hint="eastAsia" w:ascii="宋体" w:hAnsi="宋体" w:cs="宋体"/>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0561E8">
            <w:pPr>
              <w:jc w:val="left"/>
              <w:rPr>
                <w:rFonts w:eastAsia="Times New Roman" w:cs="Calibri"/>
              </w:rPr>
            </w:pPr>
            <w:r>
              <w:rPr>
                <w:rFonts w:hint="eastAsia" w:ascii="宋体" w:hAnsi="宋体" w:cs="宋体"/>
              </w:rPr>
              <w:t>全部符合（</w:t>
            </w:r>
            <w:r>
              <w:rPr>
                <w:rFonts w:ascii="仿宋_GB2312" w:hAnsi="仿宋_GB2312" w:eastAsia="仿宋_GB2312" w:cs="仿宋_GB2312"/>
              </w:rPr>
              <w:t>3</w:t>
            </w:r>
            <w:r>
              <w:rPr>
                <w:rFonts w:hint="eastAsia" w:ascii="宋体" w:hAnsi="宋体" w:cs="宋体"/>
              </w:rPr>
              <w:t>）；</w:t>
            </w:r>
          </w:p>
          <w:p w14:paraId="14BCB1B2">
            <w:pPr>
              <w:jc w:val="left"/>
              <w:rPr>
                <w:rFonts w:eastAsia="Times New Roman" w:cs="Calibri"/>
              </w:rPr>
            </w:pPr>
            <w:r>
              <w:rPr>
                <w:rFonts w:hint="eastAsia" w:ascii="宋体" w:hAnsi="宋体" w:cs="宋体"/>
              </w:rPr>
              <w:t>符合其中两项（</w:t>
            </w:r>
            <w:r>
              <w:rPr>
                <w:rFonts w:ascii="仿宋_GB2312" w:hAnsi="仿宋_GB2312" w:eastAsia="仿宋_GB2312" w:cs="仿宋_GB2312"/>
              </w:rPr>
              <w:t>2</w:t>
            </w:r>
            <w:r>
              <w:rPr>
                <w:rFonts w:hint="eastAsia" w:ascii="宋体" w:hAnsi="宋体" w:cs="宋体"/>
              </w:rPr>
              <w:t>）</w:t>
            </w:r>
          </w:p>
          <w:p w14:paraId="71038E83">
            <w:pPr>
              <w:jc w:val="left"/>
            </w:pPr>
            <w:r>
              <w:rPr>
                <w:rFonts w:hint="eastAsia" w:ascii="宋体" w:hAnsi="宋体" w:cs="宋体"/>
              </w:rPr>
              <w:t>符合其中一项及以下（</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0CCA3D">
            <w:pPr>
              <w:jc w:val="left"/>
              <w:rPr>
                <w:rFonts w:ascii="宋体" w:cs="宋体"/>
                <w:sz w:val="22"/>
              </w:rPr>
            </w:pPr>
            <w:r>
              <w:rPr>
                <w:rFonts w:ascii="宋体" w:cs="宋体"/>
                <w:sz w:val="22"/>
              </w:rPr>
              <w:t>3</w:t>
            </w:r>
          </w:p>
        </w:tc>
      </w:tr>
      <w:tr w14:paraId="5761D019">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A824">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6C435B">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66D0B6">
            <w:pPr>
              <w:jc w:val="left"/>
            </w:pPr>
            <w:r>
              <w:rPr>
                <w:rFonts w:hint="eastAsia" w:ascii="宋体" w:hAnsi="宋体" w:cs="宋体"/>
                <w:color w:val="000000"/>
              </w:rPr>
              <w:t>基础信息完善性</w:t>
            </w:r>
            <w:r>
              <w:rPr>
                <w:rFonts w:hint="eastAsia" w:ascii="宋体" w:hAnsi="宋体" w:cs="宋体"/>
              </w:rPr>
              <w:t>（</w:t>
            </w:r>
            <w:r>
              <w:rPr>
                <w:rFonts w:ascii="仿宋_GB2312" w:hAnsi="仿宋_GB2312" w:eastAsia="仿宋_GB2312" w:cs="仿宋_GB2312"/>
              </w:rPr>
              <w:t>4</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BCD953">
            <w:pPr>
              <w:jc w:val="left"/>
              <w:rPr>
                <w:rFonts w:eastAsia="Times New Roman" w:cs="Calibri"/>
              </w:rPr>
            </w:pPr>
            <w:r>
              <w:rPr>
                <w:rFonts w:hint="eastAsia" w:ascii="宋体" w:hAnsi="宋体" w:cs="宋体"/>
              </w:rPr>
              <w:t>部门基础信息是否完善，用以反映和评价基础信息对预算管理工作的支撑情况。</w:t>
            </w:r>
          </w:p>
          <w:p w14:paraId="7B299915">
            <w:pPr>
              <w:jc w:val="left"/>
              <w:rPr>
                <w:rFonts w:eastAsia="Times New Roman" w:cs="Calibri"/>
              </w:rPr>
            </w:pPr>
            <w:r>
              <w:rPr>
                <w:rFonts w:hint="eastAsia" w:ascii="宋体" w:hAnsi="宋体" w:cs="宋体"/>
              </w:rPr>
              <w:t>评价要点：</w:t>
            </w:r>
          </w:p>
          <w:p w14:paraId="15B58008">
            <w:pPr>
              <w:jc w:val="left"/>
              <w:rPr>
                <w:rFonts w:eastAsia="Times New Roman" w:cs="Calibri"/>
              </w:rPr>
            </w:pPr>
            <w:r>
              <w:rPr>
                <w:rFonts w:ascii="仿宋_GB2312" w:hAnsi="仿宋_GB2312" w:eastAsia="仿宋_GB2312" w:cs="仿宋_GB2312"/>
              </w:rPr>
              <w:t>1.</w:t>
            </w:r>
            <w:r>
              <w:rPr>
                <w:rFonts w:hint="eastAsia" w:ascii="宋体" w:hAnsi="宋体" w:cs="宋体"/>
              </w:rPr>
              <w:t>基本财务管理制度健全；</w:t>
            </w:r>
          </w:p>
          <w:p w14:paraId="3C2AB88E">
            <w:pPr>
              <w:jc w:val="left"/>
              <w:rPr>
                <w:rFonts w:eastAsia="Times New Roman" w:cs="Calibri"/>
              </w:rPr>
            </w:pPr>
            <w:r>
              <w:rPr>
                <w:rFonts w:ascii="仿宋_GB2312" w:hAnsi="仿宋_GB2312" w:eastAsia="仿宋_GB2312" w:cs="仿宋_GB2312"/>
              </w:rPr>
              <w:t>2.</w:t>
            </w:r>
            <w:r>
              <w:rPr>
                <w:rFonts w:hint="eastAsia" w:ascii="宋体" w:hAnsi="宋体" w:cs="宋体"/>
              </w:rPr>
              <w:t>基础数据信息和会计信息资料真实；</w:t>
            </w:r>
          </w:p>
          <w:p w14:paraId="3078DE03">
            <w:pPr>
              <w:jc w:val="left"/>
              <w:rPr>
                <w:rFonts w:eastAsia="Times New Roman" w:cs="Calibri"/>
              </w:rPr>
            </w:pPr>
            <w:r>
              <w:rPr>
                <w:rFonts w:ascii="仿宋_GB2312" w:hAnsi="仿宋_GB2312" w:eastAsia="仿宋_GB2312" w:cs="仿宋_GB2312"/>
              </w:rPr>
              <w:t>3.</w:t>
            </w:r>
            <w:r>
              <w:rPr>
                <w:rFonts w:hint="eastAsia" w:ascii="宋体" w:hAnsi="宋体" w:cs="宋体"/>
              </w:rPr>
              <w:t>基础数据信息和会计信息资料完整；</w:t>
            </w:r>
          </w:p>
          <w:p w14:paraId="3055F6E3">
            <w:pPr>
              <w:jc w:val="left"/>
            </w:pPr>
            <w:r>
              <w:rPr>
                <w:rFonts w:ascii="仿宋_GB2312" w:hAnsi="仿宋_GB2312" w:eastAsia="仿宋_GB2312" w:cs="仿宋_GB2312"/>
              </w:rPr>
              <w:t>4.</w:t>
            </w:r>
            <w:r>
              <w:rPr>
                <w:rFonts w:hint="eastAsia" w:ascii="宋体" w:hAnsi="宋体" w:cs="宋体"/>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F656B5">
            <w:pPr>
              <w:jc w:val="left"/>
              <w:rPr>
                <w:rFonts w:eastAsia="Times New Roman" w:cs="Calibri"/>
              </w:rPr>
            </w:pPr>
            <w:r>
              <w:rPr>
                <w:rFonts w:hint="eastAsia" w:ascii="宋体" w:hAnsi="宋体" w:cs="宋体"/>
              </w:rPr>
              <w:t>符合全部四项（</w:t>
            </w:r>
            <w:r>
              <w:rPr>
                <w:rFonts w:ascii="仿宋_GB2312" w:hAnsi="仿宋_GB2312" w:eastAsia="仿宋_GB2312" w:cs="仿宋_GB2312"/>
              </w:rPr>
              <w:t>4</w:t>
            </w:r>
            <w:r>
              <w:rPr>
                <w:rFonts w:hint="eastAsia" w:ascii="宋体" w:hAnsi="宋体" w:cs="宋体"/>
              </w:rPr>
              <w:t>）；</w:t>
            </w:r>
          </w:p>
          <w:p w14:paraId="39D3E6F1">
            <w:pPr>
              <w:jc w:val="left"/>
              <w:rPr>
                <w:rFonts w:eastAsia="Times New Roman" w:cs="Calibri"/>
              </w:rPr>
            </w:pPr>
            <w:r>
              <w:rPr>
                <w:rFonts w:hint="eastAsia" w:ascii="宋体" w:hAnsi="宋体" w:cs="宋体"/>
              </w:rPr>
              <w:t>符合其中三项（</w:t>
            </w:r>
            <w:r>
              <w:rPr>
                <w:rFonts w:ascii="仿宋_GB2312" w:hAnsi="仿宋_GB2312" w:eastAsia="仿宋_GB2312" w:cs="仿宋_GB2312"/>
              </w:rPr>
              <w:t>2</w:t>
            </w:r>
            <w:r>
              <w:rPr>
                <w:rFonts w:hint="eastAsia" w:ascii="宋体" w:hAnsi="宋体" w:cs="宋体"/>
              </w:rPr>
              <w:t>）；</w:t>
            </w:r>
          </w:p>
          <w:p w14:paraId="38360656">
            <w:pPr>
              <w:jc w:val="left"/>
              <w:rPr>
                <w:rFonts w:eastAsia="Times New Roman" w:cs="Calibri"/>
              </w:rPr>
            </w:pPr>
            <w:r>
              <w:rPr>
                <w:rFonts w:hint="eastAsia" w:ascii="宋体" w:hAnsi="宋体" w:cs="宋体"/>
              </w:rPr>
              <w:t>符合其中两项（</w:t>
            </w:r>
            <w:r>
              <w:rPr>
                <w:rFonts w:ascii="仿宋_GB2312" w:hAnsi="仿宋_GB2312" w:eastAsia="仿宋_GB2312" w:cs="仿宋_GB2312"/>
              </w:rPr>
              <w:t>1</w:t>
            </w:r>
            <w:r>
              <w:rPr>
                <w:rFonts w:hint="eastAsia" w:ascii="宋体" w:hAnsi="宋体" w:cs="宋体"/>
              </w:rPr>
              <w:t>）；</w:t>
            </w:r>
          </w:p>
          <w:p w14:paraId="467E7FC9">
            <w:pPr>
              <w:jc w:val="left"/>
            </w:pPr>
            <w:r>
              <w:rPr>
                <w:rFonts w:hint="eastAsia" w:ascii="宋体" w:hAnsi="宋体" w:cs="宋体"/>
              </w:rPr>
              <w:t>符合其中一项及以下（</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F73DF6">
            <w:pPr>
              <w:jc w:val="left"/>
              <w:rPr>
                <w:rFonts w:ascii="宋体" w:cs="宋体"/>
                <w:sz w:val="22"/>
              </w:rPr>
            </w:pPr>
            <w:r>
              <w:rPr>
                <w:rFonts w:ascii="宋体" w:cs="宋体"/>
                <w:sz w:val="22"/>
              </w:rPr>
              <w:t>4</w:t>
            </w:r>
          </w:p>
        </w:tc>
      </w:tr>
      <w:tr w14:paraId="5265B77A">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CCF74E">
            <w:pPr>
              <w:spacing w:line="400" w:lineRule="auto"/>
              <w:jc w:val="left"/>
              <w:rPr>
                <w:rFonts w:ascii="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294D4E">
            <w:pPr>
              <w:jc w:val="left"/>
            </w:pPr>
            <w:r>
              <w:rPr>
                <w:rFonts w:hint="eastAsia" w:ascii="宋体" w:hAnsi="宋体" w:cs="宋体"/>
              </w:rPr>
              <w:t>资产管理情况（</w:t>
            </w:r>
            <w:r>
              <w:rPr>
                <w:rFonts w:ascii="仿宋_GB2312" w:hAnsi="仿宋_GB2312" w:eastAsia="仿宋_GB2312" w:cs="仿宋_GB2312"/>
              </w:rPr>
              <w:t>5</w:t>
            </w:r>
            <w:r>
              <w:rPr>
                <w:rFonts w:hint="eastAsia" w:ascii="宋体" w:hAnsi="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626B7D">
            <w:pPr>
              <w:jc w:val="left"/>
            </w:pPr>
            <w:r>
              <w:rPr>
                <w:rFonts w:hint="eastAsia" w:ascii="宋体" w:hAnsi="宋体" w:cs="宋体"/>
              </w:rPr>
              <w:t>资产管理完整性（</w:t>
            </w:r>
            <w:r>
              <w:rPr>
                <w:rFonts w:ascii="仿宋_GB2312" w:hAnsi="仿宋_GB2312" w:eastAsia="仿宋_GB2312" w:cs="仿宋_GB2312"/>
              </w:rPr>
              <w:t>2</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507ED3">
            <w:pPr>
              <w:jc w:val="left"/>
              <w:rPr>
                <w:rFonts w:eastAsia="Times New Roman" w:cs="Calibri"/>
              </w:rPr>
            </w:pPr>
            <w:r>
              <w:rPr>
                <w:rFonts w:hint="eastAsia" w:ascii="宋体" w:hAnsi="宋体" w:cs="宋体"/>
              </w:rPr>
              <w:t>部门的资产是否保存完整、使用合规、收入及时足额上缴，用以反映和评价部门资产运行情况。</w:t>
            </w:r>
          </w:p>
          <w:p w14:paraId="4EFF2AA9">
            <w:pPr>
              <w:jc w:val="left"/>
              <w:rPr>
                <w:rFonts w:eastAsia="Times New Roman" w:cs="Calibri"/>
              </w:rPr>
            </w:pPr>
            <w:r>
              <w:rPr>
                <w:rFonts w:hint="eastAsia" w:ascii="宋体" w:hAnsi="宋体" w:cs="宋体"/>
              </w:rPr>
              <w:t>评价要点：</w:t>
            </w:r>
          </w:p>
          <w:p w14:paraId="7A3C05C4">
            <w:pPr>
              <w:jc w:val="left"/>
              <w:rPr>
                <w:rFonts w:eastAsia="Times New Roman" w:cs="Calibri"/>
              </w:rPr>
            </w:pPr>
            <w:r>
              <w:rPr>
                <w:rFonts w:ascii="仿宋_GB2312" w:hAnsi="仿宋_GB2312" w:eastAsia="仿宋_GB2312" w:cs="仿宋_GB2312"/>
              </w:rPr>
              <w:t>1.</w:t>
            </w:r>
            <w:r>
              <w:rPr>
                <w:rFonts w:hint="eastAsia" w:ascii="宋体" w:hAnsi="宋体" w:cs="宋体"/>
              </w:rPr>
              <w:t>资产保存完整；</w:t>
            </w:r>
          </w:p>
          <w:p w14:paraId="618DFDEB">
            <w:pPr>
              <w:jc w:val="left"/>
              <w:rPr>
                <w:rFonts w:eastAsia="Times New Roman" w:cs="Calibri"/>
              </w:rPr>
            </w:pPr>
            <w:r>
              <w:rPr>
                <w:rFonts w:ascii="仿宋_GB2312" w:hAnsi="仿宋_GB2312" w:eastAsia="仿宋_GB2312" w:cs="仿宋_GB2312"/>
              </w:rPr>
              <w:t>2.</w:t>
            </w:r>
            <w:r>
              <w:rPr>
                <w:rFonts w:hint="eastAsia" w:ascii="宋体" w:hAnsi="宋体" w:cs="宋体"/>
              </w:rPr>
              <w:t>资产账务管理是否合规，</w:t>
            </w:r>
            <w:r>
              <w:rPr>
                <w:rFonts w:hint="eastAsia" w:ascii="宋体" w:hAnsi="宋体" w:cs="宋体"/>
                <w:lang w:eastAsia="zh-CN"/>
              </w:rPr>
              <w:t>账实相符</w:t>
            </w:r>
            <w:r>
              <w:rPr>
                <w:rFonts w:hint="eastAsia" w:ascii="宋体" w:hAnsi="宋体" w:cs="宋体"/>
              </w:rPr>
              <w:t>；</w:t>
            </w:r>
          </w:p>
          <w:p w14:paraId="5D625122">
            <w:pPr>
              <w:jc w:val="left"/>
            </w:pPr>
            <w:r>
              <w:rPr>
                <w:rFonts w:ascii="仿宋_GB2312" w:hAnsi="仿宋_GB2312" w:eastAsia="仿宋_GB2312" w:cs="仿宋_GB2312"/>
              </w:rPr>
              <w:t>3.</w:t>
            </w:r>
            <w:r>
              <w:rPr>
                <w:rFonts w:hint="eastAsia" w:ascii="宋体" w:hAnsi="宋体" w:cs="宋体"/>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9D68E">
            <w:pPr>
              <w:jc w:val="left"/>
              <w:rPr>
                <w:rFonts w:eastAsia="Times New Roman" w:cs="Calibri"/>
              </w:rPr>
            </w:pPr>
            <w:r>
              <w:rPr>
                <w:rFonts w:hint="eastAsia" w:ascii="宋体" w:hAnsi="宋体" w:cs="宋体"/>
              </w:rPr>
              <w:t>符合全部三项（</w:t>
            </w:r>
            <w:r>
              <w:rPr>
                <w:rFonts w:ascii="仿宋_GB2312" w:hAnsi="仿宋_GB2312" w:eastAsia="仿宋_GB2312" w:cs="仿宋_GB2312"/>
              </w:rPr>
              <w:t>3</w:t>
            </w:r>
            <w:r>
              <w:rPr>
                <w:rFonts w:hint="eastAsia" w:ascii="宋体" w:hAnsi="宋体" w:cs="宋体"/>
              </w:rPr>
              <w:t>）；</w:t>
            </w:r>
          </w:p>
          <w:p w14:paraId="1B390CE1">
            <w:pPr>
              <w:jc w:val="left"/>
              <w:rPr>
                <w:rFonts w:eastAsia="Times New Roman" w:cs="Calibri"/>
              </w:rPr>
            </w:pPr>
            <w:r>
              <w:rPr>
                <w:rFonts w:hint="eastAsia" w:ascii="宋体" w:hAnsi="宋体" w:cs="宋体"/>
              </w:rPr>
              <w:t>符合其中两项（</w:t>
            </w:r>
            <w:r>
              <w:rPr>
                <w:rFonts w:ascii="仿宋_GB2312" w:hAnsi="仿宋_GB2312" w:eastAsia="仿宋_GB2312" w:cs="仿宋_GB2312"/>
              </w:rPr>
              <w:t>2</w:t>
            </w:r>
            <w:r>
              <w:rPr>
                <w:rFonts w:hint="eastAsia" w:ascii="宋体" w:hAnsi="宋体" w:cs="宋体"/>
              </w:rPr>
              <w:t>）；</w:t>
            </w:r>
          </w:p>
          <w:p w14:paraId="7088036F">
            <w:pPr>
              <w:jc w:val="left"/>
              <w:rPr>
                <w:rFonts w:eastAsia="Times New Roman" w:cs="Calibri"/>
              </w:rPr>
            </w:pPr>
            <w:r>
              <w:rPr>
                <w:rFonts w:hint="eastAsia" w:ascii="宋体" w:hAnsi="宋体" w:cs="宋体"/>
              </w:rPr>
              <w:t>符合其中一项（</w:t>
            </w:r>
            <w:r>
              <w:rPr>
                <w:rFonts w:ascii="仿宋_GB2312" w:hAnsi="仿宋_GB2312" w:eastAsia="仿宋_GB2312" w:cs="仿宋_GB2312"/>
              </w:rPr>
              <w:t>1</w:t>
            </w:r>
            <w:r>
              <w:rPr>
                <w:rFonts w:hint="eastAsia" w:ascii="宋体" w:hAnsi="宋体" w:cs="宋体"/>
              </w:rPr>
              <w:t>）；</w:t>
            </w:r>
          </w:p>
          <w:p w14:paraId="58FBCD28">
            <w:pPr>
              <w:jc w:val="left"/>
            </w:pPr>
            <w:r>
              <w:rPr>
                <w:rFonts w:hint="eastAsia" w:ascii="宋体" w:hAnsi="宋体" w:cs="宋体"/>
              </w:rPr>
              <w:t>符合零项（</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41DD0C">
            <w:pPr>
              <w:jc w:val="left"/>
              <w:rPr>
                <w:rFonts w:ascii="宋体" w:cs="宋体"/>
                <w:sz w:val="22"/>
              </w:rPr>
            </w:pPr>
            <w:r>
              <w:rPr>
                <w:rFonts w:ascii="宋体" w:cs="宋体"/>
                <w:sz w:val="22"/>
              </w:rPr>
              <w:t>2</w:t>
            </w:r>
          </w:p>
        </w:tc>
      </w:tr>
      <w:tr w14:paraId="5DFBA2B5">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905B2F">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E55CC5">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18E4F">
            <w:pPr>
              <w:jc w:val="left"/>
            </w:pPr>
            <w:r>
              <w:rPr>
                <w:rFonts w:hint="eastAsia" w:ascii="宋体" w:hAnsi="宋体" w:cs="宋体"/>
              </w:rPr>
              <w:t>固定资产利用率（</w:t>
            </w:r>
            <w:r>
              <w:rPr>
                <w:rFonts w:ascii="仿宋_GB2312" w:hAnsi="仿宋_GB2312" w:eastAsia="仿宋_GB2312" w:cs="仿宋_GB2312"/>
              </w:rPr>
              <w:t>3</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E2D26A">
            <w:pPr>
              <w:jc w:val="left"/>
              <w:rPr>
                <w:rFonts w:eastAsia="Times New Roman" w:cs="Calibri"/>
              </w:rPr>
            </w:pPr>
            <w:r>
              <w:rPr>
                <w:rFonts w:hint="eastAsia" w:ascii="宋体" w:hAnsi="宋体" w:cs="宋体"/>
              </w:rPr>
              <w:t>部门实际在用固定资产总额与所有固定资产总额的比率，用以反映和评价部门固定资产使用效率。</w:t>
            </w:r>
          </w:p>
          <w:p w14:paraId="4644022C">
            <w:pPr>
              <w:jc w:val="left"/>
            </w:pPr>
            <w:r>
              <w:rPr>
                <w:rFonts w:hint="eastAsia" w:ascii="宋体" w:hAnsi="宋体" w:cs="宋体"/>
              </w:rPr>
              <w:t>固定资产利用率</w:t>
            </w:r>
            <w:r>
              <w:rPr>
                <w:rFonts w:ascii="仿宋_GB2312" w:hAnsi="仿宋_GB2312" w:eastAsia="仿宋_GB2312" w:cs="仿宋_GB2312"/>
              </w:rPr>
              <w:t>=</w:t>
            </w:r>
            <w:r>
              <w:rPr>
                <w:rFonts w:hint="eastAsia" w:ascii="宋体" w:hAnsi="宋体" w:cs="宋体"/>
              </w:rPr>
              <w:t>（实际在用固定资产总额</w:t>
            </w:r>
            <w:r>
              <w:rPr>
                <w:rFonts w:ascii="仿宋_GB2312" w:hAnsi="仿宋_GB2312" w:eastAsia="仿宋_GB2312" w:cs="仿宋_GB2312"/>
              </w:rPr>
              <w:t>/</w:t>
            </w:r>
            <w:r>
              <w:rPr>
                <w:rFonts w:hint="eastAsia" w:ascii="宋体" w:hAnsi="宋体" w:cs="宋体"/>
              </w:rPr>
              <w:t>所有固定资产总额）</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54DD8A">
            <w:pPr>
              <w:jc w:val="left"/>
              <w:rPr>
                <w:rFonts w:eastAsia="Times New Roman" w:cs="Calibri"/>
              </w:rPr>
            </w:pPr>
            <w:r>
              <w:rPr>
                <w:rFonts w:ascii="仿宋_GB2312" w:hAnsi="仿宋_GB2312" w:eastAsia="仿宋_GB2312" w:cs="仿宋_GB2312"/>
              </w:rPr>
              <w:t>1.</w:t>
            </w:r>
            <w:r>
              <w:rPr>
                <w:rFonts w:hint="eastAsia" w:ascii="宋体" w:hAnsi="宋体" w:cs="宋体"/>
              </w:rPr>
              <w:t>固定资产利用率大于或等于</w:t>
            </w:r>
            <w:r>
              <w:rPr>
                <w:rFonts w:ascii="仿宋_GB2312" w:hAnsi="仿宋_GB2312" w:eastAsia="仿宋_GB2312" w:cs="仿宋_GB2312"/>
              </w:rPr>
              <w:t>95%</w:t>
            </w:r>
            <w:r>
              <w:rPr>
                <w:rFonts w:hint="eastAsia" w:ascii="宋体" w:hAnsi="宋体" w:cs="宋体"/>
              </w:rPr>
              <w:t>的，得满分；</w:t>
            </w:r>
          </w:p>
          <w:p w14:paraId="1103AA76">
            <w:pPr>
              <w:jc w:val="left"/>
              <w:rPr>
                <w:rFonts w:eastAsia="Times New Roman" w:cs="Calibri"/>
              </w:rPr>
            </w:pPr>
            <w:r>
              <w:rPr>
                <w:rFonts w:ascii="仿宋_GB2312" w:hAnsi="仿宋_GB2312" w:eastAsia="仿宋_GB2312" w:cs="仿宋_GB2312"/>
              </w:rPr>
              <w:t>2.</w:t>
            </w:r>
            <w:r>
              <w:rPr>
                <w:rFonts w:hint="eastAsia" w:ascii="宋体" w:hAnsi="宋体" w:cs="宋体"/>
              </w:rPr>
              <w:t>固定资产利用率小于或等于</w:t>
            </w:r>
            <w:r>
              <w:rPr>
                <w:rFonts w:ascii="仿宋_GB2312" w:hAnsi="仿宋_GB2312" w:eastAsia="仿宋_GB2312" w:cs="仿宋_GB2312"/>
              </w:rPr>
              <w:t>85%</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14:paraId="60AEBA36">
            <w:pPr>
              <w:jc w:val="left"/>
              <w:rPr>
                <w:rFonts w:eastAsia="Times New Roman" w:cs="Calibri"/>
              </w:rPr>
            </w:pPr>
            <w:r>
              <w:rPr>
                <w:rFonts w:ascii="仿宋_GB2312" w:hAnsi="仿宋_GB2312" w:eastAsia="仿宋_GB2312" w:cs="仿宋_GB2312"/>
              </w:rPr>
              <w:t>3.</w:t>
            </w:r>
            <w:r>
              <w:rPr>
                <w:rFonts w:hint="eastAsia" w:ascii="宋体" w:hAnsi="宋体" w:cs="宋体"/>
              </w:rPr>
              <w:t>固定资产利用率在</w:t>
            </w:r>
            <w:r>
              <w:rPr>
                <w:rFonts w:ascii="仿宋_GB2312" w:hAnsi="仿宋_GB2312" w:eastAsia="仿宋_GB2312" w:cs="仿宋_GB2312"/>
              </w:rPr>
              <w:t>85%-95%</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p>
          <w:p w14:paraId="2CD23BF0">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［某部门固定资产利用率</w:t>
            </w:r>
            <w:r>
              <w:rPr>
                <w:rFonts w:ascii="仿宋_GB2312" w:hAnsi="仿宋_GB2312" w:eastAsia="仿宋_GB2312" w:cs="仿宋_GB2312"/>
              </w:rPr>
              <w:t>-min</w:t>
            </w:r>
            <w:r>
              <w:rPr>
                <w:rFonts w:hint="eastAsia" w:ascii="宋体" w:hAnsi="宋体" w:cs="宋体"/>
              </w:rPr>
              <w:t>（固定资产利用率）］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（固定资产利用率）</w:t>
            </w:r>
            <w:r>
              <w:rPr>
                <w:rFonts w:ascii="仿宋_GB2312" w:hAnsi="仿宋_GB2312" w:eastAsia="仿宋_GB2312" w:cs="仿宋_GB2312"/>
              </w:rPr>
              <w:t>-min</w:t>
            </w:r>
            <w:r>
              <w:rPr>
                <w:rFonts w:hint="eastAsia" w:ascii="宋体" w:hAnsi="宋体" w:cs="宋体"/>
              </w:rPr>
              <w:t>（固定资产利用率）］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17D36">
            <w:pPr>
              <w:jc w:val="left"/>
              <w:rPr>
                <w:rFonts w:ascii="宋体" w:cs="宋体"/>
                <w:sz w:val="22"/>
              </w:rPr>
            </w:pPr>
            <w:r>
              <w:rPr>
                <w:rFonts w:ascii="宋体" w:cs="宋体"/>
                <w:sz w:val="22"/>
              </w:rPr>
              <w:t>2</w:t>
            </w:r>
          </w:p>
        </w:tc>
      </w:tr>
      <w:tr w14:paraId="7BA62BF5">
        <w:tblPrEx>
          <w:tblCellMar>
            <w:top w:w="0" w:type="dxa"/>
            <w:left w:w="10" w:type="dxa"/>
            <w:bottom w:w="0" w:type="dxa"/>
            <w:right w:w="10"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723141">
            <w:pPr>
              <w:jc w:val="left"/>
            </w:pPr>
            <w:r>
              <w:rPr>
                <w:rFonts w:hint="eastAsia" w:ascii="宋体" w:hAnsi="宋体" w:cs="宋体"/>
              </w:rPr>
              <w:t>产出</w:t>
            </w:r>
            <w:r>
              <w:rPr>
                <w:rFonts w:ascii="仿宋_GB2312" w:hAnsi="仿宋_GB2312" w:eastAsia="仿宋_GB2312" w:cs="仿宋_GB2312"/>
              </w:rPr>
              <w:t>(25</w:t>
            </w:r>
            <w:r>
              <w:rPr>
                <w:rFonts w:hint="eastAsia" w:ascii="宋体" w:hAnsi="宋体" w:cs="宋体"/>
              </w:rPr>
              <w:t>分</w:t>
            </w:r>
            <w:r>
              <w:rPr>
                <w:rFonts w:ascii="仿宋_GB2312" w:hAnsi="仿宋_GB2312" w:eastAsia="仿宋_GB2312" w:cs="仿宋_GB2312"/>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9BBCCA">
            <w:pPr>
              <w:jc w:val="left"/>
            </w:pPr>
            <w:r>
              <w:rPr>
                <w:rFonts w:hint="eastAsia" w:ascii="宋体" w:hAnsi="宋体" w:cs="宋体"/>
              </w:rPr>
              <w:t>职责履行情况（</w:t>
            </w:r>
            <w:r>
              <w:rPr>
                <w:rFonts w:ascii="仿宋_GB2312" w:hAnsi="仿宋_GB2312" w:eastAsia="仿宋_GB2312" w:cs="仿宋_GB2312"/>
              </w:rPr>
              <w:t>25</w:t>
            </w:r>
            <w:r>
              <w:rPr>
                <w:rFonts w:hint="eastAsia" w:ascii="宋体" w:hAnsi="宋体" w:cs="宋体"/>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0E7A8">
            <w:pPr>
              <w:jc w:val="left"/>
            </w:pPr>
            <w:r>
              <w:rPr>
                <w:rFonts w:hint="eastAsia" w:ascii="宋体" w:hAnsi="宋体" w:cs="宋体"/>
              </w:rPr>
              <w:t>履职完成情况（</w:t>
            </w:r>
            <w:r>
              <w:rPr>
                <w:rFonts w:ascii="仿宋_GB2312" w:hAnsi="仿宋_GB2312" w:eastAsia="仿宋_GB2312" w:cs="仿宋_GB2312"/>
              </w:rPr>
              <w:t>10</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D9AFCA">
            <w:pPr>
              <w:jc w:val="left"/>
            </w:pPr>
            <w:r>
              <w:rPr>
                <w:rFonts w:hint="eastAsia" w:ascii="仿宋" w:hAnsi="仿宋" w:eastAsia="仿宋" w:cs="仿宋"/>
                <w:color w:val="000000"/>
              </w:rPr>
              <w:t>根据年度主要任务分解表的具体任务，逐项评价任务量化指标完成情况、实施效果和责任制建立情况。用以反映和考核部门（单位）履职工作任务目标的完成情况。评价要点：</w:t>
            </w:r>
            <w:r>
              <w:rPr>
                <w:rFonts w:ascii="仿宋" w:hAnsi="仿宋" w:eastAsia="仿宋" w:cs="仿宋"/>
                <w:color w:val="000000"/>
              </w:rPr>
              <w:br w:type="textWrapping"/>
            </w:r>
            <w:r>
              <w:rPr>
                <w:rFonts w:ascii="仿宋" w:hAnsi="仿宋" w:eastAsia="仿宋" w:cs="仿宋"/>
                <w:color w:val="000000"/>
              </w:rPr>
              <w:t>1.</w:t>
            </w:r>
            <w:r>
              <w:rPr>
                <w:rFonts w:hint="eastAsia" w:ascii="仿宋" w:hAnsi="仿宋" w:eastAsia="仿宋" w:cs="仿宋"/>
                <w:color w:val="000000"/>
              </w:rPr>
              <w:t>每项任务是否已制定了明确、具体、可量化、可衡量的绩效指标；</w:t>
            </w:r>
            <w:r>
              <w:rPr>
                <w:rFonts w:ascii="仿宋" w:hAnsi="仿宋" w:eastAsia="仿宋" w:cs="仿宋"/>
                <w:color w:val="000000"/>
              </w:rPr>
              <w:t xml:space="preserve">           </w:t>
            </w:r>
            <w:r>
              <w:rPr>
                <w:rFonts w:ascii="仿宋" w:hAnsi="仿宋" w:eastAsia="仿宋" w:cs="仿宋"/>
                <w:color w:val="000000"/>
              </w:rPr>
              <w:br w:type="textWrapping"/>
            </w:r>
            <w:r>
              <w:rPr>
                <w:rFonts w:ascii="仿宋" w:hAnsi="仿宋" w:eastAsia="仿宋" w:cs="仿宋"/>
                <w:color w:val="000000"/>
              </w:rPr>
              <w:t>2.</w:t>
            </w:r>
            <w:r>
              <w:rPr>
                <w:rFonts w:hint="eastAsia" w:ascii="仿宋" w:hAnsi="仿宋" w:eastAsia="仿宋" w:cs="仿宋"/>
                <w:color w:val="000000"/>
              </w:rPr>
              <w:t>每项任务绩效指标的完成情况，是全部完成、基本完成、未完成，还是未实施；</w:t>
            </w:r>
            <w:r>
              <w:rPr>
                <w:rFonts w:ascii="仿宋" w:hAnsi="仿宋" w:eastAsia="仿宋" w:cs="仿宋"/>
                <w:color w:val="000000"/>
              </w:rPr>
              <w:br w:type="textWrapping"/>
            </w:r>
            <w:r>
              <w:rPr>
                <w:rFonts w:ascii="仿宋" w:hAnsi="仿宋" w:eastAsia="仿宋" w:cs="仿宋"/>
                <w:color w:val="000000"/>
              </w:rPr>
              <w:t>3.</w:t>
            </w:r>
            <w:r>
              <w:rPr>
                <w:rFonts w:hint="eastAsia" w:ascii="仿宋" w:hAnsi="仿宋" w:eastAsia="仿宋" w:cs="仿宋"/>
                <w:color w:val="000000"/>
              </w:rPr>
              <w:t>每项任务实施效果情况，是优秀、良好、一般，还是无效果；</w:t>
            </w:r>
            <w:r>
              <w:rPr>
                <w:rFonts w:ascii="仿宋" w:hAnsi="仿宋" w:eastAsia="仿宋" w:cs="仿宋"/>
                <w:color w:val="000000"/>
              </w:rPr>
              <w:br w:type="textWrapping"/>
            </w:r>
            <w:r>
              <w:rPr>
                <w:rFonts w:ascii="仿宋" w:hAnsi="仿宋" w:eastAsia="仿宋" w:cs="仿宋"/>
                <w:color w:val="000000"/>
              </w:rPr>
              <w:t>4.</w:t>
            </w:r>
            <w:r>
              <w:rPr>
                <w:rFonts w:hint="eastAsia" w:ascii="仿宋" w:hAnsi="仿宋" w:eastAsia="仿宋" w:cs="仿宋"/>
                <w:color w:val="000000"/>
              </w:rPr>
              <w:t>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D140F8">
            <w:pPr>
              <w:jc w:val="left"/>
            </w:pPr>
            <w:r>
              <w:rPr>
                <w:rFonts w:hint="eastAsia" w:ascii="仿宋" w:hAnsi="仿宋" w:eastAsia="仿宋" w:cs="仿宋"/>
                <w:color w:val="000000"/>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9C81EE">
            <w:pPr>
              <w:jc w:val="left"/>
              <w:rPr>
                <w:rFonts w:ascii="宋体" w:cs="宋体"/>
                <w:sz w:val="22"/>
              </w:rPr>
            </w:pPr>
            <w:r>
              <w:rPr>
                <w:rFonts w:ascii="宋体" w:cs="宋体"/>
                <w:sz w:val="22"/>
              </w:rPr>
              <w:t>10</w:t>
            </w:r>
          </w:p>
        </w:tc>
      </w:tr>
      <w:tr w14:paraId="00ED0397">
        <w:tblPrEx>
          <w:tblCellMar>
            <w:top w:w="0" w:type="dxa"/>
            <w:left w:w="10" w:type="dxa"/>
            <w:bottom w:w="0" w:type="dxa"/>
            <w:right w:w="10"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1F4FEB">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12C67A">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E6398">
            <w:pPr>
              <w:jc w:val="left"/>
            </w:pPr>
            <w:r>
              <w:rPr>
                <w:rFonts w:hint="eastAsia" w:ascii="宋体" w:hAnsi="宋体" w:cs="宋体"/>
              </w:rPr>
              <w:t>项目完成质量达标率（</w:t>
            </w:r>
            <w:r>
              <w:rPr>
                <w:rFonts w:ascii="仿宋_GB2312" w:hAnsi="仿宋_GB2312" w:eastAsia="仿宋_GB2312" w:cs="仿宋_GB2312"/>
              </w:rPr>
              <w:t>15</w:t>
            </w:r>
            <w:r>
              <w:rPr>
                <w:rFonts w:hint="eastAsia" w:ascii="宋体" w:hAnsi="宋体" w:cs="宋体"/>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A1BB32">
            <w:pPr>
              <w:jc w:val="left"/>
              <w:rPr>
                <w:rFonts w:eastAsia="Times New Roman" w:cs="Calibri"/>
              </w:rPr>
            </w:pPr>
            <w:r>
              <w:rPr>
                <w:rFonts w:hint="eastAsia" w:ascii="宋体" w:hAnsi="宋体" w:cs="宋体"/>
              </w:rPr>
              <w:t>部门已完成项目中质量达标项目个数占已完成项目个数的比率</w:t>
            </w:r>
            <w:r>
              <w:rPr>
                <w:rFonts w:ascii="仿宋_GB2312" w:hAnsi="仿宋_GB2312" w:eastAsia="仿宋_GB2312" w:cs="仿宋_GB2312"/>
              </w:rPr>
              <w:t>,</w:t>
            </w:r>
            <w:r>
              <w:rPr>
                <w:rFonts w:hint="eastAsia" w:ascii="宋体" w:hAnsi="宋体" w:cs="宋体"/>
              </w:rPr>
              <w:t>用以反映和评价部门履职质量目标的实现程度。</w:t>
            </w:r>
          </w:p>
          <w:p w14:paraId="3B6B0AA0">
            <w:pPr>
              <w:jc w:val="left"/>
              <w:rPr>
                <w:rFonts w:eastAsia="Times New Roman" w:cs="Calibri"/>
              </w:rPr>
            </w:pPr>
            <w:r>
              <w:rPr>
                <w:rFonts w:hint="eastAsia" w:ascii="宋体" w:hAnsi="宋体" w:cs="宋体"/>
              </w:rPr>
              <w:t>项目质量达标率</w:t>
            </w:r>
            <w:r>
              <w:rPr>
                <w:rFonts w:ascii="仿宋_GB2312" w:hAnsi="仿宋_GB2312" w:eastAsia="仿宋_GB2312" w:cs="仿宋_GB2312"/>
              </w:rPr>
              <w:t>=</w:t>
            </w:r>
            <w:r>
              <w:rPr>
                <w:rFonts w:hint="eastAsia" w:ascii="宋体" w:hAnsi="宋体" w:cs="宋体"/>
              </w:rPr>
              <w:t>（已完成项目中质量达标项目个数</w:t>
            </w:r>
            <w:r>
              <w:rPr>
                <w:rFonts w:ascii="仿宋_GB2312" w:hAnsi="仿宋_GB2312" w:eastAsia="仿宋_GB2312" w:cs="仿宋_GB2312"/>
              </w:rPr>
              <w:t>/</w:t>
            </w:r>
            <w:r>
              <w:rPr>
                <w:rFonts w:hint="eastAsia" w:ascii="宋体" w:hAnsi="宋体" w:cs="宋体"/>
              </w:rPr>
              <w:t>已完成项目个数）</w:t>
            </w:r>
            <w:r>
              <w:rPr>
                <w:rFonts w:hint="eastAsia" w:ascii="宋体" w:cs="宋体"/>
              </w:rPr>
              <w:t>×</w:t>
            </w:r>
            <w:r>
              <w:rPr>
                <w:rFonts w:ascii="仿宋_GB2312" w:hAnsi="仿宋_GB2312" w:eastAsia="仿宋_GB2312" w:cs="仿宋_GB2312"/>
              </w:rPr>
              <w:t>100%</w:t>
            </w:r>
            <w:r>
              <w:rPr>
                <w:rFonts w:hint="eastAsia" w:ascii="宋体" w:hAnsi="宋体" w:cs="宋体"/>
              </w:rPr>
              <w:t>。</w:t>
            </w:r>
          </w:p>
          <w:p w14:paraId="35E242B8">
            <w:pPr>
              <w:jc w:val="left"/>
            </w:pPr>
            <w:r>
              <w:rPr>
                <w:rFonts w:hint="eastAsia" w:ascii="宋体" w:hAnsi="宋体" w:cs="宋体"/>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DFED37">
            <w:pPr>
              <w:jc w:val="left"/>
              <w:rPr>
                <w:rFonts w:eastAsia="Times New Roman" w:cs="Calibri"/>
              </w:rPr>
            </w:pPr>
            <w:r>
              <w:rPr>
                <w:rFonts w:ascii="仿宋_GB2312" w:hAnsi="仿宋_GB2312" w:eastAsia="仿宋_GB2312" w:cs="仿宋_GB2312"/>
              </w:rPr>
              <w:t>1.</w:t>
            </w:r>
            <w:r>
              <w:rPr>
                <w:rFonts w:hint="eastAsia" w:ascii="宋体" w:hAnsi="宋体" w:cs="宋体"/>
              </w:rPr>
              <w:t>项目质量达标率等于</w:t>
            </w:r>
            <w:r>
              <w:rPr>
                <w:rFonts w:ascii="仿宋_GB2312" w:hAnsi="仿宋_GB2312" w:eastAsia="仿宋_GB2312" w:cs="仿宋_GB2312"/>
              </w:rPr>
              <w:t>100%</w:t>
            </w:r>
            <w:r>
              <w:rPr>
                <w:rFonts w:hint="eastAsia" w:ascii="宋体" w:hAnsi="宋体" w:cs="宋体"/>
              </w:rPr>
              <w:t>的，得满分；</w:t>
            </w:r>
          </w:p>
          <w:p w14:paraId="4C107FF3">
            <w:pPr>
              <w:jc w:val="left"/>
              <w:rPr>
                <w:rFonts w:eastAsia="Times New Roman" w:cs="Calibri"/>
              </w:rPr>
            </w:pPr>
            <w:r>
              <w:rPr>
                <w:rFonts w:ascii="仿宋_GB2312" w:hAnsi="仿宋_GB2312" w:eastAsia="仿宋_GB2312" w:cs="仿宋_GB2312"/>
              </w:rPr>
              <w:t>2.</w:t>
            </w:r>
            <w:r>
              <w:rPr>
                <w:rFonts w:hint="eastAsia" w:ascii="宋体" w:hAnsi="宋体" w:cs="宋体"/>
              </w:rPr>
              <w:t>项目质量达标率小于或等于</w:t>
            </w:r>
            <w:r>
              <w:rPr>
                <w:rFonts w:ascii="仿宋_GB2312" w:hAnsi="仿宋_GB2312" w:eastAsia="仿宋_GB2312" w:cs="仿宋_GB2312"/>
              </w:rPr>
              <w:t>99%</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14:paraId="44F36E18">
            <w:pPr>
              <w:jc w:val="left"/>
              <w:rPr>
                <w:rFonts w:eastAsia="Times New Roman" w:cs="Calibri"/>
              </w:rPr>
            </w:pPr>
            <w:r>
              <w:rPr>
                <w:rFonts w:ascii="仿宋_GB2312" w:hAnsi="仿宋_GB2312" w:eastAsia="仿宋_GB2312" w:cs="仿宋_GB2312"/>
              </w:rPr>
              <w:t>3.</w:t>
            </w:r>
            <w:r>
              <w:rPr>
                <w:rFonts w:hint="eastAsia" w:ascii="宋体" w:hAnsi="宋体" w:cs="宋体"/>
              </w:rPr>
              <w:t>项目质量达标率在</w:t>
            </w:r>
            <w:r>
              <w:rPr>
                <w:rFonts w:ascii="仿宋_GB2312" w:hAnsi="仿宋_GB2312" w:eastAsia="仿宋_GB2312" w:cs="仿宋_GB2312"/>
              </w:rPr>
              <w:t>99%-100%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r>
              <w:rPr>
                <w:rFonts w:ascii="仿宋_GB2312" w:hAnsi="仿宋_GB2312" w:eastAsia="仿宋_GB2312" w:cs="仿宋_GB2312"/>
              </w:rPr>
              <w:t xml:space="preserve"> </w:t>
            </w:r>
          </w:p>
          <w:p w14:paraId="4414B588">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［某部门项目质量达标率</w:t>
            </w:r>
            <w:r>
              <w:rPr>
                <w:rFonts w:ascii="仿宋_GB2312" w:hAnsi="仿宋_GB2312" w:eastAsia="仿宋_GB2312" w:cs="仿宋_GB2312"/>
              </w:rPr>
              <w:t>-min</w:t>
            </w:r>
            <w:r>
              <w:rPr>
                <w:rFonts w:hint="eastAsia" w:ascii="宋体" w:hAnsi="宋体" w:cs="宋体"/>
              </w:rPr>
              <w:t>（项目质量达标率）］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（项目质量达标率）</w:t>
            </w:r>
            <w:r>
              <w:rPr>
                <w:rFonts w:ascii="仿宋_GB2312" w:hAnsi="仿宋_GB2312" w:eastAsia="仿宋_GB2312" w:cs="仿宋_GB2312"/>
              </w:rPr>
              <w:t>-min</w:t>
            </w:r>
            <w:r>
              <w:rPr>
                <w:rFonts w:hint="eastAsia" w:ascii="宋体" w:hAnsi="宋体" w:cs="宋体"/>
              </w:rPr>
              <w:t>（项目质量达标率）］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185B3">
            <w:pPr>
              <w:jc w:val="left"/>
              <w:rPr>
                <w:rFonts w:ascii="宋体" w:cs="宋体"/>
                <w:sz w:val="22"/>
              </w:rPr>
            </w:pPr>
            <w:r>
              <w:rPr>
                <w:rFonts w:ascii="宋体" w:cs="宋体"/>
                <w:sz w:val="22"/>
              </w:rPr>
              <w:t>13</w:t>
            </w:r>
          </w:p>
        </w:tc>
      </w:tr>
      <w:tr w14:paraId="157932B1">
        <w:tblPrEx>
          <w:tblCellMar>
            <w:top w:w="0" w:type="dxa"/>
            <w:left w:w="10" w:type="dxa"/>
            <w:bottom w:w="0" w:type="dxa"/>
            <w:right w:w="10"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BFB3E">
            <w:pPr>
              <w:jc w:val="left"/>
            </w:pPr>
            <w:r>
              <w:rPr>
                <w:rFonts w:hint="eastAsia" w:ascii="宋体" w:hAnsi="宋体" w:cs="宋体"/>
              </w:rPr>
              <w:t>效果（</w:t>
            </w:r>
            <w:r>
              <w:rPr>
                <w:rFonts w:ascii="仿宋_GB2312" w:hAnsi="仿宋_GB2312" w:eastAsia="仿宋_GB2312" w:cs="仿宋_GB2312"/>
              </w:rPr>
              <w:t>20</w:t>
            </w:r>
            <w:r>
              <w:rPr>
                <w:rFonts w:hint="eastAsia" w:ascii="宋体" w:hAnsi="宋体" w:cs="宋体"/>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106874">
            <w:pPr>
              <w:jc w:val="left"/>
              <w:rPr>
                <w:rFonts w:ascii="仿宋_GB2312" w:hAnsi="仿宋_GB2312" w:eastAsia="仿宋_GB2312" w:cs="仿宋_GB2312"/>
              </w:rPr>
            </w:pPr>
          </w:p>
          <w:p w14:paraId="3C845507">
            <w:pPr>
              <w:jc w:val="left"/>
              <w:rPr>
                <w:rFonts w:ascii="仿宋_GB2312" w:hAnsi="仿宋_GB2312" w:eastAsia="仿宋_GB2312" w:cs="仿宋_GB2312"/>
              </w:rPr>
            </w:pPr>
            <w:r>
              <w:rPr>
                <w:rFonts w:hint="eastAsia" w:ascii="宋体" w:hAnsi="宋体" w:cs="宋体"/>
              </w:rPr>
              <w:t>履职效益情况</w:t>
            </w:r>
          </w:p>
          <w:p w14:paraId="74E04771">
            <w:pPr>
              <w:jc w:val="left"/>
            </w:pPr>
            <w:r>
              <w:rPr>
                <w:rFonts w:hint="eastAsia" w:ascii="宋体" w:hAnsi="宋体" w:cs="宋体"/>
              </w:rPr>
              <w:t>（</w:t>
            </w:r>
            <w:r>
              <w:rPr>
                <w:rFonts w:ascii="仿宋_GB2312" w:hAnsi="仿宋_GB2312" w:eastAsia="仿宋_GB2312" w:cs="仿宋_GB2312"/>
              </w:rPr>
              <w:t>20</w:t>
            </w:r>
            <w:r>
              <w:rPr>
                <w:rFonts w:hint="eastAsia" w:ascii="宋体" w:hAnsi="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239F6B">
            <w:pPr>
              <w:jc w:val="left"/>
            </w:pPr>
            <w:r>
              <w:rPr>
                <w:rFonts w:hint="eastAsia" w:ascii="宋体" w:hAnsi="宋体" w:cs="宋体"/>
                <w:color w:val="000000"/>
              </w:rPr>
              <w:t>经济效益</w:t>
            </w:r>
            <w:r>
              <w:rPr>
                <w:rFonts w:hint="eastAsia" w:ascii="宋体" w:hAnsi="宋体" w:cs="宋体"/>
              </w:rPr>
              <w:t>（</w:t>
            </w:r>
            <w:r>
              <w:rPr>
                <w:rFonts w:ascii="仿宋_GB2312" w:hAnsi="仿宋_GB2312" w:eastAsia="仿宋_GB2312" w:cs="仿宋_GB2312"/>
              </w:rPr>
              <w:t>5</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50A855">
            <w:pPr>
              <w:jc w:val="left"/>
              <w:rPr>
                <w:rFonts w:ascii="仿宋" w:hAnsi="仿宋" w:eastAsia="仿宋" w:cs="仿宋"/>
                <w:color w:val="000000"/>
              </w:rPr>
            </w:pPr>
            <w:r>
              <w:rPr>
                <w:rFonts w:hint="eastAsia" w:ascii="仿宋" w:hAnsi="仿宋" w:eastAsia="仿宋" w:cs="仿宋"/>
                <w:color w:val="000000"/>
              </w:rPr>
              <w:t>部门及所属二级单位通过履行职责和预算安排支出项目的实施，对我市带来的经济影响。</w:t>
            </w:r>
          </w:p>
          <w:p w14:paraId="7B1E1943">
            <w:pPr>
              <w:jc w:val="left"/>
            </w:pPr>
            <w:r>
              <w:rPr>
                <w:rFonts w:hint="eastAsia"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w:t>
            </w:r>
            <w:r>
              <w:rPr>
                <w:rFonts w:hint="eastAsia" w:ascii="仿宋" w:hAnsi="仿宋" w:eastAsia="仿宋" w:cs="仿宋"/>
                <w:color w:val="000000"/>
              </w:rPr>
              <w:t>通过部门所属企事业单位改革，促进了企事业单位效益增长情况；</w:t>
            </w:r>
            <w:r>
              <w:rPr>
                <w:rFonts w:ascii="仿宋" w:hAnsi="仿宋" w:eastAsia="仿宋" w:cs="仿宋"/>
                <w:color w:val="000000"/>
              </w:rPr>
              <w:t xml:space="preserve">          </w:t>
            </w:r>
            <w:r>
              <w:rPr>
                <w:rFonts w:ascii="仿宋" w:hAnsi="仿宋" w:eastAsia="仿宋" w:cs="仿宋"/>
                <w:color w:val="000000"/>
              </w:rPr>
              <w:br w:type="textWrapping"/>
            </w:r>
            <w:r>
              <w:rPr>
                <w:rFonts w:ascii="仿宋" w:hAnsi="仿宋" w:eastAsia="仿宋" w:cs="仿宋"/>
                <w:color w:val="000000"/>
              </w:rPr>
              <w:t>2.</w:t>
            </w:r>
            <w:r>
              <w:rPr>
                <w:rFonts w:hint="eastAsia" w:ascii="仿宋" w:hAnsi="仿宋" w:eastAsia="仿宋" w:cs="仿宋"/>
                <w:color w:val="000000"/>
              </w:rPr>
              <w:t>通过预算支出项目的实施，促进了行业生产能力增长，从而带动行业经济效益增长；</w:t>
            </w:r>
            <w:r>
              <w:rPr>
                <w:rFonts w:ascii="仿宋" w:hAnsi="仿宋" w:eastAsia="仿宋" w:cs="仿宋"/>
                <w:color w:val="000000"/>
              </w:rPr>
              <w:br w:type="textWrapping"/>
            </w:r>
            <w:r>
              <w:rPr>
                <w:rFonts w:ascii="仿宋" w:hAnsi="仿宋" w:eastAsia="仿宋" w:cs="仿宋"/>
                <w:color w:val="000000"/>
              </w:rPr>
              <w:t>3.</w:t>
            </w:r>
            <w:r>
              <w:rPr>
                <w:rFonts w:hint="eastAsia" w:ascii="仿宋" w:hAnsi="仿宋" w:eastAsia="仿宋" w:cs="仿宋"/>
                <w:color w:val="000000"/>
              </w:rPr>
              <w:t>通过预算支出项目的实施，有效提高劳动效率，节约成本费用；</w:t>
            </w:r>
            <w:r>
              <w:rPr>
                <w:rFonts w:ascii="仿宋" w:hAnsi="仿宋" w:eastAsia="仿宋" w:cs="仿宋"/>
                <w:color w:val="000000"/>
              </w:rPr>
              <w:br w:type="textWrapping"/>
            </w:r>
            <w:r>
              <w:rPr>
                <w:rFonts w:ascii="仿宋" w:hAnsi="仿宋" w:eastAsia="仿宋" w:cs="仿宋"/>
                <w:color w:val="000000"/>
              </w:rPr>
              <w:t>4.</w:t>
            </w:r>
            <w:r>
              <w:rPr>
                <w:rFonts w:hint="eastAsia" w:ascii="仿宋" w:hAnsi="仿宋" w:eastAsia="仿宋" w:cs="仿宋"/>
                <w:color w:val="000000"/>
              </w:rPr>
              <w:t>通过预算支出项目的实施，降低了损耗，从而提高了生产效益；</w:t>
            </w:r>
            <w:r>
              <w:rPr>
                <w:rFonts w:ascii="仿宋" w:hAnsi="仿宋" w:eastAsia="仿宋" w:cs="仿宋"/>
                <w:color w:val="000000"/>
              </w:rPr>
              <w:br w:type="textWrapping"/>
            </w:r>
            <w:r>
              <w:rPr>
                <w:rFonts w:ascii="仿宋" w:hAnsi="仿宋" w:eastAsia="仿宋" w:cs="仿宋"/>
                <w:color w:val="000000"/>
              </w:rPr>
              <w:t>5.</w:t>
            </w:r>
            <w:r>
              <w:rPr>
                <w:rFonts w:hint="eastAsia" w:ascii="仿宋" w:hAnsi="仿宋" w:eastAsia="仿宋" w:cs="仿宋"/>
                <w:color w:val="000000"/>
              </w:rPr>
              <w:t>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ACFEA8">
            <w:pPr>
              <w:jc w:val="left"/>
            </w:pPr>
            <w:r>
              <w:rPr>
                <w:rFonts w:hint="eastAsia" w:ascii="仿宋" w:hAnsi="仿宋" w:eastAsia="仿宋" w:cs="仿宋"/>
                <w:color w:val="000000"/>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D8791">
            <w:pPr>
              <w:jc w:val="left"/>
              <w:rPr>
                <w:rFonts w:ascii="宋体" w:cs="宋体"/>
                <w:sz w:val="22"/>
              </w:rPr>
            </w:pPr>
            <w:r>
              <w:rPr>
                <w:rFonts w:ascii="宋体" w:cs="宋体"/>
                <w:sz w:val="22"/>
              </w:rPr>
              <w:t>5</w:t>
            </w:r>
          </w:p>
        </w:tc>
      </w:tr>
      <w:tr w14:paraId="51C9D27F">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E38D80">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1CD448">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724E7B">
            <w:r>
              <w:rPr>
                <w:rFonts w:hint="eastAsia" w:ascii="宋体" w:hAnsi="宋体" w:cs="宋体"/>
                <w:color w:val="000000"/>
              </w:rPr>
              <w:t>社会效益（</w:t>
            </w:r>
            <w:r>
              <w:rPr>
                <w:rFonts w:ascii="仿宋_GB2312" w:hAnsi="仿宋_GB2312" w:eastAsia="仿宋_GB2312" w:cs="仿宋_GB2312"/>
                <w:color w:val="000000"/>
              </w:rPr>
              <w:t>5</w:t>
            </w:r>
            <w:r>
              <w:rPr>
                <w:rFonts w:hint="eastAsia" w:ascii="宋体" w:hAnsi="宋体" w:cs="宋体"/>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E7767F">
            <w:pPr>
              <w:rPr>
                <w:rFonts w:ascii="仿宋" w:hAnsi="仿宋" w:eastAsia="仿宋" w:cs="仿宋"/>
                <w:color w:val="000000"/>
              </w:rPr>
            </w:pPr>
            <w:r>
              <w:rPr>
                <w:rFonts w:hint="eastAsia" w:ascii="仿宋" w:hAnsi="仿宋" w:eastAsia="仿宋" w:cs="仿宋"/>
                <w:color w:val="000000"/>
              </w:rPr>
              <w:t>部门及所属二级单位履行职责对社会发展所带来的直接或间接影响。</w:t>
            </w:r>
          </w:p>
          <w:p w14:paraId="0BA69471">
            <w:r>
              <w:rPr>
                <w:rFonts w:hint="eastAsia"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w:t>
            </w:r>
            <w:r>
              <w:rPr>
                <w:rFonts w:hint="eastAsia" w:ascii="仿宋" w:hAnsi="仿宋" w:eastAsia="仿宋" w:cs="仿宋"/>
                <w:color w:val="000000"/>
              </w:rPr>
              <w:t>通过部门所属企事业单位的改革，促进了企事业单位可持续发展，带动就业增长情况；</w:t>
            </w:r>
            <w:r>
              <w:rPr>
                <w:rFonts w:ascii="仿宋" w:hAnsi="仿宋" w:eastAsia="仿宋" w:cs="仿宋"/>
                <w:color w:val="000000"/>
              </w:rPr>
              <w:t xml:space="preserve">          </w:t>
            </w:r>
            <w:r>
              <w:rPr>
                <w:rFonts w:ascii="仿宋" w:hAnsi="仿宋" w:eastAsia="仿宋" w:cs="仿宋"/>
                <w:color w:val="000000"/>
              </w:rPr>
              <w:br w:type="textWrapping"/>
            </w:r>
            <w:r>
              <w:rPr>
                <w:rFonts w:ascii="仿宋" w:hAnsi="仿宋" w:eastAsia="仿宋" w:cs="仿宋"/>
                <w:color w:val="000000"/>
              </w:rPr>
              <w:t>2.</w:t>
            </w:r>
            <w:r>
              <w:rPr>
                <w:rFonts w:hint="eastAsia" w:ascii="仿宋" w:hAnsi="仿宋" w:eastAsia="仿宋" w:cs="仿宋"/>
                <w:color w:val="000000"/>
              </w:rPr>
              <w:t>通过预算支出项目的实施，是否明显促进了行业精神文明建设；</w:t>
            </w:r>
            <w:r>
              <w:rPr>
                <w:rFonts w:ascii="仿宋" w:hAnsi="仿宋" w:eastAsia="仿宋" w:cs="仿宋"/>
                <w:color w:val="000000"/>
              </w:rPr>
              <w:br w:type="textWrapping"/>
            </w:r>
            <w:r>
              <w:rPr>
                <w:rFonts w:ascii="仿宋" w:hAnsi="仿宋" w:eastAsia="仿宋" w:cs="仿宋"/>
                <w:color w:val="000000"/>
              </w:rPr>
              <w:t>3.</w:t>
            </w:r>
            <w:r>
              <w:rPr>
                <w:rFonts w:hint="eastAsia" w:ascii="仿宋" w:hAnsi="仿宋" w:eastAsia="仿宋" w:cs="仿宋"/>
                <w:color w:val="000000"/>
              </w:rPr>
              <w:t>通过部门履职是否明显提高城乡居民生活水平，满足了人们日益增长的物质与文化生活需求；</w:t>
            </w:r>
            <w:r>
              <w:rPr>
                <w:rFonts w:ascii="仿宋" w:hAnsi="仿宋" w:eastAsia="仿宋" w:cs="仿宋"/>
                <w:color w:val="000000"/>
              </w:rPr>
              <w:br w:type="textWrapping"/>
            </w:r>
            <w:r>
              <w:rPr>
                <w:rFonts w:ascii="仿宋" w:hAnsi="仿宋" w:eastAsia="仿宋" w:cs="仿宋"/>
                <w:color w:val="000000"/>
              </w:rPr>
              <w:t>4.</w:t>
            </w:r>
            <w:r>
              <w:rPr>
                <w:rFonts w:hint="eastAsia" w:ascii="仿宋" w:hAnsi="仿宋" w:eastAsia="仿宋" w:cs="仿宋"/>
                <w:color w:val="000000"/>
              </w:rPr>
              <w:t>通过预算项目的实施，是否提高了劳动生产率，降低了劳动强度，促进了劳动人民的身心健康；</w:t>
            </w:r>
            <w:r>
              <w:rPr>
                <w:rFonts w:ascii="仿宋" w:hAnsi="仿宋" w:eastAsia="仿宋" w:cs="仿宋"/>
                <w:color w:val="000000"/>
              </w:rPr>
              <w:br w:type="textWrapping"/>
            </w:r>
            <w:r>
              <w:rPr>
                <w:rFonts w:ascii="仿宋" w:hAnsi="仿宋" w:eastAsia="仿宋" w:cs="仿宋"/>
                <w:color w:val="000000"/>
              </w:rPr>
              <w:t>5.</w:t>
            </w:r>
            <w:r>
              <w:rPr>
                <w:rFonts w:hint="eastAsia" w:ascii="仿宋" w:hAnsi="仿宋" w:eastAsia="仿宋" w:cs="仿宋"/>
                <w:color w:val="000000"/>
              </w:rPr>
              <w:t>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BF03E3">
            <w:r>
              <w:rPr>
                <w:rFonts w:hint="eastAsia" w:ascii="仿宋" w:hAnsi="仿宋" w:eastAsia="仿宋" w:cs="仿宋"/>
                <w:color w:val="000000"/>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3D826">
            <w:pPr>
              <w:jc w:val="left"/>
              <w:rPr>
                <w:rFonts w:ascii="宋体" w:cs="宋体"/>
                <w:sz w:val="22"/>
              </w:rPr>
            </w:pPr>
            <w:r>
              <w:rPr>
                <w:rFonts w:ascii="宋体" w:cs="宋体"/>
                <w:sz w:val="22"/>
              </w:rPr>
              <w:t>5</w:t>
            </w:r>
          </w:p>
        </w:tc>
      </w:tr>
      <w:tr w14:paraId="6A0D1643">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D71E8E">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B6B56">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3687B7">
            <w:pPr>
              <w:jc w:val="left"/>
            </w:pPr>
            <w:r>
              <w:rPr>
                <w:rFonts w:hint="eastAsia" w:ascii="宋体" w:hAnsi="宋体" w:cs="宋体"/>
                <w:color w:val="000000"/>
              </w:rPr>
              <w:t>生态效益（</w:t>
            </w:r>
            <w:r>
              <w:rPr>
                <w:rFonts w:ascii="仿宋_GB2312" w:hAnsi="仿宋_GB2312" w:eastAsia="仿宋_GB2312" w:cs="仿宋_GB2312"/>
                <w:color w:val="000000"/>
              </w:rPr>
              <w:t>5</w:t>
            </w:r>
            <w:r>
              <w:rPr>
                <w:rFonts w:hint="eastAsia" w:ascii="宋体" w:hAnsi="宋体" w:cs="宋体"/>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BDD8A7">
            <w:pPr>
              <w:jc w:val="left"/>
              <w:rPr>
                <w:rFonts w:ascii="仿宋" w:hAnsi="仿宋" w:eastAsia="仿宋" w:cs="仿宋"/>
                <w:color w:val="000000"/>
              </w:rPr>
            </w:pPr>
            <w:r>
              <w:rPr>
                <w:rFonts w:hint="eastAsia" w:ascii="仿宋" w:hAnsi="仿宋" w:eastAsia="仿宋" w:cs="仿宋"/>
                <w:color w:val="000000"/>
              </w:rPr>
              <w:t>部门及所属二级单位履行职责对生态环境所带来的直接或间接影响。</w:t>
            </w:r>
          </w:p>
          <w:p w14:paraId="345E6112">
            <w:pPr>
              <w:jc w:val="left"/>
            </w:pPr>
            <w:r>
              <w:rPr>
                <w:rFonts w:hint="eastAsia"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w:t>
            </w:r>
            <w:r>
              <w:rPr>
                <w:rFonts w:hint="eastAsia" w:ascii="仿宋" w:hAnsi="仿宋" w:eastAsia="仿宋" w:cs="仿宋"/>
                <w:color w:val="000000"/>
              </w:rPr>
              <w:t>通过预算支出项目的实施，绿色、节能环保新技术的应用和推广，明显带动各环节的节能减排，也具有一定的环境效益；</w:t>
            </w:r>
            <w:r>
              <w:rPr>
                <w:rFonts w:ascii="仿宋" w:hAnsi="仿宋" w:eastAsia="仿宋" w:cs="仿宋"/>
                <w:color w:val="000000"/>
              </w:rPr>
              <w:br w:type="textWrapping"/>
            </w:r>
            <w:r>
              <w:rPr>
                <w:rFonts w:ascii="仿宋" w:hAnsi="仿宋" w:eastAsia="仿宋" w:cs="仿宋"/>
                <w:color w:val="000000"/>
              </w:rPr>
              <w:t>2.</w:t>
            </w:r>
            <w:r>
              <w:rPr>
                <w:rFonts w:hint="eastAsia" w:ascii="仿宋" w:hAnsi="仿宋" w:eastAsia="仿宋" w:cs="仿宋"/>
                <w:color w:val="000000"/>
              </w:rPr>
              <w:t>通过履职有效地控制虚假、伪劣、霉变等劣质产品进入市场，影响了人民生活质量，净化地市场环境；</w:t>
            </w:r>
            <w:r>
              <w:rPr>
                <w:rFonts w:ascii="仿宋" w:hAnsi="仿宋" w:eastAsia="仿宋" w:cs="仿宋"/>
                <w:color w:val="000000"/>
              </w:rPr>
              <w:br w:type="textWrapping"/>
            </w:r>
            <w:r>
              <w:rPr>
                <w:rFonts w:ascii="仿宋" w:hAnsi="仿宋" w:eastAsia="仿宋" w:cs="仿宋"/>
                <w:color w:val="000000"/>
              </w:rPr>
              <w:t>3.</w:t>
            </w:r>
            <w:r>
              <w:rPr>
                <w:rFonts w:hint="eastAsia" w:ascii="仿宋" w:hAnsi="仿宋" w:eastAsia="仿宋" w:cs="仿宋"/>
                <w:color w:val="000000"/>
              </w:rPr>
              <w:t>通过预算支出项目的实施，是否达到减少污染物排放；</w:t>
            </w:r>
            <w:r>
              <w:rPr>
                <w:rFonts w:ascii="仿宋" w:hAnsi="仿宋" w:eastAsia="仿宋" w:cs="仿宋"/>
                <w:color w:val="000000"/>
              </w:rPr>
              <w:br w:type="textWrapping"/>
            </w:r>
            <w:r>
              <w:rPr>
                <w:rFonts w:ascii="仿宋" w:hAnsi="仿宋" w:eastAsia="仿宋" w:cs="仿宋"/>
                <w:color w:val="000000"/>
              </w:rPr>
              <w:t>4.</w:t>
            </w:r>
            <w:r>
              <w:rPr>
                <w:rFonts w:hint="eastAsia" w:ascii="仿宋" w:hAnsi="仿宋" w:eastAsia="仿宋" w:cs="仿宋"/>
                <w:color w:val="000000"/>
              </w:rPr>
              <w:t>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9FE53B">
            <w:pPr>
              <w:jc w:val="left"/>
            </w:pPr>
            <w:r>
              <w:rPr>
                <w:rFonts w:hint="eastAsia" w:ascii="仿宋" w:hAnsi="仿宋" w:eastAsia="仿宋" w:cs="仿宋"/>
                <w:color w:val="000000"/>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07DC5">
            <w:pPr>
              <w:jc w:val="left"/>
              <w:rPr>
                <w:rFonts w:ascii="宋体" w:cs="宋体"/>
                <w:sz w:val="22"/>
              </w:rPr>
            </w:pPr>
            <w:r>
              <w:rPr>
                <w:rFonts w:ascii="宋体" w:cs="宋体"/>
                <w:sz w:val="22"/>
              </w:rPr>
              <w:t>5</w:t>
            </w:r>
          </w:p>
        </w:tc>
      </w:tr>
      <w:tr w14:paraId="60F28DCB">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4BC153">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F86C60">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ED6003">
            <w:pPr>
              <w:jc w:val="left"/>
            </w:pPr>
            <w:r>
              <w:rPr>
                <w:rFonts w:hint="eastAsia" w:ascii="宋体" w:hAnsi="宋体" w:cs="宋体"/>
              </w:rPr>
              <w:t>服务对象满意度（</w:t>
            </w:r>
            <w:r>
              <w:rPr>
                <w:rFonts w:ascii="仿宋_GB2312" w:hAnsi="仿宋_GB2312" w:eastAsia="仿宋_GB2312" w:cs="仿宋_GB2312"/>
              </w:rPr>
              <w:t>5</w:t>
            </w:r>
            <w:r>
              <w:rPr>
                <w:rFonts w:hint="eastAsia" w:ascii="宋体" w:hAnsi="宋体" w:cs="宋体"/>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C5F6AF">
            <w:pPr>
              <w:jc w:val="left"/>
              <w:rPr>
                <w:rFonts w:ascii="宋体" w:cs="宋体"/>
              </w:rPr>
            </w:pPr>
            <w:r>
              <w:rPr>
                <w:rFonts w:hint="eastAsia" w:ascii="宋体" w:hAnsi="宋体" w:cs="宋体"/>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6447A">
            <w:pPr>
              <w:rPr>
                <w:rFonts w:ascii="仿宋" w:hAnsi="仿宋" w:eastAsia="仿宋" w:cs="仿宋"/>
              </w:rPr>
            </w:pPr>
            <w:r>
              <w:rPr>
                <w:rFonts w:hint="eastAsia" w:ascii="仿宋" w:hAnsi="仿宋" w:eastAsia="仿宋" w:cs="仿宋"/>
              </w:rPr>
              <w:t>按照满意度调查的优秀、良好、合格、不合格给予该项指标打分：</w:t>
            </w:r>
          </w:p>
          <w:p w14:paraId="32269C05">
            <w:r>
              <w:rPr>
                <w:rFonts w:hint="eastAsia" w:ascii="仿宋" w:hAnsi="仿宋" w:eastAsia="仿宋" w:cs="仿宋"/>
              </w:rPr>
              <w:t>优秀（</w:t>
            </w:r>
            <w:r>
              <w:rPr>
                <w:rFonts w:ascii="仿宋" w:hAnsi="仿宋" w:eastAsia="仿宋" w:cs="仿宋"/>
              </w:rPr>
              <w:t>5</w:t>
            </w:r>
            <w:r>
              <w:rPr>
                <w:rFonts w:hint="eastAsia" w:ascii="仿宋" w:hAnsi="仿宋" w:eastAsia="仿宋" w:cs="仿宋"/>
              </w:rPr>
              <w:t>）；良好（</w:t>
            </w:r>
            <w:r>
              <w:rPr>
                <w:rFonts w:ascii="仿宋" w:hAnsi="仿宋" w:eastAsia="仿宋" w:cs="仿宋"/>
              </w:rPr>
              <w:t>3</w:t>
            </w:r>
            <w:r>
              <w:rPr>
                <w:rFonts w:hint="eastAsia" w:ascii="仿宋" w:hAnsi="仿宋" w:eastAsia="仿宋" w:cs="仿宋"/>
              </w:rPr>
              <w:t>）；合格（</w:t>
            </w:r>
            <w:r>
              <w:rPr>
                <w:rFonts w:ascii="仿宋" w:hAnsi="仿宋" w:eastAsia="仿宋" w:cs="仿宋"/>
              </w:rPr>
              <w:t>1</w:t>
            </w:r>
            <w:r>
              <w:rPr>
                <w:rFonts w:hint="eastAsia" w:ascii="仿宋" w:hAnsi="仿宋" w:eastAsia="仿宋" w:cs="仿宋"/>
              </w:rPr>
              <w:t>）；不合格（</w:t>
            </w:r>
            <w:r>
              <w:rPr>
                <w:rFonts w:ascii="仿宋" w:hAnsi="仿宋" w:eastAsia="仿宋" w:cs="仿宋"/>
              </w:rPr>
              <w:t>0</w:t>
            </w:r>
            <w:r>
              <w:rPr>
                <w:rFonts w:hint="eastAsia" w:ascii="仿宋" w:hAnsi="仿宋" w:eastAsia="仿宋" w:cs="仿宋"/>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BCD8C">
            <w:pPr>
              <w:jc w:val="left"/>
              <w:rPr>
                <w:rFonts w:ascii="宋体" w:cs="宋体"/>
                <w:sz w:val="22"/>
              </w:rPr>
            </w:pPr>
            <w:r>
              <w:rPr>
                <w:rFonts w:ascii="宋体" w:cs="宋体"/>
                <w:sz w:val="22"/>
              </w:rPr>
              <w:t>5</w:t>
            </w:r>
          </w:p>
        </w:tc>
      </w:tr>
    </w:tbl>
    <w:p w14:paraId="01497171">
      <w:pPr>
        <w:rPr>
          <w:rFonts w:ascii="仿宋" w:hAnsi="仿宋" w:eastAsia="仿宋" w:cs="仿宋"/>
          <w:sz w:val="32"/>
        </w:rPr>
      </w:pPr>
    </w:p>
    <w:p w14:paraId="01DE7044">
      <w:pPr>
        <w:rPr>
          <w:rFonts w:ascii="仿宋" w:hAnsi="仿宋" w:eastAsia="仿宋" w:cs="仿宋"/>
          <w:sz w:val="32"/>
        </w:rPr>
      </w:pPr>
    </w:p>
    <w:p w14:paraId="545EC899">
      <w:pPr>
        <w:rPr>
          <w:rFonts w:ascii="仿宋" w:hAnsi="仿宋" w:eastAsia="仿宋" w:cs="仿宋"/>
          <w:sz w:val="32"/>
        </w:rPr>
      </w:pPr>
    </w:p>
    <w:p w14:paraId="3C7CF6D7">
      <w:pPr>
        <w:jc w:val="center"/>
        <w:rPr>
          <w:rFonts w:ascii="仿宋" w:hAnsi="仿宋" w:eastAsia="仿宋" w:cs="仿宋"/>
          <w:b/>
          <w:sz w:val="44"/>
          <w:szCs w:val="44"/>
        </w:rPr>
      </w:pPr>
      <w:r>
        <w:rPr>
          <w:rFonts w:hint="eastAsia" w:ascii="仿宋" w:hAnsi="仿宋" w:eastAsia="仿宋" w:cs="仿宋"/>
          <w:b/>
          <w:sz w:val="44"/>
          <w:szCs w:val="44"/>
        </w:rPr>
        <w:t>沙河市交通运输局</w:t>
      </w:r>
    </w:p>
    <w:p w14:paraId="24482D43">
      <w:pPr>
        <w:jc w:val="center"/>
        <w:rPr>
          <w:rFonts w:ascii="仿宋" w:hAnsi="仿宋" w:eastAsia="仿宋" w:cs="仿宋"/>
          <w:b/>
          <w:sz w:val="44"/>
          <w:szCs w:val="44"/>
        </w:rPr>
      </w:pPr>
      <w:r>
        <w:rPr>
          <w:rFonts w:hint="eastAsia" w:ascii="仿宋" w:hAnsi="仿宋" w:eastAsia="仿宋" w:cs="仿宋"/>
          <w:b/>
          <w:sz w:val="44"/>
          <w:szCs w:val="44"/>
        </w:rPr>
        <w:t>部门整体支出绩效评价报告</w:t>
      </w:r>
    </w:p>
    <w:p w14:paraId="3C74926E">
      <w:pPr>
        <w:spacing w:line="610" w:lineRule="exact"/>
        <w:ind w:firstLine="640"/>
        <w:rPr>
          <w:rFonts w:ascii="仿宋" w:hAnsi="仿宋" w:eastAsia="仿宋"/>
          <w:b/>
          <w:sz w:val="32"/>
          <w:szCs w:val="32"/>
        </w:rPr>
      </w:pPr>
      <w:r>
        <w:rPr>
          <w:rFonts w:hint="eastAsia" w:ascii="仿宋" w:hAnsi="仿宋" w:eastAsia="仿宋"/>
          <w:b/>
          <w:sz w:val="32"/>
          <w:szCs w:val="32"/>
        </w:rPr>
        <w:t>一、部门职责：</w:t>
      </w:r>
    </w:p>
    <w:p w14:paraId="0879E618">
      <w:pPr>
        <w:spacing w:line="610" w:lineRule="exact"/>
        <w:ind w:firstLine="640"/>
        <w:rPr>
          <w:rFonts w:ascii="仿宋" w:hAnsi="仿宋" w:eastAsia="仿宋" w:cs="黑体"/>
          <w:sz w:val="32"/>
          <w:szCs w:val="32"/>
        </w:rPr>
      </w:pPr>
      <w:r>
        <w:rPr>
          <w:rFonts w:hint="eastAsia" w:ascii="仿宋" w:hAnsi="仿宋" w:eastAsia="仿宋" w:cs="黑体"/>
          <w:sz w:val="32"/>
          <w:szCs w:val="32"/>
        </w:rPr>
        <w:t>（一）贯彻实施国家和省、市有关交通运输法律法规、政府规章、政策和标准。根据我市实际，拟定全市公路、水路、城市客运等交通行业管理办法，经市政府批准后组织实施。</w:t>
      </w:r>
    </w:p>
    <w:p w14:paraId="6E0CAFA0">
      <w:pPr>
        <w:spacing w:line="610" w:lineRule="exact"/>
        <w:ind w:firstLine="640"/>
        <w:rPr>
          <w:rFonts w:ascii="仿宋" w:hAnsi="仿宋" w:eastAsia="仿宋" w:cs="黑体"/>
          <w:sz w:val="32"/>
          <w:szCs w:val="32"/>
        </w:rPr>
      </w:pPr>
      <w:r>
        <w:rPr>
          <w:rFonts w:hint="eastAsia" w:ascii="仿宋" w:hAnsi="仿宋" w:eastAsia="仿宋" w:cs="黑体"/>
          <w:sz w:val="32"/>
          <w:szCs w:val="32"/>
        </w:rPr>
        <w:t>（二）负责监督实施有关公路、水路、城市客运行业的国家及省规定的政策和标准；负责全市公路、水路、城市客运行业发展规划、中长期计划和年度计划并组织实施；参与拟定物流业发展规划；指导公路、水路、城市客运行业体制改革。</w:t>
      </w:r>
    </w:p>
    <w:p w14:paraId="7BF4FECD">
      <w:pPr>
        <w:spacing w:line="610" w:lineRule="exact"/>
        <w:ind w:firstLine="640"/>
        <w:rPr>
          <w:rFonts w:ascii="仿宋" w:hAnsi="仿宋" w:eastAsia="仿宋" w:cs="黑体"/>
          <w:sz w:val="32"/>
          <w:szCs w:val="32"/>
        </w:rPr>
      </w:pPr>
      <w:r>
        <w:rPr>
          <w:rFonts w:hint="eastAsia" w:ascii="仿宋" w:hAnsi="仿宋" w:eastAsia="仿宋" w:cs="黑体"/>
          <w:sz w:val="32"/>
          <w:szCs w:val="32"/>
        </w:rPr>
        <w:t>（三）承担全市综合运输体系的规划协调，会同有关部门组织编制全市综合运输体系规划，指导交通运输枢纽规划和管理。</w:t>
      </w:r>
    </w:p>
    <w:p w14:paraId="3C8A2E07">
      <w:pPr>
        <w:spacing w:line="610" w:lineRule="exact"/>
        <w:ind w:firstLine="640"/>
        <w:rPr>
          <w:rFonts w:ascii="仿宋" w:hAnsi="仿宋" w:eastAsia="仿宋" w:cs="黑体"/>
          <w:sz w:val="32"/>
          <w:szCs w:val="32"/>
        </w:rPr>
      </w:pPr>
      <w:r>
        <w:rPr>
          <w:rFonts w:hint="eastAsia" w:ascii="仿宋" w:hAnsi="仿宋" w:eastAsia="仿宋" w:cs="黑体"/>
          <w:sz w:val="32"/>
          <w:szCs w:val="32"/>
        </w:rPr>
        <w:t>（四）承担全市公路、水路、城市客运市场监管责任。组织实施公路、水路、城市客运行业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14:paraId="0DBFBB0C">
      <w:pPr>
        <w:spacing w:line="610" w:lineRule="exact"/>
        <w:ind w:firstLine="640"/>
        <w:rPr>
          <w:rFonts w:ascii="仿宋" w:hAnsi="仿宋" w:eastAsia="仿宋" w:cs="黑体"/>
          <w:sz w:val="32"/>
          <w:szCs w:val="32"/>
        </w:rPr>
      </w:pPr>
      <w:r>
        <w:rPr>
          <w:rFonts w:hint="eastAsia" w:ascii="仿宋" w:hAnsi="仿宋" w:eastAsia="仿宋" w:cs="黑体"/>
          <w:sz w:val="32"/>
          <w:szCs w:val="32"/>
        </w:rPr>
        <w:t>（五）承担管辖水域水上交通安全监管责任；负责水上交通管制、船舶及相关水上设施检验、登记和防止污染、船舶与码头设施保安及危险品运输监督管理；依法组织或参与事故调查处理，指导航运、地方海事和船员管理有关事宜。</w:t>
      </w:r>
    </w:p>
    <w:p w14:paraId="13F3B604">
      <w:pPr>
        <w:spacing w:line="610" w:lineRule="exact"/>
        <w:ind w:firstLine="640"/>
        <w:rPr>
          <w:rFonts w:ascii="仿宋" w:hAnsi="仿宋" w:eastAsia="仿宋" w:cs="黑体"/>
          <w:sz w:val="32"/>
          <w:szCs w:val="32"/>
        </w:rPr>
      </w:pPr>
      <w:r>
        <w:rPr>
          <w:rFonts w:hint="eastAsia" w:ascii="仿宋" w:hAnsi="仿宋" w:eastAsia="仿宋" w:cs="黑体"/>
          <w:sz w:val="32"/>
          <w:szCs w:val="32"/>
        </w:rPr>
        <w:t>（六）负责提出全市交通运输行业固定资产投资规模和方向；负责交通国有资产管理和交通专项资金的管理、使用；负责行业内部审计。</w:t>
      </w:r>
    </w:p>
    <w:p w14:paraId="1412F0D1">
      <w:pPr>
        <w:spacing w:line="610" w:lineRule="exact"/>
        <w:ind w:firstLine="640"/>
        <w:rPr>
          <w:rFonts w:ascii="仿宋" w:hAnsi="仿宋" w:eastAsia="仿宋" w:cs="黑体"/>
          <w:sz w:val="32"/>
          <w:szCs w:val="32"/>
        </w:rPr>
      </w:pPr>
      <w:r>
        <w:rPr>
          <w:rFonts w:hint="eastAsia" w:ascii="仿宋" w:hAnsi="仿宋" w:eastAsia="仿宋" w:cs="黑体"/>
          <w:sz w:val="32"/>
          <w:szCs w:val="32"/>
        </w:rPr>
        <w:t>（七）承担全市公路、水路、城市客运建设市场监管责任；组织实施国家、省、市有关公路、水路、城市客运等建设相关政策、制度和技术标准；组织公路及其设施的建设、养护和管理；负责公路、水路等有关重点工程建设、工程质量和安全生产的监管；负责全市交通基本建设项目招投标活动的监督管理。</w:t>
      </w:r>
    </w:p>
    <w:p w14:paraId="28827118">
      <w:pPr>
        <w:spacing w:line="610" w:lineRule="exact"/>
        <w:ind w:firstLine="640"/>
        <w:rPr>
          <w:rFonts w:ascii="仿宋" w:hAnsi="仿宋" w:eastAsia="仿宋" w:cs="黑体"/>
          <w:sz w:val="32"/>
          <w:szCs w:val="32"/>
        </w:rPr>
      </w:pPr>
      <w:r>
        <w:rPr>
          <w:rFonts w:hint="eastAsia" w:ascii="仿宋" w:hAnsi="仿宋" w:eastAsia="仿宋" w:cs="黑体"/>
          <w:sz w:val="32"/>
          <w:szCs w:val="32"/>
        </w:rPr>
        <w:t>（八）负责并指导全市公路、水路、城市客运安全生产和应急管理；按规定组织协调国家、省、市和本市重点物资和紧急客货运输；负责市内国、省重点干线公路网运行监测和协调；承担国防交通战备工作；指导行业交通公安工作。</w:t>
      </w:r>
    </w:p>
    <w:p w14:paraId="0730E5CB">
      <w:pPr>
        <w:spacing w:line="610" w:lineRule="exact"/>
        <w:ind w:firstLine="640"/>
        <w:rPr>
          <w:rFonts w:ascii="仿宋" w:hAnsi="仿宋" w:eastAsia="仿宋" w:cs="黑体"/>
          <w:sz w:val="32"/>
          <w:szCs w:val="32"/>
        </w:rPr>
      </w:pPr>
      <w:r>
        <w:rPr>
          <w:rFonts w:hint="eastAsia" w:ascii="仿宋" w:hAnsi="仿宋" w:eastAsia="仿宋" w:cs="黑体"/>
          <w:sz w:val="32"/>
          <w:szCs w:val="32"/>
        </w:rPr>
        <w:t>（九）指导全市交通运输信息化建设，监测分析运行情况，开展相关统计，发布有关信息；组织指导公路、水路、城市客运行业环境保护和节能减排。</w:t>
      </w:r>
    </w:p>
    <w:p w14:paraId="25C57D76">
      <w:pPr>
        <w:spacing w:line="610" w:lineRule="exact"/>
        <w:ind w:firstLine="640"/>
        <w:rPr>
          <w:rFonts w:ascii="仿宋" w:hAnsi="仿宋" w:eastAsia="仿宋" w:cs="黑体"/>
          <w:sz w:val="32"/>
          <w:szCs w:val="32"/>
        </w:rPr>
      </w:pPr>
      <w:r>
        <w:rPr>
          <w:rFonts w:hint="eastAsia" w:ascii="仿宋" w:hAnsi="仿宋" w:eastAsia="仿宋" w:cs="黑体"/>
          <w:sz w:val="32"/>
          <w:szCs w:val="32"/>
        </w:rPr>
        <w:t>（十）负责全市交通运输行业科技和教育工作，组织科技开发，推动行业技术进步；组织指导交通运输行业精神文明建设。</w:t>
      </w:r>
    </w:p>
    <w:p w14:paraId="5828803F">
      <w:pPr>
        <w:spacing w:line="610" w:lineRule="exact"/>
        <w:ind w:firstLine="640"/>
        <w:rPr>
          <w:rFonts w:ascii="仿宋" w:hAnsi="仿宋" w:eastAsia="仿宋" w:cs="黑体"/>
          <w:sz w:val="32"/>
          <w:szCs w:val="32"/>
        </w:rPr>
      </w:pPr>
      <w:r>
        <w:rPr>
          <w:rFonts w:hint="eastAsia" w:ascii="仿宋" w:hAnsi="仿宋" w:eastAsia="仿宋" w:cs="黑体"/>
          <w:sz w:val="32"/>
          <w:szCs w:val="32"/>
        </w:rPr>
        <w:t>（十一）负责全市交通运输行业涉外事宜，指导利用外资；管理公路、水路涉及国际组织的有关事宜；开展国际交通运输经济技术合作与交流。</w:t>
      </w:r>
    </w:p>
    <w:p w14:paraId="13351D0B">
      <w:pPr>
        <w:spacing w:line="610" w:lineRule="exact"/>
        <w:ind w:firstLine="640"/>
        <w:rPr>
          <w:rFonts w:ascii="仿宋" w:hAnsi="仿宋" w:eastAsia="仿宋" w:cs="黑体"/>
          <w:sz w:val="32"/>
          <w:szCs w:val="32"/>
        </w:rPr>
      </w:pPr>
      <w:r>
        <w:rPr>
          <w:rFonts w:hint="eastAsia" w:ascii="仿宋" w:hAnsi="仿宋" w:eastAsia="仿宋" w:cs="黑体"/>
          <w:sz w:val="32"/>
          <w:szCs w:val="32"/>
        </w:rPr>
        <w:t>（十二）承办市政府交办的其他事项。</w:t>
      </w:r>
    </w:p>
    <w:p w14:paraId="4BDA604A">
      <w:pPr>
        <w:ind w:firstLine="630" w:firstLineChars="196"/>
        <w:rPr>
          <w:rFonts w:ascii="仿宋" w:hAnsi="仿宋" w:eastAsia="仿宋" w:cs="仿宋"/>
          <w:b/>
          <w:sz w:val="32"/>
        </w:rPr>
      </w:pPr>
      <w:r>
        <w:rPr>
          <w:rFonts w:hint="eastAsia" w:ascii="仿宋" w:hAnsi="仿宋" w:eastAsia="仿宋" w:cs="仿宋"/>
          <w:b/>
          <w:sz w:val="32"/>
        </w:rPr>
        <w:t>二、组织架构、人员</w:t>
      </w:r>
    </w:p>
    <w:p w14:paraId="6EBCA1B5">
      <w:pPr>
        <w:ind w:firstLine="640" w:firstLineChars="200"/>
        <w:rPr>
          <w:rFonts w:ascii="仿宋" w:hAnsi="仿宋" w:eastAsia="仿宋" w:cs="黑体"/>
          <w:sz w:val="32"/>
          <w:szCs w:val="32"/>
        </w:rPr>
      </w:pPr>
      <w:r>
        <w:rPr>
          <w:rFonts w:hint="eastAsia" w:ascii="仿宋" w:hAnsi="仿宋" w:eastAsia="仿宋" w:cs="黑体"/>
          <w:sz w:val="32"/>
          <w:szCs w:val="32"/>
        </w:rPr>
        <w:t>（一）机关科室（</w:t>
      </w:r>
      <w:r>
        <w:rPr>
          <w:rFonts w:ascii="仿宋" w:hAnsi="仿宋" w:eastAsia="仿宋" w:cs="黑体"/>
          <w:sz w:val="32"/>
          <w:szCs w:val="32"/>
        </w:rPr>
        <w:t>5</w:t>
      </w:r>
      <w:r>
        <w:rPr>
          <w:rFonts w:hint="eastAsia" w:ascii="仿宋" w:hAnsi="仿宋" w:eastAsia="仿宋" w:cs="黑体"/>
          <w:sz w:val="32"/>
          <w:szCs w:val="32"/>
        </w:rPr>
        <w:t>个）：</w:t>
      </w:r>
    </w:p>
    <w:p w14:paraId="73B02B43">
      <w:pPr>
        <w:ind w:firstLine="640" w:firstLineChars="200"/>
        <w:rPr>
          <w:rFonts w:ascii="仿宋" w:hAnsi="仿宋" w:eastAsia="仿宋" w:cs="黑体"/>
          <w:sz w:val="32"/>
          <w:szCs w:val="32"/>
        </w:rPr>
      </w:pPr>
      <w:r>
        <w:rPr>
          <w:rFonts w:hint="eastAsia" w:ascii="仿宋" w:hAnsi="仿宋" w:eastAsia="仿宋" w:cs="黑体"/>
          <w:sz w:val="32"/>
          <w:szCs w:val="32"/>
        </w:rPr>
        <w:t>办公室（安全应急股）、人事教育股（财务股）、综合计划股（重点项目股）。</w:t>
      </w:r>
    </w:p>
    <w:p w14:paraId="344AEF60">
      <w:pPr>
        <w:ind w:firstLine="640" w:firstLineChars="200"/>
        <w:rPr>
          <w:rFonts w:ascii="仿宋" w:hAnsi="仿宋" w:eastAsia="仿宋" w:cs="黑体"/>
          <w:sz w:val="32"/>
          <w:szCs w:val="32"/>
        </w:rPr>
      </w:pPr>
      <w:r>
        <w:rPr>
          <w:rFonts w:hint="eastAsia" w:ascii="仿宋" w:hAnsi="仿宋" w:eastAsia="仿宋" w:cs="黑体"/>
          <w:sz w:val="32"/>
          <w:szCs w:val="32"/>
        </w:rPr>
        <w:t>（二）局属事业单位（</w:t>
      </w:r>
      <w:r>
        <w:rPr>
          <w:rFonts w:ascii="仿宋" w:hAnsi="仿宋" w:eastAsia="仿宋" w:cs="黑体"/>
          <w:sz w:val="32"/>
          <w:szCs w:val="32"/>
        </w:rPr>
        <w:t>4</w:t>
      </w:r>
      <w:r>
        <w:rPr>
          <w:rFonts w:hint="eastAsia" w:ascii="仿宋" w:hAnsi="仿宋" w:eastAsia="仿宋" w:cs="黑体"/>
          <w:sz w:val="32"/>
          <w:szCs w:val="32"/>
        </w:rPr>
        <w:t>个）：</w:t>
      </w:r>
    </w:p>
    <w:p w14:paraId="26D3E19B">
      <w:pPr>
        <w:ind w:firstLine="640" w:firstLineChars="200"/>
        <w:rPr>
          <w:rFonts w:ascii="仿宋" w:hAnsi="仿宋" w:eastAsia="仿宋" w:cs="黑体"/>
        </w:rPr>
      </w:pPr>
      <w:r>
        <w:rPr>
          <w:rFonts w:hint="eastAsia" w:ascii="仿宋" w:hAnsi="仿宋" w:eastAsia="仿宋" w:cs="黑体"/>
          <w:sz w:val="32"/>
          <w:szCs w:val="32"/>
        </w:rPr>
        <w:t>沙河市地方道路管理站、沙河市运输管理站（沙河市地方海事处）、沙河市交通运输执法大队（沙河市寄递物流监督管理站）、沙河市农村公路养护管理中心。</w:t>
      </w:r>
    </w:p>
    <w:p w14:paraId="2897F682">
      <w:pPr>
        <w:ind w:firstLine="643" w:firstLineChars="200"/>
        <w:rPr>
          <w:rFonts w:ascii="仿宋" w:hAnsi="仿宋" w:eastAsia="仿宋" w:cs="仿宋"/>
          <w:sz w:val="32"/>
        </w:rPr>
      </w:pPr>
      <w:r>
        <w:rPr>
          <w:rFonts w:hint="eastAsia" w:ascii="仿宋" w:hAnsi="仿宋" w:eastAsia="仿宋" w:cs="仿宋"/>
          <w:b/>
          <w:sz w:val="32"/>
        </w:rPr>
        <w:t>三、资产情况</w:t>
      </w:r>
      <w:r>
        <w:rPr>
          <w:rFonts w:hint="eastAsia" w:ascii="仿宋" w:hAnsi="仿宋" w:eastAsia="仿宋" w:cs="仿宋"/>
          <w:sz w:val="32"/>
        </w:rPr>
        <w:t>、</w:t>
      </w:r>
    </w:p>
    <w:p w14:paraId="1B183467">
      <w:pPr>
        <w:spacing w:line="610" w:lineRule="exact"/>
        <w:ind w:firstLine="640"/>
        <w:rPr>
          <w:rFonts w:ascii="仿宋" w:hAnsi="仿宋" w:eastAsia="仿宋" w:cs="宋体"/>
          <w:sz w:val="32"/>
          <w:szCs w:val="32"/>
        </w:rPr>
      </w:pPr>
      <w:r>
        <w:rPr>
          <w:rFonts w:ascii="黑体" w:hAnsi="黑体" w:eastAsia="黑体"/>
          <w:sz w:val="32"/>
          <w:szCs w:val="32"/>
        </w:rPr>
        <w:t xml:space="preserve"> </w:t>
      </w:r>
      <w:r>
        <w:rPr>
          <w:rFonts w:hint="eastAsia" w:ascii="仿宋" w:hAnsi="仿宋" w:eastAsia="仿宋" w:cs="宋体"/>
          <w:sz w:val="32"/>
          <w:szCs w:val="32"/>
        </w:rPr>
        <w:t>沙河市交通运输局上年末固定资产金额为</w:t>
      </w:r>
      <w:r>
        <w:rPr>
          <w:rFonts w:ascii="仿宋" w:hAnsi="仿宋" w:eastAsia="仿宋" w:cs="宋体"/>
          <w:sz w:val="32"/>
          <w:szCs w:val="32"/>
        </w:rPr>
        <w:t>1,558.32</w:t>
      </w:r>
      <w:r>
        <w:rPr>
          <w:rFonts w:hint="eastAsia" w:ascii="仿宋" w:hAnsi="仿宋" w:eastAsia="仿宋" w:cs="宋体"/>
          <w:sz w:val="32"/>
          <w:szCs w:val="32"/>
        </w:rPr>
        <w:t>万元，本年度无拟购置固定资产。</w:t>
      </w:r>
    </w:p>
    <w:tbl>
      <w:tblPr>
        <w:tblStyle w:val="4"/>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945"/>
        <w:gridCol w:w="420"/>
        <w:gridCol w:w="4200"/>
      </w:tblGrid>
      <w:tr w14:paraId="579E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453" w:type="dxa"/>
            <w:gridSpan w:val="4"/>
          </w:tcPr>
          <w:p w14:paraId="7A2FEBDD">
            <w:pPr>
              <w:autoSpaceDE w:val="0"/>
              <w:autoSpaceDN w:val="0"/>
              <w:jc w:val="center"/>
              <w:rPr>
                <w:rFonts w:ascii="仿宋" w:hAnsi="仿宋" w:eastAsia="仿宋" w:cs="宋体"/>
                <w:sz w:val="32"/>
                <w:szCs w:val="32"/>
              </w:rPr>
            </w:pPr>
            <w:r>
              <w:rPr>
                <w:rFonts w:hint="eastAsia" w:ascii="仿宋" w:hAnsi="仿宋" w:eastAsia="仿宋" w:cs="宋体"/>
                <w:sz w:val="32"/>
                <w:szCs w:val="32"/>
              </w:rPr>
              <w:t>沙河市交通运输局固定资产占用情况表</w:t>
            </w:r>
          </w:p>
        </w:tc>
      </w:tr>
      <w:tr w14:paraId="35B1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833" w:type="dxa"/>
            <w:gridSpan w:val="2"/>
          </w:tcPr>
          <w:p w14:paraId="5A929DBB">
            <w:pPr>
              <w:autoSpaceDE w:val="0"/>
              <w:autoSpaceDN w:val="0"/>
              <w:rPr>
                <w:rFonts w:ascii="仿宋" w:hAnsi="仿宋" w:eastAsia="仿宋" w:cs="宋体"/>
                <w:sz w:val="32"/>
                <w:szCs w:val="32"/>
              </w:rPr>
            </w:pPr>
            <w:r>
              <w:rPr>
                <w:rFonts w:hint="eastAsia" w:ascii="仿宋" w:hAnsi="仿宋" w:eastAsia="仿宋" w:cs="宋体"/>
                <w:sz w:val="32"/>
                <w:szCs w:val="32"/>
              </w:rPr>
              <w:t>编制部门：沙河市交通运输局</w:t>
            </w:r>
          </w:p>
        </w:tc>
        <w:tc>
          <w:tcPr>
            <w:tcW w:w="4620" w:type="dxa"/>
            <w:gridSpan w:val="2"/>
          </w:tcPr>
          <w:p w14:paraId="5BED4DA7">
            <w:pPr>
              <w:autoSpaceDE w:val="0"/>
              <w:autoSpaceDN w:val="0"/>
              <w:rPr>
                <w:rFonts w:ascii="仿宋" w:hAnsi="仿宋" w:eastAsia="仿宋" w:cs="宋体"/>
                <w:sz w:val="32"/>
                <w:szCs w:val="32"/>
              </w:rPr>
            </w:pPr>
            <w:r>
              <w:rPr>
                <w:rFonts w:hint="eastAsia" w:ascii="仿宋" w:hAnsi="仿宋" w:eastAsia="仿宋" w:cs="宋体"/>
                <w:sz w:val="32"/>
                <w:szCs w:val="32"/>
              </w:rPr>
              <w:t>截止时间：</w:t>
            </w:r>
            <w:r>
              <w:rPr>
                <w:rFonts w:ascii="仿宋" w:hAnsi="仿宋" w:eastAsia="仿宋" w:cs="宋体"/>
                <w:sz w:val="32"/>
                <w:szCs w:val="32"/>
              </w:rPr>
              <w:t>2019</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w:t>
            </w:r>
            <w:r>
              <w:rPr>
                <w:rFonts w:ascii="仿宋" w:hAnsi="仿宋" w:eastAsia="仿宋" w:cs="宋体"/>
                <w:sz w:val="32"/>
                <w:szCs w:val="32"/>
              </w:rPr>
              <w:t xml:space="preserve"> </w:t>
            </w:r>
          </w:p>
        </w:tc>
      </w:tr>
      <w:tr w14:paraId="23A5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14:paraId="4AA695E8">
            <w:pPr>
              <w:autoSpaceDE w:val="0"/>
              <w:autoSpaceDN w:val="0"/>
              <w:rPr>
                <w:rFonts w:ascii="仿宋" w:hAnsi="仿宋" w:eastAsia="仿宋" w:cs="宋体"/>
                <w:sz w:val="32"/>
                <w:szCs w:val="32"/>
              </w:rPr>
            </w:pPr>
            <w:r>
              <w:rPr>
                <w:rFonts w:hint="eastAsia" w:ascii="仿宋" w:hAnsi="仿宋" w:eastAsia="仿宋" w:cs="宋体"/>
                <w:sz w:val="32"/>
                <w:szCs w:val="32"/>
              </w:rPr>
              <w:t>项</w:t>
            </w:r>
            <w:r>
              <w:rPr>
                <w:rFonts w:ascii="仿宋" w:hAnsi="仿宋" w:eastAsia="仿宋" w:cs="宋体"/>
                <w:sz w:val="32"/>
                <w:szCs w:val="32"/>
              </w:rPr>
              <w:t xml:space="preserve"> </w:t>
            </w:r>
            <w:r>
              <w:rPr>
                <w:rFonts w:hint="eastAsia" w:ascii="仿宋" w:hAnsi="仿宋" w:eastAsia="仿宋" w:cs="宋体"/>
                <w:sz w:val="32"/>
                <w:szCs w:val="32"/>
              </w:rPr>
              <w:t>目</w:t>
            </w:r>
            <w:r>
              <w:rPr>
                <w:rFonts w:ascii="仿宋" w:hAnsi="仿宋" w:eastAsia="仿宋" w:cs="宋体"/>
                <w:sz w:val="32"/>
                <w:szCs w:val="32"/>
              </w:rPr>
              <w:t xml:space="preserve"> </w:t>
            </w:r>
          </w:p>
        </w:tc>
        <w:tc>
          <w:tcPr>
            <w:tcW w:w="1365" w:type="dxa"/>
            <w:gridSpan w:val="2"/>
          </w:tcPr>
          <w:p w14:paraId="2126E183">
            <w:pPr>
              <w:autoSpaceDE w:val="0"/>
              <w:autoSpaceDN w:val="0"/>
              <w:rPr>
                <w:rFonts w:ascii="仿宋" w:hAnsi="仿宋" w:eastAsia="仿宋" w:cs="宋体"/>
                <w:sz w:val="32"/>
                <w:szCs w:val="32"/>
              </w:rPr>
            </w:pPr>
            <w:r>
              <w:rPr>
                <w:rFonts w:hint="eastAsia" w:ascii="仿宋" w:hAnsi="仿宋" w:eastAsia="仿宋" w:cs="宋体"/>
                <w:sz w:val="32"/>
                <w:szCs w:val="32"/>
              </w:rPr>
              <w:t>数量</w:t>
            </w:r>
            <w:r>
              <w:rPr>
                <w:rFonts w:ascii="仿宋" w:hAnsi="仿宋" w:eastAsia="仿宋" w:cs="宋体"/>
                <w:sz w:val="32"/>
                <w:szCs w:val="32"/>
              </w:rPr>
              <w:t xml:space="preserve"> </w:t>
            </w:r>
          </w:p>
        </w:tc>
        <w:tc>
          <w:tcPr>
            <w:tcW w:w="4200" w:type="dxa"/>
          </w:tcPr>
          <w:p w14:paraId="61458FA4">
            <w:pPr>
              <w:autoSpaceDE w:val="0"/>
              <w:autoSpaceDN w:val="0"/>
              <w:rPr>
                <w:rFonts w:ascii="仿宋" w:hAnsi="仿宋" w:eastAsia="仿宋" w:cs="宋体"/>
                <w:sz w:val="32"/>
                <w:szCs w:val="32"/>
              </w:rPr>
            </w:pPr>
            <w:r>
              <w:rPr>
                <w:rFonts w:hint="eastAsia" w:ascii="仿宋" w:hAnsi="仿宋" w:eastAsia="仿宋" w:cs="宋体"/>
                <w:sz w:val="32"/>
                <w:szCs w:val="32"/>
              </w:rPr>
              <w:t>价值（金额单位：万元）</w:t>
            </w:r>
            <w:r>
              <w:rPr>
                <w:rFonts w:ascii="仿宋" w:hAnsi="仿宋" w:eastAsia="仿宋" w:cs="宋体"/>
                <w:sz w:val="32"/>
                <w:szCs w:val="32"/>
              </w:rPr>
              <w:t xml:space="preserve"> </w:t>
            </w:r>
          </w:p>
        </w:tc>
      </w:tr>
      <w:tr w14:paraId="1FAE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14:paraId="31D364CE">
            <w:pPr>
              <w:autoSpaceDE w:val="0"/>
              <w:autoSpaceDN w:val="0"/>
              <w:rPr>
                <w:rFonts w:ascii="仿宋" w:hAnsi="仿宋" w:eastAsia="仿宋" w:cs="宋体"/>
                <w:sz w:val="32"/>
                <w:szCs w:val="32"/>
              </w:rPr>
            </w:pPr>
            <w:r>
              <w:rPr>
                <w:rFonts w:hint="eastAsia" w:ascii="仿宋" w:hAnsi="仿宋" w:eastAsia="仿宋" w:cs="宋体"/>
                <w:sz w:val="32"/>
                <w:szCs w:val="32"/>
              </w:rPr>
              <w:t>资产总额</w:t>
            </w:r>
            <w:r>
              <w:rPr>
                <w:rFonts w:ascii="仿宋" w:hAnsi="仿宋" w:eastAsia="仿宋" w:cs="宋体"/>
                <w:sz w:val="32"/>
                <w:szCs w:val="32"/>
              </w:rPr>
              <w:t xml:space="preserve"> </w:t>
            </w:r>
          </w:p>
        </w:tc>
        <w:tc>
          <w:tcPr>
            <w:tcW w:w="1365" w:type="dxa"/>
            <w:gridSpan w:val="2"/>
          </w:tcPr>
          <w:p w14:paraId="082A1DE7">
            <w:pPr>
              <w:autoSpaceDE w:val="0"/>
              <w:autoSpaceDN w:val="0"/>
              <w:rPr>
                <w:rFonts w:ascii="仿宋" w:hAnsi="仿宋" w:eastAsia="仿宋" w:cs="宋体"/>
                <w:sz w:val="32"/>
                <w:szCs w:val="32"/>
              </w:rPr>
            </w:pPr>
            <w:r>
              <w:rPr>
                <w:rFonts w:ascii="仿宋" w:hAnsi="仿宋" w:eastAsia="仿宋" w:cs="宋体"/>
                <w:sz w:val="32"/>
                <w:szCs w:val="32"/>
              </w:rPr>
              <w:t xml:space="preserve">—— </w:t>
            </w:r>
          </w:p>
        </w:tc>
        <w:tc>
          <w:tcPr>
            <w:tcW w:w="4200" w:type="dxa"/>
          </w:tcPr>
          <w:p w14:paraId="19860083">
            <w:pPr>
              <w:autoSpaceDE w:val="0"/>
              <w:autoSpaceDN w:val="0"/>
              <w:rPr>
                <w:rFonts w:ascii="仿宋" w:hAnsi="仿宋" w:eastAsia="仿宋" w:cs="宋体"/>
                <w:sz w:val="32"/>
                <w:szCs w:val="32"/>
              </w:rPr>
            </w:pPr>
            <w:r>
              <w:rPr>
                <w:rFonts w:ascii="仿宋" w:hAnsi="仿宋" w:eastAsia="仿宋" w:cs="宋体"/>
                <w:sz w:val="32"/>
                <w:szCs w:val="32"/>
              </w:rPr>
              <w:t>1558.32</w:t>
            </w:r>
          </w:p>
        </w:tc>
      </w:tr>
      <w:tr w14:paraId="45AA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14:paraId="526F964D">
            <w:pPr>
              <w:autoSpaceDE w:val="0"/>
              <w:autoSpaceDN w:val="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、房屋（平方米）</w:t>
            </w:r>
            <w:r>
              <w:rPr>
                <w:rFonts w:ascii="仿宋" w:hAnsi="仿宋" w:eastAsia="仿宋" w:cs="宋体"/>
                <w:sz w:val="32"/>
                <w:szCs w:val="32"/>
              </w:rPr>
              <w:t xml:space="preserve"> </w:t>
            </w:r>
          </w:p>
        </w:tc>
        <w:tc>
          <w:tcPr>
            <w:tcW w:w="1365" w:type="dxa"/>
            <w:gridSpan w:val="2"/>
          </w:tcPr>
          <w:p w14:paraId="5586E033">
            <w:pPr>
              <w:autoSpaceDE w:val="0"/>
              <w:autoSpaceDN w:val="0"/>
              <w:rPr>
                <w:rFonts w:ascii="仿宋" w:hAnsi="仿宋" w:eastAsia="仿宋" w:cs="宋体"/>
                <w:sz w:val="32"/>
                <w:szCs w:val="32"/>
              </w:rPr>
            </w:pPr>
            <w:r>
              <w:rPr>
                <w:rFonts w:ascii="仿宋" w:hAnsi="仿宋" w:eastAsia="仿宋" w:cs="宋体"/>
                <w:sz w:val="32"/>
                <w:szCs w:val="32"/>
              </w:rPr>
              <w:t>8520.75</w:t>
            </w:r>
          </w:p>
        </w:tc>
        <w:tc>
          <w:tcPr>
            <w:tcW w:w="4200" w:type="dxa"/>
          </w:tcPr>
          <w:p w14:paraId="4D3CD984">
            <w:pPr>
              <w:autoSpaceDE w:val="0"/>
              <w:autoSpaceDN w:val="0"/>
              <w:rPr>
                <w:rFonts w:ascii="仿宋" w:hAnsi="仿宋" w:eastAsia="仿宋" w:cs="宋体"/>
                <w:sz w:val="32"/>
                <w:szCs w:val="32"/>
              </w:rPr>
            </w:pPr>
            <w:r>
              <w:rPr>
                <w:rFonts w:ascii="仿宋" w:hAnsi="仿宋" w:eastAsia="仿宋" w:cs="宋体"/>
                <w:sz w:val="32"/>
                <w:szCs w:val="32"/>
              </w:rPr>
              <w:t>1464.47</w:t>
            </w:r>
          </w:p>
        </w:tc>
      </w:tr>
      <w:tr w14:paraId="4DC7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14:paraId="04ADE143">
            <w:pPr>
              <w:autoSpaceDE w:val="0"/>
              <w:autoSpaceDN w:val="0"/>
              <w:rPr>
                <w:rFonts w:ascii="仿宋" w:hAnsi="仿宋" w:eastAsia="仿宋" w:cs="宋体"/>
                <w:sz w:val="32"/>
                <w:szCs w:val="32"/>
              </w:rPr>
            </w:pPr>
            <w:r>
              <w:rPr>
                <w:rFonts w:hint="eastAsia" w:ascii="仿宋" w:hAnsi="仿宋" w:eastAsia="仿宋" w:cs="宋体"/>
                <w:sz w:val="32"/>
                <w:szCs w:val="32"/>
              </w:rPr>
              <w:t>其中：办公用房（平方米）</w:t>
            </w:r>
            <w:r>
              <w:rPr>
                <w:rFonts w:ascii="仿宋" w:hAnsi="仿宋" w:eastAsia="仿宋" w:cs="宋体"/>
                <w:sz w:val="32"/>
                <w:szCs w:val="32"/>
              </w:rPr>
              <w:t xml:space="preserve"> </w:t>
            </w:r>
          </w:p>
        </w:tc>
        <w:tc>
          <w:tcPr>
            <w:tcW w:w="1365" w:type="dxa"/>
            <w:gridSpan w:val="2"/>
          </w:tcPr>
          <w:p w14:paraId="484421BB">
            <w:pPr>
              <w:autoSpaceDE w:val="0"/>
              <w:autoSpaceDN w:val="0"/>
              <w:rPr>
                <w:rFonts w:ascii="仿宋" w:hAnsi="仿宋" w:eastAsia="仿宋" w:cs="宋体"/>
                <w:sz w:val="32"/>
                <w:szCs w:val="32"/>
              </w:rPr>
            </w:pPr>
            <w:r>
              <w:rPr>
                <w:rFonts w:ascii="仿宋" w:hAnsi="仿宋" w:eastAsia="仿宋" w:cs="宋体"/>
                <w:sz w:val="32"/>
                <w:szCs w:val="32"/>
              </w:rPr>
              <w:t>2482.4</w:t>
            </w:r>
          </w:p>
        </w:tc>
        <w:tc>
          <w:tcPr>
            <w:tcW w:w="4200" w:type="dxa"/>
          </w:tcPr>
          <w:p w14:paraId="09A446FD">
            <w:pPr>
              <w:autoSpaceDE w:val="0"/>
              <w:autoSpaceDN w:val="0"/>
              <w:rPr>
                <w:rFonts w:ascii="仿宋" w:hAnsi="仿宋" w:eastAsia="仿宋" w:cs="宋体"/>
                <w:sz w:val="32"/>
                <w:szCs w:val="32"/>
              </w:rPr>
            </w:pPr>
          </w:p>
        </w:tc>
      </w:tr>
      <w:tr w14:paraId="0BFC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14:paraId="134DE810">
            <w:pPr>
              <w:autoSpaceDE w:val="0"/>
              <w:autoSpaceDN w:val="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r>
              <w:rPr>
                <w:rFonts w:ascii="仿宋" w:hAnsi="仿宋" w:eastAsia="仿宋" w:cs="宋体"/>
                <w:sz w:val="32"/>
                <w:szCs w:val="32"/>
              </w:rPr>
              <w:t xml:space="preserve"> </w:t>
            </w:r>
          </w:p>
        </w:tc>
        <w:tc>
          <w:tcPr>
            <w:tcW w:w="1365" w:type="dxa"/>
            <w:gridSpan w:val="2"/>
          </w:tcPr>
          <w:p w14:paraId="7B8E1395">
            <w:pPr>
              <w:autoSpaceDE w:val="0"/>
              <w:autoSpaceDN w:val="0"/>
              <w:rPr>
                <w:rFonts w:ascii="仿宋" w:hAnsi="仿宋" w:eastAsia="仿宋" w:cs="宋体"/>
                <w:sz w:val="32"/>
                <w:szCs w:val="32"/>
              </w:rPr>
            </w:pPr>
            <w:r>
              <w:rPr>
                <w:rFonts w:ascii="仿宋" w:hAnsi="仿宋" w:eastAsia="仿宋" w:cs="宋体"/>
                <w:sz w:val="32"/>
                <w:szCs w:val="32"/>
              </w:rPr>
              <w:t>15</w:t>
            </w:r>
          </w:p>
        </w:tc>
        <w:tc>
          <w:tcPr>
            <w:tcW w:w="4200" w:type="dxa"/>
          </w:tcPr>
          <w:p w14:paraId="32CF08B6">
            <w:pPr>
              <w:autoSpaceDE w:val="0"/>
              <w:autoSpaceDN w:val="0"/>
              <w:rPr>
                <w:rFonts w:ascii="仿宋" w:hAnsi="仿宋" w:eastAsia="仿宋" w:cs="宋体"/>
                <w:sz w:val="32"/>
                <w:szCs w:val="32"/>
              </w:rPr>
            </w:pPr>
            <w:r>
              <w:rPr>
                <w:rFonts w:ascii="仿宋" w:hAnsi="仿宋" w:eastAsia="仿宋" w:cs="宋体"/>
                <w:sz w:val="32"/>
                <w:szCs w:val="32"/>
              </w:rPr>
              <w:t>64.90</w:t>
            </w:r>
          </w:p>
        </w:tc>
      </w:tr>
      <w:tr w14:paraId="4AA3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14:paraId="4EED7BB3">
            <w:pPr>
              <w:autoSpaceDE w:val="0"/>
              <w:autoSpaceDN w:val="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、其他设备</w:t>
            </w:r>
            <w:r>
              <w:rPr>
                <w:rFonts w:ascii="仿宋" w:hAnsi="仿宋" w:eastAsia="仿宋" w:cs="宋体"/>
                <w:sz w:val="32"/>
                <w:szCs w:val="32"/>
              </w:rPr>
              <w:t xml:space="preserve"> </w:t>
            </w:r>
          </w:p>
        </w:tc>
        <w:tc>
          <w:tcPr>
            <w:tcW w:w="1365" w:type="dxa"/>
            <w:gridSpan w:val="2"/>
          </w:tcPr>
          <w:p w14:paraId="75A7FEF4">
            <w:pPr>
              <w:autoSpaceDE w:val="0"/>
              <w:autoSpaceDN w:val="0"/>
              <w:rPr>
                <w:rFonts w:ascii="仿宋" w:hAnsi="仿宋" w:eastAsia="仿宋" w:cs="宋体"/>
                <w:sz w:val="32"/>
                <w:szCs w:val="32"/>
              </w:rPr>
            </w:pPr>
          </w:p>
        </w:tc>
        <w:tc>
          <w:tcPr>
            <w:tcW w:w="4200" w:type="dxa"/>
          </w:tcPr>
          <w:p w14:paraId="5D07634F">
            <w:pPr>
              <w:autoSpaceDE w:val="0"/>
              <w:autoSpaceDN w:val="0"/>
              <w:rPr>
                <w:rFonts w:ascii="仿宋" w:hAnsi="仿宋" w:eastAsia="仿宋" w:cs="宋体"/>
                <w:sz w:val="32"/>
                <w:szCs w:val="32"/>
              </w:rPr>
            </w:pPr>
          </w:p>
        </w:tc>
      </w:tr>
      <w:tr w14:paraId="503F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14:paraId="16491577">
            <w:pPr>
              <w:autoSpaceDE w:val="0"/>
              <w:autoSpaceDN w:val="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r>
              <w:rPr>
                <w:rFonts w:ascii="仿宋" w:hAnsi="仿宋" w:eastAsia="仿宋" w:cs="宋体"/>
                <w:sz w:val="32"/>
                <w:szCs w:val="32"/>
              </w:rPr>
              <w:t xml:space="preserve"> </w:t>
            </w:r>
          </w:p>
        </w:tc>
        <w:tc>
          <w:tcPr>
            <w:tcW w:w="1365" w:type="dxa"/>
            <w:gridSpan w:val="2"/>
          </w:tcPr>
          <w:p w14:paraId="7D9DC1BF">
            <w:pPr>
              <w:autoSpaceDE w:val="0"/>
              <w:autoSpaceDN w:val="0"/>
              <w:rPr>
                <w:rFonts w:ascii="仿宋" w:hAnsi="仿宋" w:eastAsia="仿宋" w:cs="宋体"/>
                <w:sz w:val="32"/>
                <w:szCs w:val="32"/>
              </w:rPr>
            </w:pPr>
            <w:r>
              <w:rPr>
                <w:rFonts w:ascii="仿宋" w:hAnsi="仿宋" w:eastAsia="仿宋" w:cs="宋体"/>
                <w:sz w:val="32"/>
                <w:szCs w:val="32"/>
              </w:rPr>
              <w:t>528</w:t>
            </w:r>
          </w:p>
        </w:tc>
        <w:tc>
          <w:tcPr>
            <w:tcW w:w="4200" w:type="dxa"/>
          </w:tcPr>
          <w:p w14:paraId="0B4B9AEC">
            <w:pPr>
              <w:autoSpaceDE w:val="0"/>
              <w:autoSpaceDN w:val="0"/>
              <w:rPr>
                <w:rFonts w:ascii="仿宋" w:hAnsi="仿宋" w:eastAsia="仿宋" w:cs="宋体"/>
                <w:sz w:val="32"/>
                <w:szCs w:val="32"/>
              </w:rPr>
            </w:pPr>
            <w:r>
              <w:rPr>
                <w:rFonts w:ascii="仿宋" w:hAnsi="仿宋" w:eastAsia="仿宋" w:cs="宋体"/>
                <w:sz w:val="32"/>
                <w:szCs w:val="32"/>
              </w:rPr>
              <w:t>28.95</w:t>
            </w:r>
          </w:p>
        </w:tc>
      </w:tr>
    </w:tbl>
    <w:p w14:paraId="4C7BDF2C">
      <w:pPr>
        <w:rPr>
          <w:rFonts w:ascii="仿宋" w:hAnsi="仿宋" w:eastAsia="仿宋" w:cs="仿宋"/>
          <w:sz w:val="32"/>
        </w:rPr>
      </w:pPr>
    </w:p>
    <w:p w14:paraId="63FD60E1">
      <w:pPr>
        <w:ind w:firstLine="482" w:firstLineChars="150"/>
        <w:rPr>
          <w:rFonts w:ascii="仿宋" w:hAnsi="仿宋" w:eastAsia="仿宋" w:cs="仿宋"/>
          <w:b/>
          <w:sz w:val="32"/>
        </w:rPr>
      </w:pPr>
      <w:r>
        <w:rPr>
          <w:rFonts w:hint="eastAsia" w:ascii="仿宋" w:hAnsi="仿宋" w:eastAsia="仿宋" w:cs="仿宋"/>
          <w:b/>
          <w:sz w:val="32"/>
        </w:rPr>
        <w:t>四、部门履职总体目标与年度整体绩效目标</w:t>
      </w:r>
    </w:p>
    <w:p w14:paraId="0F1BAE5C">
      <w:pPr>
        <w:ind w:firstLine="640" w:firstLineChars="200"/>
        <w:rPr>
          <w:rFonts w:eastAsia="仿宋"/>
          <w:sz w:val="32"/>
          <w:szCs w:val="32"/>
        </w:rPr>
      </w:pPr>
      <w:r>
        <w:rPr>
          <w:rFonts w:hint="eastAsia" w:eastAsia="仿宋"/>
          <w:sz w:val="32"/>
          <w:szCs w:val="32"/>
        </w:rPr>
        <w:t>（一）总体绩效目标</w:t>
      </w:r>
      <w:bookmarkStart w:id="0" w:name="_Toc21232"/>
      <w:bookmarkStart w:id="1" w:name="_Toc22103"/>
      <w:r>
        <w:rPr>
          <w:rFonts w:eastAsia="仿宋"/>
          <w:sz w:val="32"/>
          <w:szCs w:val="32"/>
        </w:rPr>
        <w:fldChar w:fldCharType="begin"/>
      </w:r>
      <w:r>
        <w:rPr>
          <w:rFonts w:eastAsia="仿宋"/>
          <w:sz w:val="32"/>
          <w:szCs w:val="32"/>
        </w:rPr>
        <w:instrText xml:space="preserve">tc "</w:instrText>
      </w:r>
      <w:r>
        <w:rPr>
          <w:rFonts w:hint="eastAsia" w:eastAsia="仿宋"/>
          <w:sz w:val="32"/>
          <w:szCs w:val="32"/>
        </w:rPr>
        <w:instrText xml:space="preserve">总体绩效目标</w:instrText>
      </w:r>
      <w:r>
        <w:rPr>
          <w:rFonts w:eastAsia="仿宋"/>
          <w:sz w:val="32"/>
          <w:szCs w:val="32"/>
        </w:rPr>
        <w:instrText xml:space="preserve">" \f A \l 000001</w:instrText>
      </w:r>
      <w:r>
        <w:rPr>
          <w:rFonts w:eastAsia="仿宋"/>
          <w:sz w:val="32"/>
          <w:szCs w:val="32"/>
        </w:rPr>
        <w:fldChar w:fldCharType="end"/>
      </w:r>
      <w:bookmarkEnd w:id="0"/>
      <w:bookmarkEnd w:id="1"/>
    </w:p>
    <w:p w14:paraId="3AF172F5">
      <w:pPr>
        <w:spacing w:line="500" w:lineRule="exact"/>
        <w:ind w:firstLine="640" w:firstLineChars="200"/>
        <w:jc w:val="left"/>
        <w:rPr>
          <w:rFonts w:eastAsia="仿宋"/>
          <w:sz w:val="32"/>
          <w:szCs w:val="32"/>
        </w:rPr>
      </w:pPr>
      <w:r>
        <w:rPr>
          <w:rFonts w:hint="eastAsia" w:eastAsia="仿宋"/>
          <w:sz w:val="32"/>
          <w:szCs w:val="32"/>
        </w:rPr>
        <w:t>总体目标：强势推进交通项目建设，在提升交通基础设施保障能力上实现新突破；加强客运市场规范运营，在提升交通运输服务水平上实现新突破；发挥精品区引领作用，在提升公路整体养管水平上实现新突破；以争创全国先进为目标，在提升依法行政能力上实现新突破；加大公路污染整治力度，在提升道路运输环境水平上实现新突破；加大安全管理力度，确保全年安全生产形势稳定；认真贯彻落实</w:t>
      </w:r>
      <w:r>
        <w:rPr>
          <w:rFonts w:hint="eastAsia" w:eastAsia="仿宋"/>
          <w:sz w:val="32"/>
          <w:szCs w:val="32"/>
          <w:lang w:eastAsia="zh-CN"/>
        </w:rPr>
        <w:t>党的</w:t>
      </w:r>
      <w:r>
        <w:rPr>
          <w:rFonts w:hint="eastAsia" w:eastAsia="仿宋"/>
          <w:sz w:val="32"/>
          <w:szCs w:val="32"/>
        </w:rPr>
        <w:t>十九大精神，继续推进精神文明建设和廉政建设</w:t>
      </w:r>
    </w:p>
    <w:p w14:paraId="2DFB82C5">
      <w:pPr>
        <w:spacing w:line="500" w:lineRule="exact"/>
        <w:ind w:firstLine="640" w:firstLineChars="200"/>
        <w:jc w:val="left"/>
        <w:outlineLvl w:val="1"/>
        <w:rPr>
          <w:rFonts w:eastAsia="仿宋"/>
          <w:sz w:val="32"/>
          <w:szCs w:val="32"/>
        </w:rPr>
      </w:pPr>
      <w:r>
        <w:rPr>
          <w:rFonts w:hint="eastAsia" w:eastAsia="仿宋"/>
          <w:sz w:val="32"/>
          <w:szCs w:val="32"/>
        </w:rPr>
        <w:t>（二）分项绩效目标</w:t>
      </w:r>
      <w:bookmarkStart w:id="2" w:name="_Toc23358"/>
      <w:bookmarkStart w:id="3" w:name="_Toc26320"/>
      <w:r>
        <w:rPr>
          <w:rFonts w:eastAsia="仿宋"/>
          <w:sz w:val="32"/>
          <w:szCs w:val="32"/>
        </w:rPr>
        <w:fldChar w:fldCharType="begin"/>
      </w:r>
      <w:r>
        <w:rPr>
          <w:rFonts w:eastAsia="仿宋"/>
          <w:sz w:val="32"/>
          <w:szCs w:val="32"/>
        </w:rPr>
        <w:instrText xml:space="preserve">tc "</w:instrText>
      </w:r>
      <w:r>
        <w:rPr>
          <w:rFonts w:hint="eastAsia" w:eastAsia="仿宋"/>
          <w:sz w:val="32"/>
          <w:szCs w:val="32"/>
        </w:rPr>
        <w:instrText xml:space="preserve">分项绩效目标</w:instrText>
      </w:r>
      <w:r>
        <w:rPr>
          <w:rFonts w:eastAsia="仿宋"/>
          <w:sz w:val="32"/>
          <w:szCs w:val="32"/>
        </w:rPr>
        <w:instrText xml:space="preserve">" \f A \l 000001</w:instrText>
      </w:r>
      <w:r>
        <w:rPr>
          <w:rFonts w:eastAsia="仿宋"/>
          <w:sz w:val="32"/>
          <w:szCs w:val="32"/>
        </w:rPr>
        <w:fldChar w:fldCharType="end"/>
      </w:r>
      <w:bookmarkEnd w:id="2"/>
      <w:bookmarkEnd w:id="3"/>
    </w:p>
    <w:p w14:paraId="71EBF192">
      <w:pPr>
        <w:spacing w:line="500" w:lineRule="exact"/>
        <w:ind w:firstLine="640" w:firstLineChars="200"/>
        <w:jc w:val="left"/>
        <w:rPr>
          <w:rFonts w:eastAsia="仿宋"/>
          <w:sz w:val="32"/>
          <w:szCs w:val="32"/>
        </w:rPr>
      </w:pPr>
      <w:r>
        <w:rPr>
          <w:rFonts w:eastAsia="仿宋"/>
          <w:sz w:val="32"/>
          <w:szCs w:val="32"/>
        </w:rPr>
        <w:t xml:space="preserve"> </w:t>
      </w:r>
      <w:r>
        <w:rPr>
          <w:rFonts w:hint="eastAsia" w:eastAsia="仿宋"/>
          <w:sz w:val="32"/>
          <w:szCs w:val="32"/>
        </w:rPr>
        <w:t>一是围绕全市中心工作谋划交通项目建设。</w:t>
      </w:r>
    </w:p>
    <w:p w14:paraId="7BCA5680">
      <w:pPr>
        <w:spacing w:line="500" w:lineRule="exact"/>
        <w:ind w:firstLine="640" w:firstLineChars="200"/>
        <w:jc w:val="left"/>
        <w:rPr>
          <w:rFonts w:eastAsia="仿宋"/>
          <w:sz w:val="32"/>
          <w:szCs w:val="32"/>
        </w:rPr>
      </w:pPr>
      <w:r>
        <w:rPr>
          <w:rFonts w:hint="eastAsia" w:eastAsia="仿宋"/>
          <w:sz w:val="32"/>
          <w:szCs w:val="32"/>
        </w:rPr>
        <w:t>我们早动手、早安排，围绕全市中心工作，科学谋划项目建设。围绕明年旅发大会谋划了孔渡线至八里峡道路工程、太行山高速峪里下道口连接线工程；围绕乡村振兴谋划了新三川贯通第二期口上至后渐寺段及银河沟至温家园道路工程、农村公路改造提升工程、旧庙柴线（庙王</w:t>
      </w:r>
      <w:r>
        <w:rPr>
          <w:rFonts w:eastAsia="仿宋"/>
          <w:sz w:val="32"/>
          <w:szCs w:val="32"/>
        </w:rPr>
        <w:t>—</w:t>
      </w:r>
      <w:r>
        <w:rPr>
          <w:rFonts w:hint="eastAsia" w:eastAsia="仿宋"/>
          <w:sz w:val="32"/>
          <w:szCs w:val="32"/>
        </w:rPr>
        <w:t>册井）大修工程；围绕道路标准提升谋划了武新线挖补工程、河头至白塔道路工程、沙河市</w:t>
      </w:r>
      <w:r>
        <w:rPr>
          <w:rFonts w:eastAsia="仿宋"/>
          <w:sz w:val="32"/>
          <w:szCs w:val="32"/>
        </w:rPr>
        <w:t>107</w:t>
      </w:r>
      <w:r>
        <w:rPr>
          <w:rFonts w:hint="eastAsia" w:eastAsia="仿宋"/>
          <w:sz w:val="32"/>
          <w:szCs w:val="32"/>
        </w:rPr>
        <w:t>国道（韩庄</w:t>
      </w:r>
      <w:r>
        <w:rPr>
          <w:rFonts w:eastAsia="仿宋"/>
          <w:sz w:val="32"/>
          <w:szCs w:val="32"/>
        </w:rPr>
        <w:t>-</w:t>
      </w:r>
      <w:r>
        <w:rPr>
          <w:rFonts w:hint="eastAsia" w:eastAsia="仿宋"/>
          <w:sz w:val="32"/>
          <w:szCs w:val="32"/>
        </w:rPr>
        <w:t>钢铁路）连接线工程、显德汪公铁立交桥加宽及引道工程，提升交通路网服务水平。</w:t>
      </w:r>
    </w:p>
    <w:p w14:paraId="36E5A978">
      <w:pPr>
        <w:spacing w:line="500" w:lineRule="exact"/>
        <w:ind w:firstLine="640" w:firstLineChars="200"/>
        <w:jc w:val="left"/>
        <w:rPr>
          <w:rFonts w:eastAsia="仿宋"/>
          <w:sz w:val="32"/>
          <w:szCs w:val="32"/>
        </w:rPr>
      </w:pPr>
      <w:r>
        <w:rPr>
          <w:rFonts w:hint="eastAsia" w:eastAsia="仿宋"/>
          <w:sz w:val="32"/>
          <w:szCs w:val="32"/>
        </w:rPr>
        <w:t>二是全力提升公路养管水平。以“四好农村路”建设为总领，全面提升道路养护、管理水平，为全市乡村振兴战略实施当好先行。</w:t>
      </w:r>
    </w:p>
    <w:p w14:paraId="1CE86AA3">
      <w:pPr>
        <w:spacing w:line="500" w:lineRule="exact"/>
        <w:ind w:firstLine="640" w:firstLineChars="200"/>
        <w:jc w:val="left"/>
        <w:rPr>
          <w:rFonts w:eastAsia="仿宋"/>
          <w:sz w:val="32"/>
          <w:szCs w:val="32"/>
        </w:rPr>
      </w:pPr>
      <w:r>
        <w:rPr>
          <w:rFonts w:hint="eastAsia" w:eastAsia="仿宋"/>
          <w:sz w:val="32"/>
          <w:szCs w:val="32"/>
        </w:rPr>
        <w:t>三是提高公共交通服务能力。进一步优化公交线路，切实提高服务质量；加快白塔客运站建设，完善西部地区客运网络，加强镇村公交发展，打通山区群众出行“最后一公里”。</w:t>
      </w:r>
    </w:p>
    <w:p w14:paraId="6EE491F3">
      <w:pPr>
        <w:spacing w:line="500" w:lineRule="exact"/>
        <w:ind w:firstLine="640" w:firstLineChars="200"/>
        <w:jc w:val="left"/>
        <w:rPr>
          <w:rFonts w:eastAsia="仿宋"/>
          <w:sz w:val="32"/>
          <w:szCs w:val="32"/>
        </w:rPr>
      </w:pPr>
      <w:r>
        <w:rPr>
          <w:rFonts w:hint="eastAsia" w:eastAsia="仿宋"/>
          <w:sz w:val="32"/>
          <w:szCs w:val="32"/>
        </w:rPr>
        <w:t>四是加强公路扬尘治理力度。严格按照市政府大气污染防治工作要求，做好公路扬尘治理、联合执法、汽修厂管控等工作，积极谋划城市清洁交通建设，推进绿色公交发展。</w:t>
      </w:r>
    </w:p>
    <w:p w14:paraId="06924C22">
      <w:pPr>
        <w:spacing w:line="500" w:lineRule="exact"/>
        <w:ind w:firstLine="640" w:firstLineChars="200"/>
        <w:jc w:val="left"/>
        <w:rPr>
          <w:rFonts w:eastAsia="仿宋"/>
          <w:sz w:val="32"/>
          <w:szCs w:val="32"/>
        </w:rPr>
      </w:pPr>
      <w:r>
        <w:rPr>
          <w:rFonts w:hint="eastAsia" w:eastAsia="仿宋"/>
          <w:sz w:val="32"/>
          <w:szCs w:val="32"/>
        </w:rPr>
        <w:t>五是毫不松懈抓好交通领域安全生产及信访稳定。持续发力抓实交通运输领域安全生产和信访稳定工作，确保行业持续稳定发展。</w:t>
      </w:r>
    </w:p>
    <w:p w14:paraId="4FE9F901">
      <w:pPr>
        <w:spacing w:line="500" w:lineRule="exact"/>
        <w:ind w:firstLine="640" w:firstLineChars="200"/>
        <w:jc w:val="left"/>
        <w:outlineLvl w:val="1"/>
        <w:rPr>
          <w:rFonts w:eastAsia="仿宋"/>
          <w:sz w:val="32"/>
          <w:szCs w:val="32"/>
        </w:rPr>
      </w:pPr>
      <w:r>
        <w:rPr>
          <w:rFonts w:hint="eastAsia" w:eastAsia="仿宋"/>
          <w:sz w:val="32"/>
          <w:szCs w:val="32"/>
        </w:rPr>
        <w:t>（三）工作保障措施</w:t>
      </w:r>
      <w:bookmarkStart w:id="4" w:name="_Toc11234"/>
      <w:bookmarkStart w:id="5" w:name="_Toc5253"/>
      <w:r>
        <w:rPr>
          <w:rFonts w:eastAsia="仿宋"/>
          <w:sz w:val="32"/>
          <w:szCs w:val="32"/>
        </w:rPr>
        <w:fldChar w:fldCharType="begin"/>
      </w:r>
      <w:r>
        <w:rPr>
          <w:rFonts w:eastAsia="仿宋"/>
          <w:sz w:val="32"/>
          <w:szCs w:val="32"/>
        </w:rPr>
        <w:instrText xml:space="preserve">tc "</w:instrText>
      </w:r>
      <w:r>
        <w:rPr>
          <w:rFonts w:hint="eastAsia" w:eastAsia="仿宋"/>
          <w:sz w:val="32"/>
          <w:szCs w:val="32"/>
        </w:rPr>
        <w:instrText xml:space="preserve">工作保障措施</w:instrText>
      </w:r>
      <w:r>
        <w:rPr>
          <w:rFonts w:eastAsia="仿宋"/>
          <w:sz w:val="32"/>
          <w:szCs w:val="32"/>
        </w:rPr>
        <w:instrText xml:space="preserve">" \f A \l 000001</w:instrText>
      </w:r>
      <w:r>
        <w:rPr>
          <w:rFonts w:eastAsia="仿宋"/>
          <w:sz w:val="32"/>
          <w:szCs w:val="32"/>
        </w:rPr>
        <w:fldChar w:fldCharType="end"/>
      </w:r>
      <w:bookmarkEnd w:id="4"/>
      <w:bookmarkEnd w:id="5"/>
    </w:p>
    <w:p w14:paraId="230FBD92">
      <w:pPr>
        <w:spacing w:line="500" w:lineRule="exact"/>
        <w:ind w:firstLine="640" w:firstLineChars="200"/>
        <w:jc w:val="left"/>
        <w:rPr>
          <w:rFonts w:eastAsia="仿宋"/>
          <w:sz w:val="32"/>
          <w:szCs w:val="32"/>
        </w:rPr>
      </w:pPr>
      <w:r>
        <w:rPr>
          <w:rFonts w:eastAsia="仿宋"/>
          <w:sz w:val="32"/>
          <w:szCs w:val="32"/>
        </w:rPr>
        <w:t>1</w:t>
      </w:r>
      <w:r>
        <w:rPr>
          <w:rFonts w:hint="eastAsia" w:eastAsia="仿宋"/>
          <w:sz w:val="32"/>
          <w:szCs w:val="32"/>
        </w:rPr>
        <w:t>、强势推进交通项目建设，在提升交通基础设施保障能力上实现新突破。</w:t>
      </w:r>
    </w:p>
    <w:p w14:paraId="714E9EF5">
      <w:pPr>
        <w:spacing w:line="500" w:lineRule="exact"/>
        <w:ind w:firstLine="640" w:firstLineChars="200"/>
        <w:jc w:val="left"/>
        <w:rPr>
          <w:rFonts w:eastAsia="仿宋"/>
          <w:sz w:val="32"/>
          <w:szCs w:val="32"/>
        </w:rPr>
      </w:pPr>
      <w:r>
        <w:rPr>
          <w:rFonts w:eastAsia="仿宋"/>
          <w:sz w:val="32"/>
          <w:szCs w:val="32"/>
        </w:rPr>
        <w:t>2</w:t>
      </w:r>
      <w:r>
        <w:rPr>
          <w:rFonts w:hint="eastAsia" w:eastAsia="仿宋"/>
          <w:sz w:val="32"/>
          <w:szCs w:val="32"/>
        </w:rPr>
        <w:t>、加强客运市场规范运营，在提升交通运输服务水平上实现新突破。</w:t>
      </w:r>
    </w:p>
    <w:p w14:paraId="30FE2700">
      <w:pPr>
        <w:spacing w:line="500" w:lineRule="exact"/>
        <w:ind w:firstLine="640" w:firstLineChars="200"/>
        <w:jc w:val="left"/>
        <w:rPr>
          <w:rFonts w:eastAsia="仿宋"/>
          <w:sz w:val="32"/>
          <w:szCs w:val="32"/>
        </w:rPr>
      </w:pPr>
      <w:r>
        <w:rPr>
          <w:rFonts w:hint="eastAsia" w:eastAsia="仿宋"/>
          <w:sz w:val="32"/>
          <w:szCs w:val="32"/>
        </w:rPr>
        <w:t>一是巩固提升公共交通服务提升年活动，做好</w:t>
      </w:r>
      <w:r>
        <w:rPr>
          <w:rFonts w:eastAsia="仿宋"/>
          <w:sz w:val="32"/>
          <w:szCs w:val="32"/>
        </w:rPr>
        <w:t>197</w:t>
      </w:r>
      <w:r>
        <w:rPr>
          <w:rFonts w:hint="eastAsia" w:eastAsia="仿宋"/>
          <w:sz w:val="32"/>
          <w:szCs w:val="32"/>
        </w:rPr>
        <w:t>辆纯电动公交车的规范运营工作，加大对公交、出租从业人员的培训，通过正面引导、典型示范，全面提升公交、出租从业人员文明服务意识和水平；开展出租车服务质量考核、公交车月评，规范城市公共客运服务行为，提高服务质量，擦亮交通“全国文明单位”品牌窗口。二是积极争取列入纯电动出租车县级城市试点，逐步淘汰燃油出租。三是加强客运场站管理，提升管理水平，积极拓展提升公交客运线路资源，积极搞好与长途城际公交线路的对接。</w:t>
      </w:r>
    </w:p>
    <w:p w14:paraId="68717337">
      <w:pPr>
        <w:spacing w:line="500" w:lineRule="exact"/>
        <w:ind w:firstLine="640" w:firstLineChars="200"/>
        <w:jc w:val="left"/>
        <w:rPr>
          <w:rFonts w:eastAsia="仿宋"/>
          <w:sz w:val="32"/>
          <w:szCs w:val="32"/>
        </w:rPr>
      </w:pPr>
      <w:r>
        <w:rPr>
          <w:rFonts w:eastAsia="仿宋"/>
          <w:sz w:val="32"/>
          <w:szCs w:val="32"/>
        </w:rPr>
        <w:t>3</w:t>
      </w:r>
      <w:r>
        <w:rPr>
          <w:rFonts w:hint="eastAsia" w:eastAsia="仿宋"/>
          <w:sz w:val="32"/>
          <w:szCs w:val="32"/>
        </w:rPr>
        <w:t>、发挥精品区引领作用，在提升公路整体养管水平上实现新突破。继续按照“干线标准化、农村公路干线化”的要求，进一步提升公路养管水平，实现“有路必养，养管一流”目标。巩固提升精品区建设示范成果，重点打造柴关精品区，实现农村公路养护管理的高标准、全覆盖。</w:t>
      </w:r>
    </w:p>
    <w:p w14:paraId="5B0467F1">
      <w:pPr>
        <w:spacing w:line="500" w:lineRule="exact"/>
        <w:ind w:firstLine="640" w:firstLineChars="200"/>
        <w:jc w:val="left"/>
        <w:rPr>
          <w:rFonts w:eastAsia="仿宋"/>
          <w:sz w:val="32"/>
          <w:szCs w:val="32"/>
        </w:rPr>
      </w:pPr>
      <w:r>
        <w:rPr>
          <w:rFonts w:eastAsia="仿宋"/>
          <w:sz w:val="32"/>
          <w:szCs w:val="32"/>
        </w:rPr>
        <w:t>4</w:t>
      </w:r>
      <w:r>
        <w:rPr>
          <w:rFonts w:hint="eastAsia" w:eastAsia="仿宋"/>
          <w:sz w:val="32"/>
          <w:szCs w:val="32"/>
        </w:rPr>
        <w:t>、以争创全国先进为目标，在提升依法行政能力上实现新突破。</w:t>
      </w:r>
    </w:p>
    <w:p w14:paraId="3FE8BF16">
      <w:pPr>
        <w:spacing w:line="500" w:lineRule="exact"/>
        <w:ind w:firstLine="640" w:firstLineChars="200"/>
        <w:jc w:val="left"/>
        <w:rPr>
          <w:rFonts w:eastAsia="仿宋"/>
          <w:sz w:val="32"/>
          <w:szCs w:val="32"/>
        </w:rPr>
      </w:pPr>
      <w:r>
        <w:rPr>
          <w:rFonts w:hint="eastAsia" w:eastAsia="仿宋"/>
          <w:sz w:val="32"/>
          <w:szCs w:val="32"/>
        </w:rPr>
        <w:t>以争创行政执法全国先进为目标，全面提升依法行政能力。一是切实提高依法行政能力，进一步推进“三基三化”建设，开展执法评议考核，完善权责一致、行为规范、运转协调、科学高效的行政执法体制。二是强化科技执法，完善网上执法办案及信息查询系统，强化科技装备在交通执法中的应用。三是打造服务型执法机关，开展重要决策合法性审查，推行执法公开，规范自由裁量权，完善事中事后监管制度。四是综合调配执法力量，加大执法力度，营造良好的道路通行环境。</w:t>
      </w:r>
    </w:p>
    <w:p w14:paraId="747FD583">
      <w:pPr>
        <w:spacing w:line="500" w:lineRule="exact"/>
        <w:ind w:firstLine="640" w:firstLineChars="200"/>
        <w:jc w:val="left"/>
        <w:rPr>
          <w:rFonts w:eastAsia="仿宋"/>
          <w:sz w:val="32"/>
          <w:szCs w:val="32"/>
        </w:rPr>
      </w:pPr>
      <w:r>
        <w:rPr>
          <w:rFonts w:eastAsia="仿宋"/>
          <w:sz w:val="32"/>
          <w:szCs w:val="32"/>
        </w:rPr>
        <w:t>5</w:t>
      </w:r>
      <w:r>
        <w:rPr>
          <w:rFonts w:hint="eastAsia" w:eastAsia="仿宋"/>
          <w:sz w:val="32"/>
          <w:szCs w:val="32"/>
        </w:rPr>
        <w:t>、加大公路污染整治力度，在提升道路运输环境水平上实现新突破。</w:t>
      </w:r>
    </w:p>
    <w:p w14:paraId="055AECFD">
      <w:pPr>
        <w:spacing w:line="500" w:lineRule="exact"/>
        <w:ind w:firstLine="640" w:firstLineChars="200"/>
        <w:jc w:val="left"/>
        <w:rPr>
          <w:rFonts w:eastAsia="仿宋"/>
          <w:sz w:val="32"/>
          <w:szCs w:val="32"/>
        </w:rPr>
      </w:pPr>
      <w:r>
        <w:rPr>
          <w:rFonts w:hint="eastAsia" w:eastAsia="仿宋"/>
          <w:sz w:val="32"/>
          <w:szCs w:val="32"/>
        </w:rPr>
        <w:t>按照全市安排部署，做好道路、工程建设、车辆运输管理等方面大气污染防治工作，同时积极配合交警部门继续保持路面治理超限超载、抛洒遗漏高压态势，严格执行“一超四罚”制度，坚决杜绝违规车辆上路行驶。</w:t>
      </w:r>
    </w:p>
    <w:p w14:paraId="72AE30FE">
      <w:pPr>
        <w:spacing w:line="500" w:lineRule="exact"/>
        <w:ind w:firstLine="640" w:firstLineChars="200"/>
        <w:jc w:val="left"/>
        <w:rPr>
          <w:rFonts w:eastAsia="仿宋"/>
          <w:sz w:val="32"/>
          <w:szCs w:val="32"/>
        </w:rPr>
      </w:pPr>
      <w:r>
        <w:rPr>
          <w:rFonts w:eastAsia="仿宋"/>
          <w:sz w:val="32"/>
          <w:szCs w:val="32"/>
        </w:rPr>
        <w:t>6</w:t>
      </w:r>
      <w:r>
        <w:rPr>
          <w:rFonts w:hint="eastAsia" w:eastAsia="仿宋"/>
          <w:sz w:val="32"/>
          <w:szCs w:val="32"/>
        </w:rPr>
        <w:t>、加大安全管理力度，确保全年安全生产形势稳定。</w:t>
      </w:r>
    </w:p>
    <w:p w14:paraId="43B6A068">
      <w:pPr>
        <w:spacing w:line="500" w:lineRule="exact"/>
        <w:ind w:firstLine="640" w:firstLineChars="200"/>
        <w:jc w:val="left"/>
        <w:rPr>
          <w:rFonts w:eastAsia="仿宋"/>
          <w:sz w:val="32"/>
          <w:szCs w:val="32"/>
        </w:rPr>
      </w:pPr>
      <w:r>
        <w:rPr>
          <w:rFonts w:eastAsia="仿宋"/>
          <w:sz w:val="32"/>
          <w:szCs w:val="32"/>
        </w:rPr>
        <w:t xml:space="preserve"> </w:t>
      </w:r>
      <w:r>
        <w:rPr>
          <w:rFonts w:hint="eastAsia" w:eastAsia="仿宋"/>
          <w:sz w:val="32"/>
          <w:szCs w:val="32"/>
        </w:rPr>
        <w:t>深入开展“安全生产年”、“安全生产月”等活动，严格按照要求开展专项治理，加强从业人员的安全教育。组织开展应急预案的完善和应急演练，夯实安全发展基础，千方百计确保旅客运输、危货运输、水上运输安全以及汛期安全。</w:t>
      </w:r>
    </w:p>
    <w:p w14:paraId="64632351">
      <w:pPr>
        <w:spacing w:line="500" w:lineRule="exact"/>
        <w:ind w:firstLine="640" w:firstLineChars="200"/>
        <w:jc w:val="left"/>
        <w:rPr>
          <w:rFonts w:eastAsia="仿宋"/>
          <w:sz w:val="32"/>
          <w:szCs w:val="32"/>
        </w:rPr>
      </w:pPr>
      <w:r>
        <w:rPr>
          <w:rFonts w:eastAsia="仿宋"/>
          <w:sz w:val="32"/>
          <w:szCs w:val="32"/>
        </w:rPr>
        <w:t>7</w:t>
      </w:r>
      <w:r>
        <w:rPr>
          <w:rFonts w:hint="eastAsia" w:eastAsia="仿宋"/>
          <w:sz w:val="32"/>
          <w:szCs w:val="32"/>
        </w:rPr>
        <w:t>、认真贯彻落实</w:t>
      </w:r>
      <w:r>
        <w:rPr>
          <w:rFonts w:hint="eastAsia" w:eastAsia="仿宋"/>
          <w:sz w:val="32"/>
          <w:szCs w:val="32"/>
          <w:lang w:eastAsia="zh-CN"/>
        </w:rPr>
        <w:t>党的</w:t>
      </w:r>
      <w:r>
        <w:rPr>
          <w:rFonts w:hint="eastAsia" w:eastAsia="仿宋"/>
          <w:sz w:val="32"/>
          <w:szCs w:val="32"/>
        </w:rPr>
        <w:t>十九大精神，继续推进精神文明建设和廉政建设。</w:t>
      </w:r>
    </w:p>
    <w:p w14:paraId="49442074">
      <w:pPr>
        <w:spacing w:line="500" w:lineRule="exact"/>
        <w:ind w:firstLine="640" w:firstLineChars="200"/>
        <w:jc w:val="left"/>
        <w:rPr>
          <w:rFonts w:eastAsia="仿宋"/>
          <w:sz w:val="32"/>
          <w:szCs w:val="32"/>
        </w:rPr>
      </w:pPr>
      <w:r>
        <w:rPr>
          <w:rFonts w:hint="eastAsia" w:eastAsia="仿宋"/>
          <w:sz w:val="32"/>
          <w:szCs w:val="32"/>
        </w:rPr>
        <w:t>一是认真贯彻落实党的十九大精神，在学懂、弄通、做实上下功夫，努力推进交通运输事业开启新征程、续写新篇章；巩固提升大讨论活动成果，使事争一流、唯旗是夺成为普遍行为和自觉追求，推动每一项工作在邢台、全省乃至全国争创一流，打造更多工作亮点。二是把巩固提升全国文明单位成果贯穿行业管理全过程，坚持内强素质、外树形象，加大对行业干部职工、运输从业人员的教育管理培训力度，强化大局意识，服务意识，深入挖掘和宣传反映交通运输行业先进典型，发挥先进典型的示范引路作用，打造文化交通、文明交通，不断增强凝聚力、战斗力、向心力。三是认真落实党风廉政建设主体责任，深入推进惩治和预防腐败体系建设，进一步深化党课教育、廉政教育、岗位警示教育，推进廉政风险防控扩面覆盖，努力提高廉政风险防范整体水平。进一步创新监督机制，不断完善党务公开、政务公开、账务公开</w:t>
      </w:r>
      <w:r>
        <w:rPr>
          <w:rFonts w:eastAsia="仿宋"/>
          <w:sz w:val="32"/>
          <w:szCs w:val="32"/>
        </w:rPr>
        <w:t>,</w:t>
      </w:r>
      <w:r>
        <w:rPr>
          <w:rFonts w:hint="eastAsia" w:eastAsia="仿宋"/>
          <w:sz w:val="32"/>
          <w:szCs w:val="32"/>
        </w:rPr>
        <w:t>严厉惩治腐败。</w:t>
      </w:r>
    </w:p>
    <w:p w14:paraId="02B5DBB8">
      <w:pPr>
        <w:ind w:firstLine="643" w:firstLineChars="200"/>
        <w:rPr>
          <w:rFonts w:ascii="仿宋" w:hAnsi="仿宋" w:eastAsia="仿宋" w:cs="仿宋"/>
          <w:b/>
          <w:sz w:val="32"/>
        </w:rPr>
      </w:pPr>
      <w:r>
        <w:rPr>
          <w:rFonts w:hint="eastAsia" w:ascii="仿宋" w:hAnsi="仿宋" w:eastAsia="仿宋" w:cs="仿宋"/>
          <w:b/>
          <w:sz w:val="32"/>
        </w:rPr>
        <w:t>四、预算资金安排及资金支出情况。</w:t>
      </w:r>
    </w:p>
    <w:p w14:paraId="45901BF1">
      <w:pPr>
        <w:ind w:firstLine="640"/>
        <w:rPr>
          <w:rFonts w:eastAsia="仿宋"/>
          <w:sz w:val="32"/>
          <w:szCs w:val="32"/>
        </w:rPr>
      </w:pPr>
      <w:r>
        <w:rPr>
          <w:rFonts w:hint="eastAsia" w:eastAsia="仿宋"/>
          <w:sz w:val="32"/>
          <w:szCs w:val="32"/>
        </w:rPr>
        <w:t>按照预算管理有关规定，目前我市部门预算的编制实行综合预算制度，即全部收入和支出都反映的预算中，单位的收支包含在部门预算中。</w:t>
      </w:r>
    </w:p>
    <w:p w14:paraId="750D52FD">
      <w:pPr>
        <w:numPr>
          <w:ilvl w:val="0"/>
          <w:numId w:val="1"/>
        </w:numPr>
        <w:rPr>
          <w:rFonts w:eastAsia="仿宋"/>
          <w:sz w:val="32"/>
          <w:szCs w:val="32"/>
        </w:rPr>
      </w:pPr>
      <w:r>
        <w:rPr>
          <w:rFonts w:hint="eastAsia" w:eastAsia="仿宋"/>
          <w:sz w:val="32"/>
          <w:szCs w:val="32"/>
        </w:rPr>
        <w:t>收入说明</w:t>
      </w:r>
    </w:p>
    <w:p w14:paraId="2B1721C7">
      <w:pPr>
        <w:ind w:left="640"/>
        <w:rPr>
          <w:rFonts w:ascii="仿宋" w:hAnsi="仿宋" w:eastAsia="仿宋"/>
          <w:sz w:val="32"/>
          <w:szCs w:val="32"/>
        </w:rPr>
      </w:pPr>
      <w:r>
        <w:rPr>
          <w:rFonts w:hint="eastAsia" w:ascii="仿宋" w:hAnsi="仿宋" w:eastAsia="仿宋" w:cs="宋体"/>
          <w:sz w:val="32"/>
          <w:szCs w:val="32"/>
          <w:lang w:eastAsia="zh-CN"/>
        </w:rPr>
        <w:t>反映</w:t>
      </w:r>
      <w:r>
        <w:rPr>
          <w:rFonts w:hint="eastAsia" w:ascii="仿宋" w:hAnsi="仿宋" w:eastAsia="仿宋" w:cs="宋体"/>
          <w:sz w:val="32"/>
          <w:szCs w:val="32"/>
        </w:rPr>
        <w:t>本部门当年全部收入</w:t>
      </w:r>
    </w:p>
    <w:p w14:paraId="7AC185EA">
      <w:pPr>
        <w:ind w:firstLine="640"/>
        <w:rPr>
          <w:rFonts w:ascii="仿宋" w:hAnsi="仿宋" w:eastAsia="仿宋"/>
          <w:sz w:val="32"/>
          <w:szCs w:val="32"/>
        </w:rPr>
      </w:pPr>
      <w:r>
        <w:rPr>
          <w:rFonts w:ascii="仿宋" w:hAnsi="仿宋" w:eastAsia="仿宋" w:cs="??_GB2312"/>
          <w:sz w:val="32"/>
          <w:szCs w:val="32"/>
        </w:rPr>
        <w:t>2020</w:t>
      </w:r>
      <w:r>
        <w:rPr>
          <w:rFonts w:hint="eastAsia" w:ascii="仿宋" w:hAnsi="仿宋" w:eastAsia="仿宋" w:cs="宋体"/>
          <w:sz w:val="32"/>
          <w:szCs w:val="32"/>
        </w:rPr>
        <w:t>年本级安排预算收入</w:t>
      </w:r>
      <w:r>
        <w:rPr>
          <w:rFonts w:ascii="仿宋" w:hAnsi="仿宋" w:eastAsia="仿宋" w:cs="宋体"/>
          <w:sz w:val="32"/>
          <w:szCs w:val="32"/>
        </w:rPr>
        <w:t>1739.93</w:t>
      </w:r>
      <w:r>
        <w:rPr>
          <w:rFonts w:hint="eastAsia" w:ascii="仿宋" w:hAnsi="仿宋" w:eastAsia="仿宋" w:cs="宋体"/>
          <w:sz w:val="32"/>
          <w:szCs w:val="32"/>
        </w:rPr>
        <w:t>万元，其中：一般公共预算收入</w:t>
      </w:r>
      <w:r>
        <w:rPr>
          <w:rFonts w:ascii="仿宋" w:hAnsi="仿宋" w:eastAsia="仿宋" w:cs="??_GB2312"/>
          <w:sz w:val="32"/>
          <w:szCs w:val="32"/>
        </w:rPr>
        <w:t>1739.93</w:t>
      </w:r>
      <w:r>
        <w:rPr>
          <w:rFonts w:hint="eastAsia" w:ascii="仿宋" w:hAnsi="仿宋" w:eastAsia="仿宋" w:cs="宋体"/>
          <w:sz w:val="32"/>
          <w:szCs w:val="32"/>
        </w:rPr>
        <w:t>万元，基金预算拨款</w:t>
      </w:r>
      <w:r>
        <w:rPr>
          <w:rFonts w:ascii="仿宋" w:hAnsi="仿宋" w:eastAsia="仿宋" w:cs="??_GB2312"/>
          <w:sz w:val="32"/>
          <w:szCs w:val="32"/>
        </w:rPr>
        <w:t>0</w:t>
      </w:r>
      <w:r>
        <w:rPr>
          <w:rFonts w:hint="eastAsia" w:ascii="仿宋" w:hAnsi="仿宋" w:eastAsia="仿宋" w:cs="宋体"/>
          <w:sz w:val="32"/>
          <w:szCs w:val="32"/>
        </w:rPr>
        <w:t>元。</w:t>
      </w:r>
    </w:p>
    <w:p w14:paraId="4D75F21B">
      <w:pPr>
        <w:ind w:firstLine="640"/>
        <w:rPr>
          <w:rFonts w:eastAsia="仿宋"/>
          <w:sz w:val="32"/>
          <w:szCs w:val="32"/>
        </w:rPr>
      </w:pPr>
      <w:r>
        <w:rPr>
          <w:rFonts w:eastAsia="仿宋"/>
          <w:sz w:val="32"/>
          <w:szCs w:val="32"/>
        </w:rPr>
        <w:t>2</w:t>
      </w:r>
      <w:r>
        <w:rPr>
          <w:rFonts w:hint="eastAsia" w:eastAsia="仿宋"/>
          <w:sz w:val="32"/>
          <w:szCs w:val="32"/>
        </w:rPr>
        <w:t>、支出说明</w:t>
      </w:r>
    </w:p>
    <w:p w14:paraId="4ADBA050">
      <w:pPr>
        <w:ind w:firstLine="640"/>
        <w:rPr>
          <w:rFonts w:eastAsia="仿宋"/>
          <w:sz w:val="32"/>
          <w:szCs w:val="32"/>
        </w:rPr>
      </w:pPr>
      <w:r>
        <w:rPr>
          <w:rFonts w:hint="eastAsia" w:eastAsia="仿宋"/>
          <w:sz w:val="32"/>
          <w:szCs w:val="32"/>
        </w:rPr>
        <w:t>收支预算总表支出栏、基本支出表、项目支出表按经济分类和支出功能分类科目编制，反映中共沙河市交通运输局</w:t>
      </w:r>
      <w:r>
        <w:rPr>
          <w:rFonts w:eastAsia="仿宋"/>
          <w:sz w:val="32"/>
          <w:szCs w:val="32"/>
        </w:rPr>
        <w:t>2020</w:t>
      </w:r>
      <w:r>
        <w:rPr>
          <w:rFonts w:hint="eastAsia" w:eastAsia="仿宋"/>
          <w:sz w:val="32"/>
          <w:szCs w:val="32"/>
        </w:rPr>
        <w:t>年度部门预算中支出预算的总体情况。</w:t>
      </w:r>
    </w:p>
    <w:p w14:paraId="210E76F5">
      <w:pPr>
        <w:ind w:firstLine="640"/>
        <w:rPr>
          <w:rFonts w:eastAsia="仿宋"/>
          <w:sz w:val="32"/>
          <w:szCs w:val="32"/>
        </w:rPr>
      </w:pPr>
      <w:r>
        <w:rPr>
          <w:rFonts w:eastAsia="仿宋"/>
          <w:sz w:val="32"/>
          <w:szCs w:val="32"/>
        </w:rPr>
        <w:t>2020</w:t>
      </w:r>
      <w:r>
        <w:rPr>
          <w:rFonts w:hint="eastAsia" w:eastAsia="仿宋"/>
          <w:sz w:val="32"/>
          <w:szCs w:val="32"/>
        </w:rPr>
        <w:t>年本级支出预算</w:t>
      </w:r>
      <w:r>
        <w:rPr>
          <w:rFonts w:eastAsia="仿宋"/>
          <w:sz w:val="32"/>
          <w:szCs w:val="32"/>
        </w:rPr>
        <w:t>1739.93</w:t>
      </w:r>
      <w:r>
        <w:rPr>
          <w:rFonts w:hint="eastAsia" w:eastAsia="仿宋"/>
          <w:sz w:val="32"/>
          <w:szCs w:val="32"/>
        </w:rPr>
        <w:t>元，其中基本支出</w:t>
      </w:r>
      <w:r>
        <w:rPr>
          <w:rFonts w:eastAsia="仿宋"/>
          <w:sz w:val="32"/>
          <w:szCs w:val="32"/>
        </w:rPr>
        <w:t>163.21</w:t>
      </w:r>
      <w:r>
        <w:rPr>
          <w:rFonts w:hint="eastAsia" w:eastAsia="仿宋"/>
          <w:sz w:val="32"/>
          <w:szCs w:val="32"/>
        </w:rPr>
        <w:t>万元，包括人员经费</w:t>
      </w:r>
      <w:r>
        <w:rPr>
          <w:rFonts w:eastAsia="仿宋"/>
          <w:sz w:val="32"/>
          <w:szCs w:val="32"/>
        </w:rPr>
        <w:t>150.42</w:t>
      </w:r>
      <w:r>
        <w:rPr>
          <w:rFonts w:hint="eastAsia" w:eastAsia="仿宋"/>
          <w:sz w:val="32"/>
          <w:szCs w:val="32"/>
        </w:rPr>
        <w:t>万元和日常公用经费</w:t>
      </w:r>
      <w:r>
        <w:rPr>
          <w:rFonts w:eastAsia="仿宋"/>
          <w:sz w:val="32"/>
          <w:szCs w:val="32"/>
        </w:rPr>
        <w:t>12.79</w:t>
      </w:r>
      <w:r>
        <w:rPr>
          <w:rFonts w:hint="eastAsia" w:eastAsia="仿宋"/>
          <w:sz w:val="32"/>
          <w:szCs w:val="32"/>
        </w:rPr>
        <w:t>万元；项目支出</w:t>
      </w:r>
      <w:r>
        <w:rPr>
          <w:rFonts w:eastAsia="仿宋"/>
          <w:sz w:val="32"/>
          <w:szCs w:val="32"/>
        </w:rPr>
        <w:t>1576.72</w:t>
      </w:r>
      <w:r>
        <w:rPr>
          <w:rFonts w:hint="eastAsia" w:eastAsia="仿宋"/>
          <w:sz w:val="32"/>
          <w:szCs w:val="32"/>
        </w:rPr>
        <w:t>万元，为业务补助、公路养护经费、纬三路淮庄</w:t>
      </w:r>
      <w:r>
        <w:rPr>
          <w:rFonts w:eastAsia="仿宋"/>
          <w:sz w:val="32"/>
          <w:szCs w:val="32"/>
        </w:rPr>
        <w:t>-</w:t>
      </w:r>
      <w:r>
        <w:rPr>
          <w:rFonts w:hint="eastAsia" w:eastAsia="仿宋"/>
          <w:sz w:val="32"/>
          <w:szCs w:val="32"/>
        </w:rPr>
        <w:t>邢峰线</w:t>
      </w:r>
      <w:r>
        <w:rPr>
          <w:rFonts w:eastAsia="仿宋"/>
          <w:sz w:val="32"/>
          <w:szCs w:val="32"/>
        </w:rPr>
        <w:t>ppp</w:t>
      </w:r>
      <w:r>
        <w:rPr>
          <w:rFonts w:hint="eastAsia" w:eastAsia="仿宋"/>
          <w:sz w:val="32"/>
          <w:szCs w:val="32"/>
        </w:rPr>
        <w:t>等项目。</w:t>
      </w:r>
    </w:p>
    <w:p w14:paraId="780EE22C">
      <w:pPr>
        <w:ind w:firstLine="640"/>
        <w:rPr>
          <w:rFonts w:eastAsia="仿宋"/>
          <w:sz w:val="32"/>
          <w:szCs w:val="32"/>
        </w:rPr>
      </w:pPr>
      <w:r>
        <w:rPr>
          <w:rFonts w:eastAsia="仿宋"/>
          <w:sz w:val="32"/>
          <w:szCs w:val="32"/>
        </w:rPr>
        <w:t>3</w:t>
      </w:r>
      <w:r>
        <w:rPr>
          <w:rFonts w:hint="eastAsia" w:eastAsia="仿宋"/>
          <w:sz w:val="32"/>
          <w:szCs w:val="32"/>
        </w:rPr>
        <w:t>、比上年增减情况</w:t>
      </w:r>
    </w:p>
    <w:p w14:paraId="6F1A8E20">
      <w:pPr>
        <w:spacing w:line="610" w:lineRule="exact"/>
        <w:ind w:firstLine="640"/>
        <w:rPr>
          <w:rFonts w:ascii="仿宋" w:hAnsi="仿宋" w:eastAsia="仿宋" w:cs="??_GB2312"/>
          <w:sz w:val="32"/>
          <w:szCs w:val="32"/>
        </w:rPr>
      </w:pPr>
      <w:r>
        <w:rPr>
          <w:rFonts w:ascii="仿宋" w:hAnsi="仿宋" w:eastAsia="仿宋" w:cs="??_GB2312"/>
          <w:sz w:val="32"/>
          <w:szCs w:val="32"/>
        </w:rPr>
        <w:t>2020</w:t>
      </w:r>
      <w:r>
        <w:rPr>
          <w:rFonts w:hint="eastAsia" w:ascii="仿宋" w:hAnsi="仿宋" w:eastAsia="仿宋" w:cs="宋体"/>
          <w:sz w:val="32"/>
          <w:szCs w:val="32"/>
        </w:rPr>
        <w:t>年本级预算收支安排</w:t>
      </w:r>
      <w:r>
        <w:rPr>
          <w:rFonts w:eastAsia="仿宋"/>
          <w:sz w:val="32"/>
          <w:szCs w:val="32"/>
        </w:rPr>
        <w:t>1739.93</w:t>
      </w:r>
      <w:r>
        <w:rPr>
          <w:rFonts w:hint="eastAsia" w:ascii="仿宋" w:hAnsi="仿宋" w:eastAsia="仿宋" w:cs="宋体"/>
          <w:sz w:val="32"/>
          <w:szCs w:val="32"/>
        </w:rPr>
        <w:t>万元，较</w:t>
      </w:r>
      <w:r>
        <w:rPr>
          <w:rFonts w:ascii="仿宋" w:hAnsi="仿宋" w:eastAsia="仿宋" w:cs="??_GB2312"/>
          <w:sz w:val="32"/>
          <w:szCs w:val="32"/>
        </w:rPr>
        <w:t>2019</w:t>
      </w:r>
      <w:r>
        <w:rPr>
          <w:rFonts w:hint="eastAsia" w:ascii="仿宋" w:hAnsi="仿宋" w:eastAsia="仿宋" w:cs="宋体"/>
          <w:sz w:val="32"/>
          <w:szCs w:val="32"/>
        </w:rPr>
        <w:t>年本级预算</w:t>
      </w:r>
      <w:r>
        <w:rPr>
          <w:rFonts w:ascii="仿宋" w:hAnsi="仿宋" w:eastAsia="仿宋" w:cs="??_GB2312"/>
          <w:sz w:val="32"/>
          <w:szCs w:val="32"/>
        </w:rPr>
        <w:t>1501.74</w:t>
      </w:r>
      <w:r>
        <w:rPr>
          <w:rFonts w:hint="eastAsia" w:ascii="仿宋" w:hAnsi="仿宋" w:eastAsia="仿宋" w:cs="宋体"/>
          <w:sz w:val="32"/>
          <w:szCs w:val="32"/>
        </w:rPr>
        <w:t>万元增加</w:t>
      </w:r>
      <w:r>
        <w:rPr>
          <w:rFonts w:ascii="仿宋" w:hAnsi="仿宋" w:eastAsia="仿宋" w:cs="宋体"/>
          <w:sz w:val="32"/>
          <w:szCs w:val="32"/>
        </w:rPr>
        <w:t>238.19</w:t>
      </w:r>
      <w:r>
        <w:rPr>
          <w:rFonts w:hint="eastAsia" w:ascii="仿宋" w:hAnsi="仿宋" w:eastAsia="仿宋" w:cs="宋体"/>
          <w:sz w:val="32"/>
          <w:szCs w:val="32"/>
        </w:rPr>
        <w:t>万元，其中基本支出减少</w:t>
      </w:r>
      <w:r>
        <w:rPr>
          <w:rFonts w:ascii="仿宋" w:hAnsi="仿宋" w:eastAsia="仿宋" w:cs="宋体"/>
          <w:sz w:val="32"/>
          <w:szCs w:val="32"/>
        </w:rPr>
        <w:t>5.67</w:t>
      </w:r>
      <w:r>
        <w:rPr>
          <w:rFonts w:hint="eastAsia" w:ascii="仿宋" w:hAnsi="仿宋" w:eastAsia="仿宋" w:cs="宋体"/>
          <w:sz w:val="32"/>
          <w:szCs w:val="32"/>
        </w:rPr>
        <w:t>万元、项目支出增加</w:t>
      </w:r>
      <w:r>
        <w:rPr>
          <w:rFonts w:ascii="仿宋" w:hAnsi="仿宋" w:eastAsia="仿宋" w:cs="宋体"/>
          <w:sz w:val="32"/>
          <w:szCs w:val="32"/>
        </w:rPr>
        <w:t>243.86</w:t>
      </w:r>
      <w:r>
        <w:rPr>
          <w:rFonts w:hint="eastAsia" w:ascii="仿宋" w:hAnsi="仿宋" w:eastAsia="仿宋" w:cs="宋体"/>
          <w:sz w:val="32"/>
          <w:szCs w:val="32"/>
        </w:rPr>
        <w:t>万元。</w:t>
      </w:r>
    </w:p>
    <w:p w14:paraId="61F0CA6C">
      <w:pPr>
        <w:ind w:firstLine="643" w:firstLineChars="200"/>
        <w:rPr>
          <w:rFonts w:ascii="仿宋" w:hAnsi="仿宋" w:eastAsia="仿宋" w:cs="仿宋"/>
          <w:b/>
          <w:sz w:val="32"/>
        </w:rPr>
      </w:pPr>
      <w:r>
        <w:rPr>
          <w:rFonts w:hint="eastAsia" w:ascii="仿宋" w:hAnsi="仿宋" w:eastAsia="仿宋" w:cs="仿宋"/>
          <w:b/>
          <w:sz w:val="32"/>
        </w:rPr>
        <w:t>五、预算绩效管理开展及整体绩效实现情况</w:t>
      </w:r>
    </w:p>
    <w:p w14:paraId="77A55CF1">
      <w:pPr>
        <w:ind w:firstLine="640" w:firstLineChars="200"/>
        <w:rPr>
          <w:rFonts w:ascii="仿宋" w:hAnsi="仿宋" w:eastAsia="仿宋" w:cs="仿宋"/>
          <w:bCs/>
          <w:sz w:val="32"/>
        </w:rPr>
      </w:pPr>
      <w:r>
        <w:rPr>
          <w:rFonts w:ascii="仿宋" w:hAnsi="仿宋" w:eastAsia="仿宋" w:cs="仿宋"/>
          <w:bCs/>
          <w:sz w:val="32"/>
        </w:rPr>
        <w:t>1</w:t>
      </w:r>
      <w:r>
        <w:rPr>
          <w:rFonts w:hint="eastAsia" w:ascii="仿宋" w:hAnsi="仿宋" w:eastAsia="仿宋" w:cs="仿宋"/>
          <w:bCs/>
          <w:sz w:val="32"/>
        </w:rPr>
        <w:t>、项目申报前期测算不科学，预算与实际支出有偏差。</w:t>
      </w:r>
    </w:p>
    <w:p w14:paraId="70129910">
      <w:pPr>
        <w:ind w:firstLine="640" w:firstLineChars="200"/>
        <w:rPr>
          <w:rFonts w:ascii="仿宋" w:hAnsi="仿宋" w:eastAsia="仿宋" w:cs="仿宋"/>
          <w:sz w:val="32"/>
        </w:rPr>
      </w:pPr>
      <w:r>
        <w:rPr>
          <w:rFonts w:hint="eastAsia" w:ascii="仿宋" w:hAnsi="仿宋" w:eastAsia="仿宋" w:cs="仿宋"/>
          <w:sz w:val="32"/>
        </w:rPr>
        <w:t>预算申报的项目，应该建立在科学测算、整体评估、切合实际的基础上。但为了在年初争取更多的财政资金</w:t>
      </w:r>
      <w:r>
        <w:rPr>
          <w:rFonts w:ascii="仿宋" w:hAnsi="仿宋" w:eastAsia="仿宋" w:cs="仿宋"/>
          <w:sz w:val="32"/>
        </w:rPr>
        <w:t>,</w:t>
      </w:r>
      <w:r>
        <w:rPr>
          <w:rFonts w:hint="eastAsia" w:ascii="仿宋" w:hAnsi="仿宋" w:eastAsia="仿宋" w:cs="仿宋"/>
          <w:sz w:val="32"/>
        </w:rPr>
        <w:t>想方设法将项目做多、预算做大，等财政批复、甚至资金到位后，才具体安排使用计划。实际执行之后，有部分项目还需要改变实施计划，而造成资金暂缓使用，影响了财政资金的使用效益。</w:t>
      </w:r>
    </w:p>
    <w:p w14:paraId="4FA1D5EA">
      <w:pPr>
        <w:ind w:firstLine="640" w:firstLineChars="200"/>
        <w:rPr>
          <w:rFonts w:ascii="仿宋" w:hAnsi="仿宋" w:eastAsia="仿宋" w:cs="仿宋"/>
          <w:sz w:val="32"/>
        </w:rPr>
      </w:pPr>
      <w:r>
        <w:rPr>
          <w:rFonts w:ascii="仿宋" w:hAnsi="仿宋" w:eastAsia="仿宋" w:cs="仿宋"/>
          <w:bCs/>
          <w:sz w:val="32"/>
        </w:rPr>
        <w:t>2</w:t>
      </w:r>
      <w:r>
        <w:rPr>
          <w:rFonts w:hint="eastAsia" w:ascii="仿宋" w:hAnsi="仿宋" w:eastAsia="仿宋" w:cs="仿宋"/>
          <w:bCs/>
          <w:sz w:val="32"/>
        </w:rPr>
        <w:t>、部门单位内部控制制度不完善。</w:t>
      </w:r>
    </w:p>
    <w:p w14:paraId="13F18515">
      <w:pPr>
        <w:ind w:firstLine="640" w:firstLineChars="200"/>
        <w:rPr>
          <w:rFonts w:ascii="仿宋" w:hAnsi="仿宋" w:eastAsia="仿宋" w:cs="仿宋"/>
          <w:sz w:val="32"/>
        </w:rPr>
      </w:pPr>
      <w:r>
        <w:rPr>
          <w:rFonts w:hint="eastAsia" w:ascii="仿宋" w:hAnsi="仿宋" w:eastAsia="仿宋" w:cs="仿宋"/>
          <w:sz w:val="32"/>
        </w:rPr>
        <w:t>编制部门预算要求完整、科学、细化，目的是在各预算单位之间统一口径、公允分配，优化公共资源配置，共同提高公共财政的服务质量，促进公共财政效益的最大化。</w:t>
      </w:r>
    </w:p>
    <w:p w14:paraId="576FACCB">
      <w:pPr>
        <w:ind w:firstLine="643" w:firstLineChars="200"/>
        <w:rPr>
          <w:rFonts w:ascii="仿宋" w:hAnsi="仿宋" w:eastAsia="仿宋" w:cs="仿宋"/>
          <w:b/>
          <w:bCs/>
          <w:sz w:val="32"/>
        </w:rPr>
      </w:pPr>
      <w:r>
        <w:rPr>
          <w:rFonts w:ascii="仿宋" w:hAnsi="仿宋" w:eastAsia="仿宋" w:cs="仿宋"/>
          <w:b/>
          <w:bCs/>
          <w:sz w:val="32"/>
        </w:rPr>
        <w:t xml:space="preserve"> </w:t>
      </w:r>
      <w:r>
        <w:rPr>
          <w:rFonts w:hint="eastAsia" w:ascii="仿宋" w:hAnsi="仿宋" w:eastAsia="仿宋" w:cs="仿宋"/>
          <w:b/>
          <w:bCs/>
          <w:sz w:val="32"/>
        </w:rPr>
        <w:t>六、预算执行及预算管理改进建议</w:t>
      </w:r>
    </w:p>
    <w:p w14:paraId="32404E58">
      <w:pPr>
        <w:ind w:firstLine="640" w:firstLineChars="200"/>
        <w:rPr>
          <w:rFonts w:ascii="仿宋" w:hAnsi="仿宋" w:eastAsia="仿宋" w:cs="仿宋"/>
          <w:bCs/>
          <w:sz w:val="32"/>
        </w:rPr>
      </w:pPr>
      <w:r>
        <w:rPr>
          <w:rFonts w:ascii="仿宋" w:hAnsi="仿宋" w:eastAsia="仿宋" w:cs="仿宋"/>
          <w:bCs/>
          <w:sz w:val="32"/>
        </w:rPr>
        <w:t>1</w:t>
      </w:r>
      <w:r>
        <w:rPr>
          <w:rFonts w:hint="eastAsia" w:ascii="仿宋" w:hAnsi="仿宋" w:eastAsia="仿宋" w:cs="仿宋"/>
          <w:bCs/>
          <w:sz w:val="32"/>
        </w:rPr>
        <w:t>、增强预算编制的科学性和可行性。</w:t>
      </w:r>
    </w:p>
    <w:p w14:paraId="53B3E648">
      <w:pPr>
        <w:ind w:firstLine="640" w:firstLineChars="200"/>
        <w:rPr>
          <w:rFonts w:ascii="仿宋" w:hAnsi="仿宋" w:eastAsia="仿宋" w:cs="仿宋"/>
          <w:sz w:val="32"/>
        </w:rPr>
      </w:pPr>
      <w:r>
        <w:rPr>
          <w:rFonts w:hint="eastAsia" w:ascii="仿宋" w:hAnsi="仿宋" w:eastAsia="仿宋" w:cs="仿宋"/>
          <w:sz w:val="32"/>
        </w:rPr>
        <w:t>预算编制是预算执行的基础和依据，是严格预算执行的第一道关口。各部门预算单位编制年初预算要根据自身职能目标拟定，参考上年度预算执行情况、相关支出绩效评价结果和本年度的收支预测，按照规定程序多方征求意见。项目申报前期要进行充分的调查研究，严格论证项目实施的充分性和必要性，合理测算所需财政资金的多少，必须有足够的测算依据，准确评估财政资金投入使用的效益，提高预算编制的科学性。预算编制要实事求是，切实可行，要尽可能完整，要细化到项目及具体的事项。</w:t>
      </w:r>
    </w:p>
    <w:p w14:paraId="2A97BB59">
      <w:pPr>
        <w:ind w:firstLine="640" w:firstLineChars="200"/>
        <w:rPr>
          <w:rFonts w:ascii="仿宋" w:hAnsi="仿宋" w:eastAsia="仿宋" w:cs="仿宋"/>
          <w:sz w:val="32"/>
        </w:rPr>
      </w:pPr>
      <w:r>
        <w:rPr>
          <w:rFonts w:ascii="仿宋" w:hAnsi="仿宋" w:eastAsia="仿宋" w:cs="仿宋"/>
          <w:sz w:val="32"/>
        </w:rPr>
        <w:t>2</w:t>
      </w:r>
      <w:r>
        <w:rPr>
          <w:rFonts w:hint="eastAsia" w:ascii="仿宋" w:hAnsi="仿宋" w:eastAsia="仿宋" w:cs="仿宋"/>
          <w:sz w:val="32"/>
        </w:rPr>
        <w:t>、建立健全部门单位内部控制制度。</w:t>
      </w:r>
    </w:p>
    <w:p w14:paraId="192CEB1C">
      <w:pPr>
        <w:ind w:firstLine="640" w:firstLineChars="200"/>
        <w:rPr>
          <w:rFonts w:ascii="仿宋" w:hAnsi="仿宋" w:eastAsia="仿宋" w:cs="仿宋"/>
          <w:sz w:val="32"/>
        </w:rPr>
      </w:pPr>
      <w:r>
        <w:rPr>
          <w:rFonts w:hint="eastAsia" w:ascii="仿宋" w:hAnsi="仿宋" w:eastAsia="仿宋" w:cs="仿宋"/>
          <w:sz w:val="32"/>
        </w:rPr>
        <w:t>为了严格预算执行，保障部门单位顺利履行行政管理职能，防范财务风险，确保财政资金使用安全，控制铺张浪费，必须建立健全内部控制制度。首先是要完善建章立制，内部控制不是局限在作用于财务管理层面，而是要建成一套环环相扣的动态监督机制，在全局业务运作过程中发挥作用。其次是要提高内部控制意识，认识到内部控制的重要性，让单位所有职工都参与到内部控制的执行中，营造出内部控制的氛围。再次要充分发挥内部审计在内部控制中的作用，重视事前审计，在事前提出建议供领导参考，提早纠正违法违规行为，以免造成重大损失。最后要实行关键岗位职工定期轮岗，形成职工的有序流动，防范风险。</w:t>
      </w:r>
    </w:p>
    <w:p w14:paraId="67EEC9D1">
      <w:pPr>
        <w:ind w:firstLine="643" w:firstLineChars="200"/>
        <w:rPr>
          <w:rFonts w:ascii="仿宋" w:hAnsi="仿宋" w:eastAsia="仿宋" w:cs="仿宋"/>
          <w:b/>
          <w:sz w:val="32"/>
        </w:rPr>
      </w:pPr>
      <w:r>
        <w:rPr>
          <w:rFonts w:hint="eastAsia" w:ascii="仿宋" w:hAnsi="仿宋" w:eastAsia="仿宋" w:cs="仿宋"/>
          <w:b/>
          <w:sz w:val="32"/>
        </w:rPr>
        <w:t>七、项目绩效目标设定，绩效评价情况</w:t>
      </w:r>
    </w:p>
    <w:p w14:paraId="4904B19E">
      <w:pPr>
        <w:ind w:firstLine="640" w:firstLineChars="200"/>
        <w:rPr>
          <w:rFonts w:ascii="仿宋" w:hAnsi="仿宋" w:eastAsia="仿宋" w:cs="仿宋"/>
          <w:sz w:val="32"/>
        </w:rPr>
      </w:pPr>
      <w:r>
        <w:rPr>
          <w:rFonts w:hint="eastAsia" w:ascii="仿宋" w:hAnsi="仿宋" w:eastAsia="仿宋" w:cs="仿宋"/>
          <w:sz w:val="32"/>
        </w:rPr>
        <w:t>根据项目自身特点设定将绩效目标设定为产出指标与效果指标，产出指标下设数量指标、质量指标、成本指标、时效指标，反映工作活动设定目标的完成程度，由评价工作组结合被评价工作活动产出指标设置情况及业务情况进行细化，各项产出逐一评价，逐一确定分值。效果指标下设经济效益指标，评价该工作活动对当地经济发展所带来的直接或间接影响、社会效益指标，评价该工作活动对当地社会发展和社会稳定所带来的直接或间接影响、环境效益指标，评价该工作活动对当地自然生态环境所带来的直接或间接影响、可持续发展效益指标，通过发放问卷进行社会调查，评价受益群体及相关群体对该项工作活动的认可程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3784D"/>
    <w:multiLevelType w:val="multilevel"/>
    <w:tmpl w:val="3C13784D"/>
    <w:lvl w:ilvl="0" w:tentative="0">
      <w:start w:val="1"/>
      <w:numFmt w:val="decimal"/>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lMTgyOGNjMDcxMDExZTMzODViNzVhZTEyY2YxYjkifQ=="/>
  </w:docVars>
  <w:rsids>
    <w:rsidRoot w:val="00D21BEB"/>
    <w:rsid w:val="00000B50"/>
    <w:rsid w:val="00007E14"/>
    <w:rsid w:val="000C673D"/>
    <w:rsid w:val="000C68D7"/>
    <w:rsid w:val="000D378D"/>
    <w:rsid w:val="00104972"/>
    <w:rsid w:val="0014580D"/>
    <w:rsid w:val="001A683D"/>
    <w:rsid w:val="001B2AB5"/>
    <w:rsid w:val="001E3EDC"/>
    <w:rsid w:val="002C7CBF"/>
    <w:rsid w:val="00317C70"/>
    <w:rsid w:val="003F5F13"/>
    <w:rsid w:val="004514FE"/>
    <w:rsid w:val="00462F31"/>
    <w:rsid w:val="004B3DE1"/>
    <w:rsid w:val="004C693D"/>
    <w:rsid w:val="0053450D"/>
    <w:rsid w:val="005E7E01"/>
    <w:rsid w:val="007714F5"/>
    <w:rsid w:val="00A03145"/>
    <w:rsid w:val="00A81C9D"/>
    <w:rsid w:val="00AD7689"/>
    <w:rsid w:val="00BE0C0F"/>
    <w:rsid w:val="00BF33A5"/>
    <w:rsid w:val="00CB5964"/>
    <w:rsid w:val="00D10860"/>
    <w:rsid w:val="00D21BEB"/>
    <w:rsid w:val="00DD2668"/>
    <w:rsid w:val="00DF4124"/>
    <w:rsid w:val="00E412FB"/>
    <w:rsid w:val="00EF2A1C"/>
    <w:rsid w:val="13C622F6"/>
    <w:rsid w:val="411A03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semiHidden/>
    <w:qFormat/>
    <w:locked/>
    <w:uiPriority w:val="99"/>
    <w:rPr>
      <w:rFonts w:cs="Times New Roman"/>
      <w:sz w:val="18"/>
      <w:szCs w:val="18"/>
    </w:rPr>
  </w:style>
  <w:style w:type="character" w:customStyle="1" w:styleId="7">
    <w:name w:val="Footer Char"/>
    <w:basedOn w:val="5"/>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9506</Words>
  <Characters>9953</Characters>
  <Lines>0</Lines>
  <Paragraphs>0</Paragraphs>
  <TotalTime>314</TotalTime>
  <ScaleCrop>false</ScaleCrop>
  <LinksUpToDate>false</LinksUpToDate>
  <CharactersWithSpaces>10003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2020-12-09T00:54:00Z</dcterms:created>
  <dc:creator>Administrator</dc:creator>
  <cp:lastModifiedBy>早开的晚霞。</cp:lastModifiedBy>
  <dcterms:modified xsi:type="dcterms:W3CDTF">2024-09-08T06:41:33Z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58E4E68E1C8D461AA6CC2CB7FF452B55_12</vt:lpwstr>
  </property>
</Properties>
</file>