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1EA6E">
      <w:pPr>
        <w:widowControl w:val="0"/>
        <w:spacing w:before="0" w:after="0" w:line="400" w:lineRule="auto"/>
        <w:ind w:left="0" w:right="0" w:firstLine="0"/>
        <w:jc w:val="left"/>
        <w:rPr>
          <w:rFonts w:ascii="仿宋" w:hAnsi="仿宋" w:eastAsia="仿宋" w:cs="仿宋"/>
          <w:color w:val="auto"/>
          <w:spacing w:val="0"/>
          <w:position w:val="0"/>
          <w:sz w:val="32"/>
          <w:shd w:val="clear" w:fill="FFFFFF"/>
        </w:rPr>
      </w:pPr>
      <w:bookmarkStart w:id="0" w:name="_GoBack"/>
      <w:bookmarkEnd w:id="0"/>
    </w:p>
    <w:p w14:paraId="3EF6BD0E">
      <w:pPr>
        <w:widowControl w:val="0"/>
        <w:spacing w:before="0" w:after="0" w:line="480" w:lineRule="auto"/>
        <w:ind w:left="0" w:right="0" w:firstLine="0"/>
        <w:jc w:val="left"/>
        <w:rPr>
          <w:rFonts w:ascii="宋体" w:hAnsi="宋体" w:eastAsia="宋体" w:cs="宋体"/>
          <w:b/>
          <w:color w:val="000000"/>
          <w:spacing w:val="0"/>
          <w:position w:val="0"/>
          <w:sz w:val="44"/>
          <w:shd w:val="clear" w:fill="FFFFFF"/>
        </w:rPr>
      </w:pPr>
      <w:r>
        <w:rPr>
          <w:rFonts w:ascii="仿宋" w:hAnsi="仿宋" w:eastAsia="仿宋" w:cs="仿宋"/>
          <w:color w:val="auto"/>
          <w:spacing w:val="0"/>
          <w:position w:val="0"/>
          <w:sz w:val="32"/>
          <w:shd w:val="clear" w:fill="FFFFFF"/>
        </w:rPr>
        <w:t>附件1：</w:t>
      </w:r>
    </w:p>
    <w:p w14:paraId="5235BC53">
      <w:pPr>
        <w:spacing w:before="0" w:after="0" w:line="480" w:lineRule="auto"/>
        <w:ind w:left="0" w:right="0" w:firstLine="0"/>
        <w:jc w:val="center"/>
        <w:rPr>
          <w:rFonts w:ascii="仿宋" w:hAnsi="仿宋" w:eastAsia="仿宋" w:cs="仿宋"/>
          <w:color w:val="auto"/>
          <w:spacing w:val="0"/>
          <w:position w:val="0"/>
          <w:sz w:val="32"/>
          <w:shd w:val="clear" w:fill="auto"/>
        </w:rPr>
      </w:pPr>
      <w:r>
        <w:rPr>
          <w:rFonts w:ascii="宋体" w:hAnsi="宋体" w:eastAsia="宋体" w:cs="宋体"/>
          <w:b/>
          <w:color w:val="auto"/>
          <w:spacing w:val="0"/>
          <w:position w:val="0"/>
          <w:sz w:val="44"/>
          <w:shd w:val="clear" w:fill="auto"/>
        </w:rPr>
        <w:t>部门整体支出绩效评价</w:t>
      </w:r>
      <w:r>
        <w:rPr>
          <w:rFonts w:ascii="宋体" w:hAnsi="宋体" w:eastAsia="宋体" w:cs="宋体"/>
          <w:b/>
          <w:color w:val="000000"/>
          <w:spacing w:val="0"/>
          <w:position w:val="0"/>
          <w:sz w:val="44"/>
          <w:shd w:val="clear" w:fill="FFFFFF"/>
        </w:rPr>
        <w:t>指标体系评分表</w:t>
      </w:r>
    </w:p>
    <w:tbl>
      <w:tblPr>
        <w:tblStyle w:val="2"/>
        <w:tblW w:w="0" w:type="auto"/>
        <w:tblInd w:w="0" w:type="dxa"/>
        <w:tblLayout w:type="autofit"/>
        <w:tblCellMar>
          <w:top w:w="0" w:type="dxa"/>
          <w:left w:w="10" w:type="dxa"/>
          <w:bottom w:w="0" w:type="dxa"/>
          <w:right w:w="10" w:type="dxa"/>
        </w:tblCellMar>
      </w:tblPr>
      <w:tblGrid>
        <w:gridCol w:w="846"/>
        <w:gridCol w:w="846"/>
        <w:gridCol w:w="1163"/>
        <w:gridCol w:w="2898"/>
        <w:gridCol w:w="2085"/>
        <w:gridCol w:w="684"/>
      </w:tblGrid>
      <w:tr w14:paraId="60E7235B">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0013B6">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AEE75F">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二级指标</w:t>
            </w:r>
          </w:p>
        </w:tc>
        <w:tc>
          <w:tcPr>
            <w:tcW w:w="471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7743C2">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三级指标</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FD09E9">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评分标准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E48D6E">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得分</w:t>
            </w:r>
          </w:p>
        </w:tc>
      </w:tr>
      <w:tr w14:paraId="58BB93AC">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C2E506">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C2B9B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4CD8F7">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指标名称</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FCA953">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指标解释说明</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365B01">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EF7F4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r>
      <w:tr w14:paraId="4B7EA441">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AE9303">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投入（</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3CED6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绩效目标设定情况</w:t>
            </w:r>
          </w:p>
          <w:p w14:paraId="01D7CA9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5C802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职责明确</w:t>
            </w:r>
            <w:r>
              <w:rPr>
                <w:rFonts w:ascii="仿宋_GB2312" w:hAnsi="仿宋_GB2312" w:eastAsia="仿宋_GB2312" w:cs="仿宋_GB2312"/>
                <w:color w:val="auto"/>
                <w:spacing w:val="0"/>
                <w:position w:val="0"/>
                <w:sz w:val="21"/>
                <w:shd w:val="clear" w:fill="auto"/>
              </w:rPr>
              <w:t xml:space="preserve"> </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DD7A0A">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部门的职责设定是否符合“三定”方案中所赋予的职责，用以反映和评价部门工作的目的性与计划性。</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1662D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2DABD72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2DA3E8">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14:paraId="4679557E">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9CF1F4">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17DA06">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CF7C6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活动合规性（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1FDBD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部门的活动是否在职责范围之内并符合部门中长期规划，用以反映和评价部门活动目标与部门履职、年度工作任务的相符性情况。</w:t>
            </w:r>
          </w:p>
          <w:p w14:paraId="5ADD22D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70DB13C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部门活动的设定在部门所确定的职责范围之内；</w:t>
            </w:r>
          </w:p>
          <w:p w14:paraId="4BEB6C77">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部门活动符合市委、市政府的发展规划及本部门的年度工作安排与发展规划。</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35307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5B603DE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77FE8C">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278752B3">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185B33">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79332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E51784">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活动合理性（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58C3C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部门所设立的活动是否明确合理、活动的关键性指标设置是否可衡量，用以反映和评价部门活动目标设定的合理性。</w:t>
            </w:r>
          </w:p>
          <w:p w14:paraId="2BC8D7D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0530F87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活动目标的设定是可量化的，可通过清晰、可衡量的关键指标值予以体现；</w:t>
            </w:r>
          </w:p>
          <w:p w14:paraId="10B98479">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在活动目标设定时，将关键指标明细分解为具体的达成目标与工作任务。</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41928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5AD5C42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92DA73">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0017B844">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7382C8">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23490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预算配置情况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CB235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83956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部门本年度实际在职人员数与编制数的比率，用以反映和评价部门对人员成本的控制程度。</w:t>
            </w:r>
          </w:p>
          <w:p w14:paraId="20BAC12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（在职人员数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编制数）×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103057A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在职人员数：部门实际在职人数，以财政部确定的部门决算编制口径为准，由编制部门和人劳部门批复同意的临聘人员除外。</w:t>
            </w:r>
          </w:p>
          <w:p w14:paraId="0C6951F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编制数：机构编制部门核定批复的部门人员编制数。</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BBA71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在职人员控制率小于或等于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4AC9D43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在职人员控制率大于或等于</w:t>
            </w:r>
            <w:r>
              <w:rPr>
                <w:rFonts w:ascii="仿宋_GB2312" w:hAnsi="仿宋_GB2312" w:eastAsia="仿宋_GB2312" w:cs="仿宋_GB2312"/>
                <w:color w:val="auto"/>
                <w:spacing w:val="0"/>
                <w:position w:val="0"/>
                <w:sz w:val="21"/>
                <w:shd w:val="clear" w:fill="auto"/>
              </w:rPr>
              <w:t>115%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026E71E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100%-115%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14:paraId="7D9A0D7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（在职人员控制率）－某部门在职人员控制率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25AB63">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14:paraId="23F7CCD4">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04C50E">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E57C0E">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7780DC">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“三公经费”变动率（2分）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8CE797">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“三公经费”：年度预算安排的因公出国（境）费、公务车辆购置及运行费和公务招待费。</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309DB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-5%</w:t>
            </w:r>
            <w:r>
              <w:rPr>
                <w:rFonts w:ascii="仿宋" w:hAnsi="仿宋" w:eastAsia="仿宋" w:cs="仿宋"/>
                <w:color w:val="auto"/>
                <w:spacing w:val="0"/>
                <w:position w:val="0"/>
                <w:sz w:val="21"/>
                <w:shd w:val="clear" w:fill="auto"/>
              </w:rPr>
              <w:t>的，得满分；</w:t>
            </w:r>
          </w:p>
          <w:p w14:paraId="34444C0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10%</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14:paraId="3713B25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-5%-10%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14:paraId="1185C856">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84F105">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61D75D73">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5FDECB">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4DEF11">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85F49B">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重点支出安排率（2分）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28B544">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部门本年度预算安排的重点项目支出与部门项目总支出的比率，用以反映和考核部门对履行主要职责或完成重点任务的保障程度。重点支出安排率=（重点项目支出/项目总支出）×100%。</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项目总支出：部门（单位）年度预算安排的项目支出总额。</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16938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95%</w:t>
            </w:r>
            <w:r>
              <w:rPr>
                <w:rFonts w:ascii="仿宋" w:hAnsi="仿宋" w:eastAsia="仿宋" w:cs="仿宋"/>
                <w:color w:val="auto"/>
                <w:spacing w:val="0"/>
                <w:position w:val="0"/>
                <w:sz w:val="21"/>
                <w:shd w:val="clear" w:fill="auto"/>
              </w:rPr>
              <w:t>的，得满分；</w:t>
            </w:r>
          </w:p>
          <w:p w14:paraId="6366CBC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85%</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14:paraId="46EEC32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在</w:t>
            </w:r>
            <w:r>
              <w:rPr>
                <w:rFonts w:ascii="仿宋_GB2312" w:hAnsi="仿宋_GB2312" w:eastAsia="仿宋_GB2312" w:cs="仿宋_GB2312"/>
                <w:color w:val="auto"/>
                <w:spacing w:val="0"/>
                <w:position w:val="0"/>
                <w:sz w:val="21"/>
                <w:shd w:val="clear" w:fill="auto"/>
              </w:rPr>
              <w:t>85%-95%</w:t>
            </w:r>
            <w:r>
              <w:rPr>
                <w:rFonts w:ascii="仿宋" w:hAnsi="仿宋" w:eastAsia="仿宋" w:cs="仿宋"/>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分和满分之间计算确定：</w:t>
            </w:r>
          </w:p>
          <w:p w14:paraId="2DF8676D">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w:t>
            </w:r>
            <w:r>
              <w:rPr>
                <w:rFonts w:ascii="仿宋" w:hAnsi="仿宋" w:eastAsia="仿宋" w:cs="仿宋"/>
                <w:color w:val="000000"/>
                <w:spacing w:val="0"/>
                <w:position w:val="0"/>
                <w:sz w:val="21"/>
                <w:shd w:val="clear" w:fill="auto"/>
              </w:rPr>
              <w:t>重点支出安排率</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A0D4B5">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2FD1292A">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260D4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过程</w:t>
            </w:r>
            <w:r>
              <w:rPr>
                <w:rFonts w:ascii="仿宋_GB2312" w:hAnsi="仿宋_GB2312" w:eastAsia="仿宋_GB2312" w:cs="仿宋_GB2312"/>
                <w:color w:val="auto"/>
                <w:spacing w:val="0"/>
                <w:position w:val="0"/>
                <w:sz w:val="21"/>
                <w:shd w:val="clear" w:fill="auto"/>
              </w:rPr>
              <w:t>(45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F47CA6">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预算执行情况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9E060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B6C1C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通过对部门本年度预算完成数与预算数的比较，反映和评价部门预算的完成程度。</w:t>
            </w:r>
          </w:p>
          <w:p w14:paraId="7B2A7BD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（预算完成数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AC0B1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预算完成率大于或等于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14:paraId="39FEEA0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预算完成率小于或等于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43D225D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预算完成率在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14:paraId="64C89FD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6BC864">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50357DF5">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E0C54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F83DF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5CA5A2">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3C82A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部门本年度预算调整数与预算数的比率，用以反映和评价部门预算的调整程度。</w:t>
            </w:r>
          </w:p>
          <w:p w14:paraId="0EB6ADA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（预算调整数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32076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预算调整率等于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r>
              <w:rPr>
                <w:rFonts w:ascii="仿宋_GB2312" w:hAnsi="仿宋_GB2312" w:eastAsia="仿宋_GB2312" w:cs="仿宋_GB2312"/>
                <w:color w:val="auto"/>
                <w:spacing w:val="0"/>
                <w:position w:val="0"/>
                <w:sz w:val="21"/>
                <w:shd w:val="clear" w:fill="auto"/>
              </w:rPr>
              <w:t xml:space="preserve"> </w:t>
            </w:r>
          </w:p>
          <w:p w14:paraId="133462C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预算调整率大于或等于</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16CFF36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预算调整率在</w:t>
            </w:r>
            <w:r>
              <w:rPr>
                <w:rFonts w:ascii="仿宋_GB2312" w:hAnsi="仿宋_GB2312" w:eastAsia="仿宋_GB2312" w:cs="仿宋_GB2312"/>
                <w:color w:val="auto"/>
                <w:spacing w:val="0"/>
                <w:position w:val="0"/>
                <w:sz w:val="21"/>
                <w:shd w:val="clear" w:fill="auto"/>
              </w:rPr>
              <w:t>0-10%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分和满分之间确定：</w:t>
            </w:r>
          </w:p>
          <w:p w14:paraId="0CE01B1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（预算调整率）］×该指标分值。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E99BBF">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14:paraId="07D360A1">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C70288">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D60EBF">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B148B3">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支付进度率</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65C52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部门年度支付数与年度任务数的比率，用以反映和评价部门预算执行的及时和均衡程度。</w:t>
            </w:r>
          </w:p>
          <w:p w14:paraId="36635DC3">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支付进度率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24097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按年度的执行情况进行打分。得分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年度任务数×该指标分值。</w:t>
            </w:r>
          </w:p>
          <w:p w14:paraId="3F4C49F5">
            <w:pPr>
              <w:widowControl w:val="0"/>
              <w:spacing w:before="0" w:after="0" w:line="240" w:lineRule="auto"/>
              <w:ind w:left="0" w:right="0" w:firstLine="0"/>
              <w:jc w:val="left"/>
              <w:rPr>
                <w:color w:val="auto"/>
                <w:spacing w:val="0"/>
                <w:position w:val="0"/>
                <w:shd w:val="clear" w:fill="auto"/>
              </w:rPr>
            </w:pP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249B30">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28D60993">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9ADB0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69BBC3">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F279B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9484D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通过对部门本年度结转结余总额与支出预算数的比较，反映和评价部门对本年度结转结余资金的实际控制程度。</w:t>
            </w:r>
          </w:p>
          <w:p w14:paraId="091BF4F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（结转结余总额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支出预算数）×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35581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结转结余率等于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p>
          <w:p w14:paraId="207F9AB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结转结余率大于或等于</w:t>
            </w:r>
            <w:r>
              <w:rPr>
                <w:rFonts w:ascii="仿宋_GB2312" w:hAnsi="仿宋_GB2312" w:eastAsia="仿宋_GB2312" w:cs="仿宋_GB2312"/>
                <w:color w:val="auto"/>
                <w:spacing w:val="0"/>
                <w:position w:val="0"/>
                <w:sz w:val="21"/>
                <w:shd w:val="clear" w:fill="auto"/>
              </w:rPr>
              <w:t>50%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0D742B0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结转结余率在</w:t>
            </w:r>
            <w:r>
              <w:rPr>
                <w:rFonts w:ascii="仿宋_GB2312" w:hAnsi="仿宋_GB2312" w:eastAsia="仿宋_GB2312" w:cs="仿宋_GB2312"/>
                <w:color w:val="auto"/>
                <w:spacing w:val="0"/>
                <w:position w:val="0"/>
                <w:sz w:val="21"/>
                <w:shd w:val="clear" w:fill="auto"/>
              </w:rPr>
              <w:t>0-50%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23B1773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（结转结余率）－某部门结转结余率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7FDB7F">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0AB1D4F0">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06EF84">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2751AD">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8FACA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45059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通过对部门本年度实际支出的公用经费总额与预算安排的公用经费总额的比率，反映和评价部门对机构运转成本的实际控制程度。</w:t>
            </w:r>
          </w:p>
          <w:p w14:paraId="7D7FF25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（实际支出公用经费总额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预算安排公用经费总额）×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B56EF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公用经费控制率小于或等于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7E00194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公用经费控制率大于或等于</w:t>
            </w:r>
            <w:r>
              <w:rPr>
                <w:rFonts w:ascii="仿宋_GB2312" w:hAnsi="仿宋_GB2312" w:eastAsia="仿宋_GB2312" w:cs="仿宋_GB2312"/>
                <w:color w:val="auto"/>
                <w:spacing w:val="0"/>
                <w:position w:val="0"/>
                <w:sz w:val="21"/>
                <w:shd w:val="clear" w:fill="auto"/>
              </w:rPr>
              <w:t>105%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3874FA1D">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公用经费控制率在</w:t>
            </w:r>
            <w:r>
              <w:rPr>
                <w:rFonts w:ascii="仿宋_GB2312" w:hAnsi="仿宋_GB2312" w:eastAsia="仿宋_GB2312" w:cs="仿宋_GB2312"/>
                <w:color w:val="auto"/>
                <w:spacing w:val="0"/>
                <w:position w:val="0"/>
                <w:sz w:val="21"/>
                <w:shd w:val="clear" w:fill="auto"/>
              </w:rPr>
              <w:t>100%-105%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0245A3C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（公用经费控制率）］×该指标分值。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750363">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30DA7EC4">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9DAC9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379506">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182873">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AC543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通过对部门本年度实际政府采购预算项目个数与政府采购预算项目个数的比较，反映和评价部门政府采购预算执行情况。</w:t>
            </w:r>
          </w:p>
          <w:p w14:paraId="78DBE3E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（实际政府采购预算项目个数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政府采购预算项目个数）×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40BF981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政府采购项目中非预算内安排的项目除外。</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55239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政府采购执行率等于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28871F1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政府采购执行率小于或等于</w:t>
            </w:r>
            <w:r>
              <w:rPr>
                <w:rFonts w:ascii="仿宋_GB2312" w:hAnsi="仿宋_GB2312" w:eastAsia="仿宋_GB2312" w:cs="仿宋_GB2312"/>
                <w:color w:val="auto"/>
                <w:spacing w:val="0"/>
                <w:position w:val="0"/>
                <w:sz w:val="21"/>
                <w:shd w:val="clear" w:fill="auto"/>
              </w:rPr>
              <w:t>90%</w:t>
            </w:r>
            <w:r>
              <w:rPr>
                <w:rFonts w:ascii="宋体" w:hAnsi="宋体" w:eastAsia="宋体" w:cs="宋体"/>
                <w:color w:val="auto"/>
                <w:spacing w:val="0"/>
                <w:position w:val="0"/>
                <w:sz w:val="21"/>
                <w:shd w:val="clear" w:fill="auto"/>
              </w:rPr>
              <w:t>的，</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44D21FED">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政府采购执行率在</w:t>
            </w:r>
            <w:r>
              <w:rPr>
                <w:rFonts w:ascii="仿宋_GB2312" w:hAnsi="仿宋_GB2312" w:eastAsia="仿宋_GB2312" w:cs="仿宋_GB2312"/>
                <w:color w:val="auto"/>
                <w:spacing w:val="0"/>
                <w:position w:val="0"/>
                <w:sz w:val="21"/>
                <w:shd w:val="clear" w:fill="auto"/>
              </w:rPr>
              <w:t>90%-100%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4B693A1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DA8EDF">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3C0F93A6">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994F6A">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CB5B0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预算管理情况</w:t>
            </w:r>
          </w:p>
          <w:p w14:paraId="5B16E3C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6C7C8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资金使用合规性（</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DCE40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部门使用预算资金是否符合相关的预算财务管理制度的规定，反映和评价部门预算资金的规范运行情况。</w:t>
            </w:r>
          </w:p>
          <w:p w14:paraId="745ED86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247EA64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符合国家财经法规和财务管理制度规定以及有关部门资金管理办法的规定；</w:t>
            </w:r>
          </w:p>
          <w:p w14:paraId="3313CD7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资金的拨付有完整的审批过程和手续；</w:t>
            </w:r>
          </w:p>
          <w:p w14:paraId="174D26D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项目的重大开支经过评估论证；</w:t>
            </w:r>
          </w:p>
          <w:p w14:paraId="202249C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符合部门预算批复的用途；</w:t>
            </w:r>
          </w:p>
          <w:p w14:paraId="2B6FD1F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不存在截留情况；</w:t>
            </w:r>
          </w:p>
          <w:p w14:paraId="71BC6DC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不存在挤占情况；</w:t>
            </w:r>
          </w:p>
          <w:p w14:paraId="5163D8A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7.</w:t>
            </w:r>
            <w:r>
              <w:rPr>
                <w:rFonts w:ascii="宋体" w:hAnsi="宋体" w:eastAsia="宋体" w:cs="宋体"/>
                <w:color w:val="auto"/>
                <w:spacing w:val="0"/>
                <w:position w:val="0"/>
                <w:sz w:val="21"/>
                <w:shd w:val="clear" w:fill="auto"/>
              </w:rPr>
              <w:t>不存在挪用情况；</w:t>
            </w:r>
          </w:p>
          <w:p w14:paraId="0C4663FB">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不存在虚列支出情况。</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8EDED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w:t>
            </w:r>
          </w:p>
          <w:p w14:paraId="46AF80E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符合其中七项（</w:t>
            </w: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w:t>
            </w:r>
          </w:p>
          <w:p w14:paraId="6E3A44E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符合其中六项（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14:paraId="55A0479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符合其中五项（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347244B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符合其中四项及以下（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66F2A2">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8</w:t>
            </w:r>
          </w:p>
        </w:tc>
      </w:tr>
      <w:tr w14:paraId="25A233EA">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DE606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072A21">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502AC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预决算信息公开性（</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5354F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部门是否按照政府信息公开有关规定公开相关预决算信息，用以反映和评价部门预决算管理的公开透明情况。</w:t>
            </w:r>
          </w:p>
          <w:p w14:paraId="335BAB2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预决算信息是指与部门预算、执行、决算、监督、绩效等管理相关的信息。</w:t>
            </w:r>
          </w:p>
          <w:p w14:paraId="1C34A43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4115D33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公开预决算信息；</w:t>
            </w:r>
          </w:p>
          <w:p w14:paraId="7B32DD2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按规定内容公开预决算信息；</w:t>
            </w:r>
          </w:p>
          <w:p w14:paraId="3BB106D4">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按规定时限公开预决算信息。</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4819C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14:paraId="5A3B82BD">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1CCC4BD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5893FB">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14:paraId="3A210A64">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D7119E">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571D3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9B34CC">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基础信息完善性</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4744B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部门基础信息是否完善，用以反映和评价基础信息对预算管理工作的支撑情况。</w:t>
            </w:r>
          </w:p>
          <w:p w14:paraId="7B2BDA7D">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1E22E5B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基本财务管理制度健全；</w:t>
            </w:r>
          </w:p>
          <w:p w14:paraId="3B7CB66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基础数据信息和会计信息资料真实；</w:t>
            </w:r>
          </w:p>
          <w:p w14:paraId="68930EC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基础数据信息和会计信息资料完整；</w:t>
            </w:r>
          </w:p>
          <w:p w14:paraId="4854B62A">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基础数据信息和会计信息资料准确。</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158AE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符合全部四项（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14:paraId="6196521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符合其中三项（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5531B84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6A15851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0AEF39">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44D741F4">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81243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8DCB8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0EFA22">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资产管理完整性（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82B43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部门的资产是否保存完整、使用合规、收入及时足额上缴，用以反映和评价部门资产运行情况。</w:t>
            </w:r>
          </w:p>
          <w:p w14:paraId="079DFA9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43334AE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资产保存完整；</w:t>
            </w:r>
          </w:p>
          <w:p w14:paraId="6A8985E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资产账务管理是否合规，</w:t>
            </w:r>
            <w:r>
              <w:rPr>
                <w:rFonts w:hint="eastAsia" w:ascii="宋体" w:hAnsi="宋体" w:eastAsia="宋体" w:cs="宋体"/>
                <w:color w:val="auto"/>
                <w:spacing w:val="0"/>
                <w:position w:val="0"/>
                <w:sz w:val="21"/>
                <w:shd w:val="clear" w:fill="auto"/>
                <w:lang w:eastAsia="zh-CN"/>
              </w:rPr>
              <w:t>账实相符</w:t>
            </w:r>
            <w:r>
              <w:rPr>
                <w:rFonts w:ascii="宋体" w:hAnsi="宋体" w:eastAsia="宋体" w:cs="宋体"/>
                <w:color w:val="auto"/>
                <w:spacing w:val="0"/>
                <w:position w:val="0"/>
                <w:sz w:val="21"/>
                <w:shd w:val="clear" w:fill="auto"/>
              </w:rPr>
              <w:t>；</w:t>
            </w:r>
          </w:p>
          <w:p w14:paraId="215394E2">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资产有偿使用及处置收入及时足额上缴。</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6565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符合全部三项（</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14:paraId="5872495D">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165D46C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符合其中一项（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7200506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符合零项（</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BC9341">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6A7434B6">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4BE9F8">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8DC1F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CAEB8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E4F0D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部门实际在用固定资产总额与所有固定资产总额的比率，用以反映和评价部门固定资产使用效率。</w:t>
            </w:r>
          </w:p>
          <w:p w14:paraId="29AE526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（实际在用固定资产总额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所有固定资产总额）×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C05A4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固定资产利用率大于或等于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14:paraId="37B195D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固定资产利用率小于或等于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4849181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固定资产利用率在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66420ED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1E0FB4">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14:paraId="3DC09D0B">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5F0C4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产出</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0279D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职责履行情况（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2F1A2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履职完成情况（</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128FCF">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根据年度主要任务分解表的具体任务，逐项评价任务量化指标完成情况、实施效果和责任制建立情况。用以反映和考核部门（单位）履职工作任务目标的完成情况。评价要点：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1.每项任务是否已制定了明确、具体、可量化、可衡量的绩效指标；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2.每项任务绩效指标的完成情况，是全部完成、基本完成、未完成，还是未实施；</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3.每项任务实施效果情况，是优秀、良好、一般，还是无效果；</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4.每项任务是否建立了目标责任制，是否落实到具体部门和人员负责。</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EDAADB">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根据不同部门履职的内容和特点，具体测算部门履职工作任务目标的完成情况。</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F98E60">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10</w:t>
            </w:r>
          </w:p>
        </w:tc>
      </w:tr>
      <w:tr w14:paraId="20D6F884">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36BDD5">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BAA234">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19177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项目完成质量达标率（</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E5B4F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部门已完成项目中质量达标项目个数占已完成项目个数的比率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用以反映和评价部门履职质量目标的实现程度。</w:t>
            </w:r>
          </w:p>
          <w:p w14:paraId="5A76D79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（已完成项目中质量达标项目个数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441F4D1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项目质量达标是指项目决算验收合格。</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24D45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项目质量达标率等于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1F5DEB2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项目质量达标率小于或等于</w:t>
            </w:r>
            <w:r>
              <w:rPr>
                <w:rFonts w:ascii="仿宋_GB2312" w:hAnsi="仿宋_GB2312" w:eastAsia="仿宋_GB2312" w:cs="仿宋_GB2312"/>
                <w:color w:val="auto"/>
                <w:spacing w:val="0"/>
                <w:position w:val="0"/>
                <w:sz w:val="21"/>
                <w:shd w:val="clear" w:fill="auto"/>
              </w:rPr>
              <w:t>99%</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55737EC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项目质量达标率在</w:t>
            </w:r>
            <w:r>
              <w:rPr>
                <w:rFonts w:ascii="仿宋_GB2312" w:hAnsi="仿宋_GB2312" w:eastAsia="仿宋_GB2312" w:cs="仿宋_GB2312"/>
                <w:color w:val="auto"/>
                <w:spacing w:val="0"/>
                <w:position w:val="0"/>
                <w:sz w:val="21"/>
                <w:shd w:val="clear" w:fill="auto"/>
              </w:rPr>
              <w:t>99%-100%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r>
              <w:rPr>
                <w:rFonts w:ascii="仿宋_GB2312" w:hAnsi="仿宋_GB2312" w:eastAsia="仿宋_GB2312" w:cs="仿宋_GB2312"/>
                <w:color w:val="auto"/>
                <w:spacing w:val="0"/>
                <w:position w:val="0"/>
                <w:sz w:val="21"/>
                <w:shd w:val="clear" w:fill="auto"/>
              </w:rPr>
              <w:t xml:space="preserve"> </w:t>
            </w:r>
          </w:p>
          <w:p w14:paraId="1F1BA35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B19398">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15</w:t>
            </w:r>
          </w:p>
        </w:tc>
      </w:tr>
      <w:tr w14:paraId="738FF165">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FD678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效果（</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10C9E8">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p>
          <w:p w14:paraId="50F89362">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履职效益情况</w:t>
            </w:r>
          </w:p>
          <w:p w14:paraId="5C0D2FF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E8AFBA">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经济效益</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359FCE">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部门及所属二级单位通过履行职责和预算安排支出项目的实施，对我市带来的经济影响。</w:t>
            </w:r>
          </w:p>
          <w:p w14:paraId="3A8E05D0">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1.通过部门所属企事业单位改革，促进了企事业单位效益增长情况；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2.通过预算支出项目的实施，促进了行业生产能力增长，从而带动行业经济效益增长；</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3.通过预算支出项目的实施，有效提高劳动效率，节约成本费用；</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4.通过预算支出项目的实施，降低了损耗，从而提高了生产效益；</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5.通过预算支出项目的实施，完善了突发情况的监测预警，保障了生产安全，降低了生产损失。</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2CAD6D">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根据不同部门履职的内容和特点，具体测算部门履职产生的经济效益。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37042C">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12375FED">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9E0DDB">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EE9C31">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73627B">
            <w:pPr>
              <w:widowControl w:val="0"/>
              <w:spacing w:before="0" w:after="0" w:line="24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社会效益（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2B0EA3">
            <w:pPr>
              <w:widowControl w:val="0"/>
              <w:spacing w:before="0" w:after="0" w:line="240" w:lineRule="auto"/>
              <w:ind w:left="0" w:right="0" w:firstLine="0"/>
              <w:jc w:val="both"/>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部门及所属二级单位履行职责对社会发展所带来的直接或间接影响。</w:t>
            </w:r>
          </w:p>
          <w:p w14:paraId="2CBB58CA">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1.通过部门所属企事业单位的改革，促进了企事业单位可持续发展，带动就业增长情况；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2.通过预算支出项目的实施，是否明显促进了行业精神文明建设；</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3.通过部门履职是否明显提高城乡居民生活水平，满足了人们日益增长的物质与文化生活需求；</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4.通过预算项目的实施，是否提高了劳动生产率，降低了劳动强度，促进了劳动人民的身心健康；</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5.通过部门履职行业形象是否得到了大大提升了，增强了部门影响力。</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509F5B">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根据不同部门履职的内容和特点，具体测算部门履职产生的社会效益。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687D0F">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6C43983C">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505822">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D5B18A">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ED8A18">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生态效益（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E199B5">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部门及所属二级单位履行职责对生态环境所带来的直接或间接影响。</w:t>
            </w:r>
          </w:p>
          <w:p w14:paraId="363F5EEB">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1.通过预算支出项目的实施，绿色、节能环保新技术的应用和推广，明显带动各环节的节能减排，也具有一定的环境效益；</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2.通过履职有效地控制虚假、伪劣、霉变等劣质产品进入市场，影响了人民生活质量，净化地市场环境；</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3.通过预算支出项目的实施，是否达到减少污染物排放；</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4.通过预算支出项目的实施，周围环境得到了整治，面貌得到了改善。</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5C068F">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根据不同部门履职的内容和特点，具体测算部门履职产生的生态效益。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686278">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68C86948">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359722">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E7D86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FBB7D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服务对象满意度（</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EE1635">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通过对部门（单位）的服务对象对部门履职效果的满意程度调查，反映和考核社会公众或服务对象对部门履职的满意度。</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116E58">
            <w:pPr>
              <w:widowControl w:val="0"/>
              <w:spacing w:before="0" w:after="0" w:line="240" w:lineRule="auto"/>
              <w:ind w:left="0" w:right="0" w:firstLine="0"/>
              <w:jc w:val="both"/>
              <w:rPr>
                <w:rFonts w:ascii="仿宋" w:hAnsi="仿宋" w:eastAsia="仿宋" w:cs="仿宋"/>
                <w:color w:val="auto"/>
                <w:spacing w:val="0"/>
                <w:position w:val="0"/>
                <w:sz w:val="21"/>
                <w:shd w:val="clear" w:fill="auto"/>
              </w:rPr>
            </w:pPr>
            <w:r>
              <w:rPr>
                <w:rFonts w:ascii="仿宋" w:hAnsi="仿宋" w:eastAsia="仿宋" w:cs="仿宋"/>
                <w:color w:val="auto"/>
                <w:spacing w:val="0"/>
                <w:position w:val="0"/>
                <w:sz w:val="21"/>
                <w:shd w:val="clear" w:fill="auto"/>
              </w:rPr>
              <w:t>按照满意度调查的优秀、良好、合格、不合格给予该项指标打分：</w:t>
            </w:r>
          </w:p>
          <w:p w14:paraId="24E6C993">
            <w:pPr>
              <w:widowControl w:val="0"/>
              <w:spacing w:before="0" w:after="0" w:line="240" w:lineRule="auto"/>
              <w:ind w:left="0" w:right="0" w:firstLine="0"/>
              <w:jc w:val="both"/>
              <w:rPr>
                <w:color w:val="auto"/>
                <w:spacing w:val="0"/>
                <w:position w:val="0"/>
                <w:shd w:val="clear" w:fill="auto"/>
              </w:rPr>
            </w:pPr>
            <w:r>
              <w:rPr>
                <w:rFonts w:ascii="仿宋" w:hAnsi="仿宋" w:eastAsia="仿宋" w:cs="仿宋"/>
                <w:color w:val="auto"/>
                <w:spacing w:val="0"/>
                <w:position w:val="0"/>
                <w:sz w:val="21"/>
                <w:shd w:val="clear" w:fill="auto"/>
              </w:rPr>
              <w:t>优秀（5）；良好（3）；合格（1）；不合格（0）。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029674">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bl>
    <w:p w14:paraId="25D3624B">
      <w:pPr>
        <w:spacing w:before="0" w:after="0" w:line="240" w:lineRule="auto"/>
        <w:ind w:left="0" w:right="0" w:firstLine="0"/>
        <w:jc w:val="both"/>
        <w:rPr>
          <w:rFonts w:ascii="仿宋" w:hAnsi="仿宋" w:eastAsia="仿宋" w:cs="仿宋"/>
          <w:color w:val="auto"/>
          <w:spacing w:val="0"/>
          <w:position w:val="0"/>
          <w:sz w:val="32"/>
          <w:shd w:val="clear" w:fill="auto"/>
        </w:rPr>
      </w:pPr>
    </w:p>
    <w:p w14:paraId="7E4988A4">
      <w:pPr>
        <w:spacing w:before="0" w:after="0" w:line="240" w:lineRule="auto"/>
        <w:ind w:left="0" w:right="0" w:firstLine="0"/>
        <w:jc w:val="both"/>
        <w:rPr>
          <w:rFonts w:ascii="仿宋" w:hAnsi="仿宋" w:eastAsia="仿宋" w:cs="仿宋"/>
          <w:b/>
          <w:color w:val="auto"/>
          <w:spacing w:val="0"/>
          <w:position w:val="0"/>
          <w:sz w:val="30"/>
          <w:shd w:val="clear" w:fill="auto"/>
        </w:rPr>
      </w:pPr>
    </w:p>
    <w:p w14:paraId="62971465">
      <w:pPr>
        <w:spacing w:before="0" w:after="0" w:line="240" w:lineRule="auto"/>
        <w:ind w:left="0" w:right="0" w:firstLine="0"/>
        <w:jc w:val="both"/>
        <w:rPr>
          <w:rFonts w:ascii="仿宋" w:hAnsi="仿宋" w:eastAsia="仿宋" w:cs="仿宋"/>
          <w:b/>
          <w:color w:val="auto"/>
          <w:spacing w:val="0"/>
          <w:position w:val="0"/>
          <w:sz w:val="30"/>
          <w:shd w:val="clear" w:fill="auto"/>
        </w:rPr>
      </w:pPr>
      <w:r>
        <w:rPr>
          <w:rFonts w:ascii="仿宋" w:hAnsi="仿宋" w:eastAsia="仿宋" w:cs="仿宋"/>
          <w:b/>
          <w:color w:val="auto"/>
          <w:spacing w:val="0"/>
          <w:position w:val="0"/>
          <w:sz w:val="30"/>
          <w:shd w:val="clear" w:fill="auto"/>
        </w:rPr>
        <w:t>部门整体支出绩效评价报告主要内容包括：</w:t>
      </w:r>
    </w:p>
    <w:p w14:paraId="1236D5C0">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基本概况。包括部门主要职责职能，组织架构、人员及资产情况、部门履职总体目标、年度整体绩效目标、工作任务，预算资金安排及资金支出情况。</w:t>
      </w:r>
    </w:p>
    <w:p w14:paraId="429B9E8A">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预算绩效管理开展及整体绩效实现情况。包括部门开展预算绩效管理情况、工作履行活动完成情况、实施履职活动产生的效果及社会公众或服务对象满意程度。</w:t>
      </w:r>
    </w:p>
    <w:p w14:paraId="16915ADA">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绩效评价的组织实施情况。包括评价对象绩效目标、绩效指标、评价标准和评价方法。</w:t>
      </w:r>
    </w:p>
    <w:p w14:paraId="2BCDF787">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各项绩效目标的实现程度及差异性原因分析。</w:t>
      </w:r>
    </w:p>
    <w:p w14:paraId="033E0A14">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存在问题、采取的纠偏措施及改进绩效管理建议。</w:t>
      </w:r>
    </w:p>
    <w:p w14:paraId="4C8D0272">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其他需要说明的问题。</w:t>
      </w:r>
    </w:p>
    <w:sectPr>
      <w:pgSz w:w="11906" w:h="16838"/>
      <w:pgMar w:top="794" w:right="1800" w:bottom="1134"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000000"/>
    <w:rsid w:val="12923A5B"/>
    <w:rsid w:val="13CF7498"/>
    <w:rsid w:val="3C2137AB"/>
    <w:rsid w:val="4B374738"/>
    <w:rsid w:val="5AC95396"/>
    <w:rsid w:val="62E53DAE"/>
    <w:rsid w:val="6BAE16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4953</Words>
  <Characters>5270</Characters>
  <TotalTime>4</TotalTime>
  <ScaleCrop>false</ScaleCrop>
  <LinksUpToDate>false</LinksUpToDate>
  <CharactersWithSpaces>5304</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2020-12-21T01:04:00Z</dcterms:created>
  <dc:creator>Administrator</dc:creator>
  <cp:lastModifiedBy>早开的晚霞。</cp:lastModifiedBy>
  <dcterms:modified xsi:type="dcterms:W3CDTF">2024-09-08T06:46:06Z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5CC9F900D0A24DEA9855D778340E8A98_12</vt:lpwstr>
  </property>
</Properties>
</file>