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ADCE7">
      <w:pPr>
        <w:spacing w:line="400" w:lineRule="auto"/>
        <w:jc w:val="left"/>
        <w:rPr>
          <w:rFonts w:ascii="仿宋" w:hAnsi="仿宋" w:eastAsia="仿宋" w:cs="仿宋"/>
          <w:sz w:val="32"/>
          <w:shd w:val="clear" w:color="auto" w:fill="FFFFFF"/>
        </w:rPr>
      </w:pPr>
      <w:bookmarkStart w:id="0" w:name="_GoBack"/>
      <w:bookmarkEnd w:id="0"/>
    </w:p>
    <w:p w14:paraId="7BE7DD24">
      <w:pPr>
        <w:spacing w:line="480" w:lineRule="auto"/>
        <w:jc w:val="left"/>
        <w:rPr>
          <w:rFonts w:ascii="宋体" w:hAnsi="宋体" w:eastAsia="宋体" w:cs="宋体"/>
          <w:b/>
          <w:color w:val="000000"/>
          <w:sz w:val="44"/>
          <w:shd w:val="clear" w:color="auto" w:fill="FFFFFF"/>
        </w:rPr>
      </w:pPr>
      <w:r>
        <w:rPr>
          <w:rFonts w:ascii="仿宋" w:hAnsi="仿宋" w:eastAsia="仿宋" w:cs="仿宋"/>
          <w:sz w:val="32"/>
          <w:shd w:val="clear" w:color="auto" w:fill="FFFFFF"/>
        </w:rPr>
        <w:t>附件1：</w:t>
      </w:r>
    </w:p>
    <w:p w14:paraId="1D70BEE6">
      <w:pPr>
        <w:spacing w:line="480" w:lineRule="auto"/>
        <w:jc w:val="center"/>
        <w:rPr>
          <w:rFonts w:ascii="仿宋" w:hAnsi="仿宋" w:eastAsia="仿宋" w:cs="仿宋"/>
          <w:sz w:val="32"/>
        </w:rPr>
      </w:pPr>
      <w:r>
        <w:rPr>
          <w:rFonts w:ascii="宋体" w:hAnsi="宋体" w:eastAsia="宋体" w:cs="宋体"/>
          <w:b/>
          <w:sz w:val="44"/>
        </w:rPr>
        <w:t>部门整体支出绩效评价</w:t>
      </w:r>
      <w:r>
        <w:rPr>
          <w:rFonts w:ascii="宋体" w:hAnsi="宋体" w:eastAsia="宋体" w:cs="宋体"/>
          <w:b/>
          <w:color w:val="000000"/>
          <w:sz w:val="44"/>
          <w:shd w:val="clear" w:color="auto" w:fill="FFFFFF"/>
        </w:rPr>
        <w:t>指标体系评分表</w:t>
      </w:r>
    </w:p>
    <w:tbl>
      <w:tblPr>
        <w:tblStyle w:val="2"/>
        <w:tblW w:w="0" w:type="auto"/>
        <w:tblInd w:w="98" w:type="dxa"/>
        <w:tblLayout w:type="autofit"/>
        <w:tblCellMar>
          <w:top w:w="0" w:type="dxa"/>
          <w:left w:w="10" w:type="dxa"/>
          <w:bottom w:w="0" w:type="dxa"/>
          <w:right w:w="10" w:type="dxa"/>
        </w:tblCellMar>
      </w:tblPr>
      <w:tblGrid>
        <w:gridCol w:w="846"/>
        <w:gridCol w:w="846"/>
        <w:gridCol w:w="1152"/>
        <w:gridCol w:w="2846"/>
        <w:gridCol w:w="2057"/>
        <w:gridCol w:w="677"/>
      </w:tblGrid>
      <w:tr w14:paraId="29DC7A3E">
        <w:tblPrEx>
          <w:tblCellMar>
            <w:top w:w="0" w:type="dxa"/>
            <w:left w:w="10" w:type="dxa"/>
            <w:bottom w:w="0" w:type="dxa"/>
            <w:right w:w="10"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4C0AF">
            <w:pPr>
              <w:jc w:val="center"/>
              <w:rPr>
                <w:rFonts w:ascii="宋体" w:hAnsi="宋体" w:eastAsia="宋体" w:cs="宋体"/>
              </w:rPr>
            </w:pPr>
            <w:r>
              <w:rPr>
                <w:rFonts w:ascii="宋体" w:hAnsi="宋体" w:eastAsia="宋体" w:cs="宋体"/>
                <w:b/>
                <w:sz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6110AB">
            <w:pPr>
              <w:jc w:val="center"/>
              <w:rPr>
                <w:rFonts w:ascii="宋体" w:hAnsi="宋体" w:eastAsia="宋体" w:cs="宋体"/>
              </w:rPr>
            </w:pPr>
            <w:r>
              <w:rPr>
                <w:rFonts w:ascii="宋体" w:hAnsi="宋体" w:eastAsia="宋体" w:cs="宋体"/>
                <w:b/>
                <w:sz w:val="24"/>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6606A">
            <w:pPr>
              <w:jc w:val="center"/>
              <w:rPr>
                <w:rFonts w:ascii="宋体" w:hAnsi="宋体" w:eastAsia="宋体" w:cs="宋体"/>
              </w:rPr>
            </w:pPr>
            <w:r>
              <w:rPr>
                <w:rFonts w:ascii="宋体" w:hAnsi="宋体" w:eastAsia="宋体" w:cs="宋体"/>
                <w:b/>
                <w:sz w:val="24"/>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418A1">
            <w:pPr>
              <w:jc w:val="center"/>
              <w:rPr>
                <w:rFonts w:ascii="宋体" w:hAnsi="宋体" w:eastAsia="宋体" w:cs="宋体"/>
              </w:rPr>
            </w:pPr>
            <w:r>
              <w:rPr>
                <w:rFonts w:ascii="宋体" w:hAnsi="宋体" w:eastAsia="宋体" w:cs="宋体"/>
                <w:b/>
                <w:sz w:val="24"/>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4D0C9A">
            <w:pPr>
              <w:jc w:val="left"/>
              <w:rPr>
                <w:rFonts w:ascii="宋体" w:hAnsi="宋体" w:eastAsia="宋体" w:cs="宋体"/>
              </w:rPr>
            </w:pPr>
            <w:r>
              <w:rPr>
                <w:rFonts w:ascii="宋体" w:hAnsi="宋体" w:eastAsia="宋体" w:cs="宋体"/>
                <w:b/>
                <w:sz w:val="24"/>
              </w:rPr>
              <w:t>得分</w:t>
            </w:r>
          </w:p>
        </w:tc>
      </w:tr>
      <w:tr w14:paraId="6426663B">
        <w:tblPrEx>
          <w:tblCellMar>
            <w:top w:w="0" w:type="dxa"/>
            <w:left w:w="10" w:type="dxa"/>
            <w:bottom w:w="0" w:type="dxa"/>
            <w:right w:w="10"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7042DB">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81AFA">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EE5F24">
            <w:pPr>
              <w:jc w:val="center"/>
              <w:rPr>
                <w:rFonts w:ascii="宋体" w:hAnsi="宋体" w:eastAsia="宋体" w:cs="宋体"/>
              </w:rPr>
            </w:pPr>
            <w:r>
              <w:rPr>
                <w:rFonts w:ascii="宋体" w:hAnsi="宋体" w:eastAsia="宋体" w:cs="宋体"/>
                <w:b/>
                <w:sz w:val="24"/>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223683">
            <w:pPr>
              <w:jc w:val="center"/>
              <w:rPr>
                <w:rFonts w:ascii="宋体" w:hAnsi="宋体" w:eastAsia="宋体" w:cs="宋体"/>
              </w:rPr>
            </w:pPr>
            <w:r>
              <w:rPr>
                <w:rFonts w:ascii="宋体" w:hAnsi="宋体" w:eastAsia="宋体" w:cs="宋体"/>
                <w:b/>
                <w:sz w:val="24"/>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45115E">
            <w:pPr>
              <w:spacing w:line="400" w:lineRule="auto"/>
              <w:jc w:val="left"/>
              <w:rPr>
                <w:rFonts w:ascii="宋体" w:hAnsi="宋体" w:eastAsia="宋体" w:cs="宋体"/>
                <w:sz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5CD978">
            <w:pPr>
              <w:spacing w:line="400" w:lineRule="auto"/>
              <w:jc w:val="left"/>
              <w:rPr>
                <w:rFonts w:ascii="宋体" w:hAnsi="宋体" w:eastAsia="宋体" w:cs="宋体"/>
                <w:sz w:val="22"/>
              </w:rPr>
            </w:pPr>
          </w:p>
        </w:tc>
      </w:tr>
      <w:tr w14:paraId="2AF76E66">
        <w:tblPrEx>
          <w:tblCellMar>
            <w:top w:w="0" w:type="dxa"/>
            <w:left w:w="10" w:type="dxa"/>
            <w:bottom w:w="0" w:type="dxa"/>
            <w:right w:w="10"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2AE81F">
            <w:pPr>
              <w:jc w:val="left"/>
            </w:pPr>
            <w:r>
              <w:rPr>
                <w:rFonts w:ascii="宋体" w:hAnsi="宋体" w:eastAsia="宋体" w:cs="宋体"/>
              </w:rPr>
              <w:t>投入（</w:t>
            </w:r>
            <w:r>
              <w:rPr>
                <w:rFonts w:ascii="仿宋_GB2312" w:hAnsi="仿宋_GB2312" w:eastAsia="仿宋_GB2312" w:cs="仿宋_GB2312"/>
              </w:rPr>
              <w:t>10</w:t>
            </w:r>
            <w:r>
              <w:rPr>
                <w:rFonts w:ascii="宋体" w:hAnsi="宋体" w:eastAsia="宋体" w:cs="宋体"/>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29E5D2">
            <w:pPr>
              <w:jc w:val="left"/>
              <w:rPr>
                <w:rFonts w:ascii="Calibri" w:hAnsi="Calibri" w:eastAsia="Calibri" w:cs="Calibri"/>
              </w:rPr>
            </w:pPr>
            <w:r>
              <w:rPr>
                <w:rFonts w:ascii="宋体" w:hAnsi="宋体" w:eastAsia="宋体" w:cs="宋体"/>
              </w:rPr>
              <w:t>绩效目标设定情况</w:t>
            </w:r>
          </w:p>
          <w:p w14:paraId="7CEFEC29">
            <w:pPr>
              <w:jc w:val="left"/>
            </w:pP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657EB">
            <w:pPr>
              <w:jc w:val="left"/>
            </w:pPr>
            <w:r>
              <w:rPr>
                <w:rFonts w:ascii="宋体" w:hAnsi="宋体" w:eastAsia="宋体" w:cs="宋体"/>
              </w:rPr>
              <w:t>职责明确</w:t>
            </w:r>
            <w:r>
              <w:rPr>
                <w:rFonts w:ascii="仿宋_GB2312" w:hAnsi="仿宋_GB2312" w:eastAsia="仿宋_GB2312" w:cs="仿宋_GB2312"/>
              </w:rPr>
              <w:t xml:space="preserve"> </w:t>
            </w:r>
            <w:r>
              <w:rPr>
                <w:rFonts w:ascii="宋体" w:hAnsi="宋体" w:eastAsia="宋体" w:cs="宋体"/>
              </w:rPr>
              <w:t>（</w:t>
            </w:r>
            <w:r>
              <w:rPr>
                <w:rFonts w:ascii="仿宋_GB2312" w:hAnsi="仿宋_GB2312" w:eastAsia="仿宋_GB2312" w:cs="仿宋_GB2312"/>
              </w:rPr>
              <w:t>1</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863EA8">
            <w:pPr>
              <w:jc w:val="left"/>
              <w:rPr>
                <w:rFonts w:ascii="宋体" w:hAnsi="宋体" w:eastAsia="宋体" w:cs="宋体"/>
              </w:rPr>
            </w:pPr>
            <w:r>
              <w:rPr>
                <w:rFonts w:ascii="宋体" w:hAnsi="宋体" w:eastAsia="宋体" w:cs="宋体"/>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1A81D">
            <w:pPr>
              <w:jc w:val="left"/>
              <w:rPr>
                <w:rFonts w:ascii="Calibri" w:hAnsi="Calibri" w:eastAsia="Calibri" w:cs="Calibri"/>
              </w:rPr>
            </w:pPr>
            <w:r>
              <w:rPr>
                <w:rFonts w:ascii="宋体" w:hAnsi="宋体" w:eastAsia="宋体" w:cs="宋体"/>
              </w:rPr>
              <w:t>符合（</w:t>
            </w:r>
            <w:r>
              <w:rPr>
                <w:rFonts w:ascii="仿宋_GB2312" w:hAnsi="仿宋_GB2312" w:eastAsia="仿宋_GB2312" w:cs="仿宋_GB2312"/>
              </w:rPr>
              <w:t>1</w:t>
            </w:r>
            <w:r>
              <w:rPr>
                <w:rFonts w:ascii="宋体" w:hAnsi="宋体" w:eastAsia="宋体" w:cs="宋体"/>
              </w:rPr>
              <w:t>）；</w:t>
            </w:r>
          </w:p>
          <w:p w14:paraId="3E1DE811">
            <w:pPr>
              <w:jc w:val="left"/>
            </w:pPr>
            <w:r>
              <w:rPr>
                <w:rFonts w:ascii="宋体" w:hAnsi="宋体" w:eastAsia="宋体" w:cs="宋体"/>
              </w:rPr>
              <w:t>不符合（</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8A0303">
            <w:pPr>
              <w:jc w:val="left"/>
              <w:rPr>
                <w:rFonts w:ascii="宋体" w:hAnsi="宋体" w:eastAsia="宋体" w:cs="宋体"/>
                <w:sz w:val="22"/>
              </w:rPr>
            </w:pPr>
            <w:r>
              <w:rPr>
                <w:rFonts w:ascii="宋体" w:hAnsi="宋体" w:eastAsia="宋体" w:cs="宋体"/>
                <w:sz w:val="22"/>
              </w:rPr>
              <w:t>1</w:t>
            </w:r>
          </w:p>
        </w:tc>
      </w:tr>
      <w:tr w14:paraId="78ADEBAF">
        <w:tblPrEx>
          <w:tblCellMar>
            <w:top w:w="0" w:type="dxa"/>
            <w:left w:w="10" w:type="dxa"/>
            <w:bottom w:w="0" w:type="dxa"/>
            <w:right w:w="10"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7F78BA">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2BC120">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75B00">
            <w:pPr>
              <w:jc w:val="left"/>
            </w:pPr>
            <w:r>
              <w:rPr>
                <w:rFonts w:ascii="宋体" w:hAnsi="宋体" w:eastAsia="宋体" w:cs="宋体"/>
              </w:rPr>
              <w:t>活动合规性（</w:t>
            </w:r>
            <w:r>
              <w:rPr>
                <w:rFonts w:ascii="仿宋_GB2312" w:hAnsi="仿宋_GB2312" w:eastAsia="仿宋_GB2312" w:cs="仿宋_GB2312"/>
              </w:rPr>
              <w:t>2</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A82CD5">
            <w:pPr>
              <w:jc w:val="left"/>
              <w:rPr>
                <w:rFonts w:ascii="Calibri" w:hAnsi="Calibri" w:eastAsia="Calibri" w:cs="Calibri"/>
              </w:rPr>
            </w:pPr>
            <w:r>
              <w:rPr>
                <w:rFonts w:ascii="宋体" w:hAnsi="宋体" w:eastAsia="宋体" w:cs="宋体"/>
              </w:rPr>
              <w:t>部门的活动是否在职责范围之内并符合部门中长期规划，用以反映和评价部门活动目标与部门履职、年度工作任务的相符性情况。</w:t>
            </w:r>
          </w:p>
          <w:p w14:paraId="62653C73">
            <w:pPr>
              <w:jc w:val="left"/>
              <w:rPr>
                <w:rFonts w:ascii="Calibri" w:hAnsi="Calibri" w:eastAsia="Calibri" w:cs="Calibri"/>
              </w:rPr>
            </w:pPr>
            <w:r>
              <w:rPr>
                <w:rFonts w:ascii="宋体" w:hAnsi="宋体" w:eastAsia="宋体" w:cs="宋体"/>
              </w:rPr>
              <w:t>评价要点：</w:t>
            </w:r>
          </w:p>
          <w:p w14:paraId="33DD6FE7">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部门活动的设定在部门所确定的职责范围之内；</w:t>
            </w:r>
          </w:p>
          <w:p w14:paraId="6BFFFF56">
            <w:pPr>
              <w:jc w:val="left"/>
            </w:pPr>
            <w:r>
              <w:rPr>
                <w:rFonts w:ascii="仿宋_GB2312" w:hAnsi="仿宋_GB2312" w:eastAsia="仿宋_GB2312" w:cs="仿宋_GB2312"/>
              </w:rPr>
              <w:t>2.</w:t>
            </w:r>
            <w:r>
              <w:rPr>
                <w:rFonts w:ascii="宋体" w:hAnsi="宋体" w:eastAsia="宋体" w:cs="宋体"/>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3E596">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2</w:t>
            </w:r>
            <w:r>
              <w:rPr>
                <w:rFonts w:ascii="宋体" w:hAnsi="宋体" w:eastAsia="宋体" w:cs="宋体"/>
              </w:rPr>
              <w:t>）；</w:t>
            </w:r>
          </w:p>
          <w:p w14:paraId="7ECF1D85">
            <w:pPr>
              <w:jc w:val="left"/>
            </w:pPr>
            <w:r>
              <w:rPr>
                <w:rFonts w:ascii="宋体" w:hAnsi="宋体" w:eastAsia="宋体" w:cs="宋体"/>
              </w:rPr>
              <w:t>其中一项不符合（</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55421">
            <w:pPr>
              <w:jc w:val="left"/>
              <w:rPr>
                <w:rFonts w:ascii="宋体" w:hAnsi="宋体" w:eastAsia="宋体" w:cs="宋体"/>
                <w:sz w:val="22"/>
              </w:rPr>
            </w:pPr>
            <w:r>
              <w:rPr>
                <w:rFonts w:ascii="宋体" w:hAnsi="宋体" w:eastAsia="宋体" w:cs="宋体"/>
                <w:sz w:val="22"/>
              </w:rPr>
              <w:t>2</w:t>
            </w:r>
          </w:p>
        </w:tc>
      </w:tr>
      <w:tr w14:paraId="7C83EC74">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6830AC">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145650">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B35803">
            <w:pPr>
              <w:jc w:val="left"/>
            </w:pPr>
            <w:r>
              <w:rPr>
                <w:rFonts w:ascii="宋体" w:hAnsi="宋体" w:eastAsia="宋体" w:cs="宋体"/>
              </w:rPr>
              <w:t>活动合理性（</w:t>
            </w:r>
            <w:r>
              <w:rPr>
                <w:rFonts w:ascii="仿宋_GB2312" w:hAnsi="仿宋_GB2312" w:eastAsia="仿宋_GB2312" w:cs="仿宋_GB2312"/>
              </w:rPr>
              <w:t>2</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EB915">
            <w:pPr>
              <w:jc w:val="left"/>
              <w:rPr>
                <w:rFonts w:ascii="Calibri" w:hAnsi="Calibri" w:eastAsia="Calibri" w:cs="Calibri"/>
              </w:rPr>
            </w:pPr>
            <w:r>
              <w:rPr>
                <w:rFonts w:ascii="宋体" w:hAnsi="宋体" w:eastAsia="宋体" w:cs="宋体"/>
              </w:rPr>
              <w:t>部门所设立的活动是否明确合理、活动的关键性指标设置是否可衡量，用以反映和评价部门活动目标设定的合理性。</w:t>
            </w:r>
          </w:p>
          <w:p w14:paraId="2183786B">
            <w:pPr>
              <w:jc w:val="left"/>
              <w:rPr>
                <w:rFonts w:ascii="Calibri" w:hAnsi="Calibri" w:eastAsia="Calibri" w:cs="Calibri"/>
              </w:rPr>
            </w:pPr>
            <w:r>
              <w:rPr>
                <w:rFonts w:ascii="宋体" w:hAnsi="宋体" w:eastAsia="宋体" w:cs="宋体"/>
              </w:rPr>
              <w:t>评价要点：</w:t>
            </w:r>
          </w:p>
          <w:p w14:paraId="37AAE0B4">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活动目标的设定是可量化的，可通过清晰、可衡量的关键指标值予以体现；</w:t>
            </w:r>
          </w:p>
          <w:p w14:paraId="3D8A98B0">
            <w:pPr>
              <w:jc w:val="left"/>
            </w:pPr>
            <w:r>
              <w:rPr>
                <w:rFonts w:ascii="仿宋_GB2312" w:hAnsi="仿宋_GB2312" w:eastAsia="仿宋_GB2312" w:cs="仿宋_GB2312"/>
              </w:rPr>
              <w:t>2.</w:t>
            </w:r>
            <w:r>
              <w:rPr>
                <w:rFonts w:ascii="宋体" w:hAnsi="宋体" w:eastAsia="宋体" w:cs="宋体"/>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AE644">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2</w:t>
            </w:r>
            <w:r>
              <w:rPr>
                <w:rFonts w:ascii="宋体" w:hAnsi="宋体" w:eastAsia="宋体" w:cs="宋体"/>
              </w:rPr>
              <w:t>）；</w:t>
            </w:r>
          </w:p>
          <w:p w14:paraId="2F20F1E6">
            <w:pPr>
              <w:jc w:val="left"/>
            </w:pPr>
            <w:r>
              <w:rPr>
                <w:rFonts w:ascii="宋体" w:hAnsi="宋体" w:eastAsia="宋体" w:cs="宋体"/>
              </w:rPr>
              <w:t>其中一项不符合（</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C92658">
            <w:pPr>
              <w:jc w:val="left"/>
              <w:rPr>
                <w:rFonts w:ascii="宋体" w:hAnsi="宋体" w:eastAsia="宋体" w:cs="宋体"/>
                <w:sz w:val="22"/>
              </w:rPr>
            </w:pPr>
            <w:r>
              <w:rPr>
                <w:rFonts w:ascii="宋体" w:hAnsi="宋体" w:eastAsia="宋体" w:cs="宋体"/>
                <w:sz w:val="22"/>
              </w:rPr>
              <w:t>2</w:t>
            </w:r>
          </w:p>
        </w:tc>
      </w:tr>
      <w:tr w14:paraId="11497B58">
        <w:tblPrEx>
          <w:tblCellMar>
            <w:top w:w="0" w:type="dxa"/>
            <w:left w:w="10" w:type="dxa"/>
            <w:bottom w:w="0" w:type="dxa"/>
            <w:right w:w="10"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AFEEBE">
            <w:pPr>
              <w:spacing w:line="400" w:lineRule="auto"/>
              <w:jc w:val="left"/>
              <w:rPr>
                <w:rFonts w:ascii="宋体" w:hAnsi="宋体" w:eastAsia="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3DEB6">
            <w:pPr>
              <w:jc w:val="left"/>
            </w:pPr>
            <w:r>
              <w:rPr>
                <w:rFonts w:ascii="宋体" w:hAnsi="宋体" w:eastAsia="宋体" w:cs="宋体"/>
              </w:rPr>
              <w:t>预算配置情况</w:t>
            </w:r>
            <w:r>
              <w:rPr>
                <w:rFonts w:ascii="仿宋_GB2312" w:hAnsi="仿宋_GB2312" w:eastAsia="仿宋_GB2312" w:cs="仿宋_GB2312"/>
              </w:rPr>
              <w:t>(5</w:t>
            </w:r>
            <w:r>
              <w:rPr>
                <w:rFonts w:ascii="宋体" w:hAnsi="宋体" w:eastAsia="宋体" w:cs="宋体"/>
              </w:rPr>
              <w:t>分</w:t>
            </w:r>
            <w:r>
              <w:rPr>
                <w:rFonts w:ascii="仿宋_GB2312" w:hAnsi="仿宋_GB2312" w:eastAsia="仿宋_GB2312" w:cs="仿宋_GB2312"/>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7B9EC8">
            <w:pPr>
              <w:jc w:val="left"/>
            </w:pPr>
            <w:r>
              <w:rPr>
                <w:rFonts w:ascii="宋体" w:hAnsi="宋体" w:eastAsia="宋体" w:cs="宋体"/>
              </w:rPr>
              <w:t>在职人员控制率（</w:t>
            </w:r>
            <w:r>
              <w:rPr>
                <w:rFonts w:ascii="仿宋_GB2312" w:hAnsi="仿宋_GB2312" w:eastAsia="仿宋_GB2312" w:cs="仿宋_GB2312"/>
              </w:rPr>
              <w:t>1</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6B33EA">
            <w:pPr>
              <w:jc w:val="left"/>
              <w:rPr>
                <w:rFonts w:ascii="Calibri" w:hAnsi="Calibri" w:eastAsia="Calibri" w:cs="Calibri"/>
              </w:rPr>
            </w:pPr>
            <w:r>
              <w:rPr>
                <w:rFonts w:ascii="宋体" w:hAnsi="宋体" w:eastAsia="宋体" w:cs="宋体"/>
              </w:rPr>
              <w:t>部门本年度实际在职人员数与编制数的比率，用以反映和评价部门对人员成本的控制程度。</w:t>
            </w:r>
          </w:p>
          <w:p w14:paraId="582EFD88">
            <w:pPr>
              <w:jc w:val="left"/>
              <w:rPr>
                <w:rFonts w:ascii="Calibri" w:hAnsi="Calibri" w:eastAsia="Calibri" w:cs="Calibri"/>
              </w:rPr>
            </w:pPr>
            <w:r>
              <w:rPr>
                <w:rFonts w:ascii="宋体" w:hAnsi="宋体" w:eastAsia="宋体" w:cs="宋体"/>
              </w:rPr>
              <w:t>在职人员控制率</w:t>
            </w:r>
            <w:r>
              <w:rPr>
                <w:rFonts w:ascii="仿宋_GB2312" w:hAnsi="仿宋_GB2312" w:eastAsia="仿宋_GB2312" w:cs="仿宋_GB2312"/>
              </w:rPr>
              <w:t>=</w:t>
            </w:r>
            <w:r>
              <w:rPr>
                <w:rFonts w:ascii="宋体" w:hAnsi="宋体" w:eastAsia="宋体" w:cs="宋体"/>
              </w:rPr>
              <w:t>（在职人员数</w:t>
            </w:r>
            <w:r>
              <w:rPr>
                <w:rFonts w:ascii="仿宋_GB2312" w:hAnsi="仿宋_GB2312" w:eastAsia="仿宋_GB2312" w:cs="仿宋_GB2312"/>
              </w:rPr>
              <w:t>/</w:t>
            </w:r>
            <w:r>
              <w:rPr>
                <w:rFonts w:ascii="宋体" w:hAnsi="宋体" w:eastAsia="宋体" w:cs="宋体"/>
              </w:rPr>
              <w:t>编制数）×</w:t>
            </w:r>
            <w:r>
              <w:rPr>
                <w:rFonts w:ascii="仿宋_GB2312" w:hAnsi="仿宋_GB2312" w:eastAsia="仿宋_GB2312" w:cs="仿宋_GB2312"/>
              </w:rPr>
              <w:t>100%</w:t>
            </w:r>
            <w:r>
              <w:rPr>
                <w:rFonts w:ascii="宋体" w:hAnsi="宋体" w:eastAsia="宋体" w:cs="宋体"/>
              </w:rPr>
              <w:t>。</w:t>
            </w:r>
          </w:p>
          <w:p w14:paraId="48030ED2">
            <w:pPr>
              <w:jc w:val="left"/>
              <w:rPr>
                <w:rFonts w:ascii="Calibri" w:hAnsi="Calibri" w:eastAsia="Calibri" w:cs="Calibri"/>
              </w:rPr>
            </w:pPr>
            <w:r>
              <w:rPr>
                <w:rFonts w:ascii="宋体" w:hAnsi="宋体" w:eastAsia="宋体" w:cs="宋体"/>
              </w:rPr>
              <w:t>在职人员数：部门实际在职人数，以财政部确定的部门决算编制口径为准，由编制部门和人劳部门批复同意的临聘人员除外。</w:t>
            </w:r>
          </w:p>
          <w:p w14:paraId="1C12A824">
            <w:pPr>
              <w:jc w:val="left"/>
            </w:pPr>
            <w:r>
              <w:rPr>
                <w:rFonts w:ascii="宋体" w:hAnsi="宋体" w:eastAsia="宋体" w:cs="宋体"/>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BEB59B">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在职人员控制率小于或等于</w:t>
            </w:r>
            <w:r>
              <w:rPr>
                <w:rFonts w:ascii="仿宋_GB2312" w:hAnsi="仿宋_GB2312" w:eastAsia="仿宋_GB2312" w:cs="仿宋_GB2312"/>
              </w:rPr>
              <w:t>100%</w:t>
            </w:r>
            <w:r>
              <w:rPr>
                <w:rFonts w:ascii="宋体" w:hAnsi="宋体" w:eastAsia="宋体" w:cs="宋体"/>
              </w:rPr>
              <w:t>的，得满分；</w:t>
            </w:r>
          </w:p>
          <w:p w14:paraId="4C657E57">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在职人员控制率大于或等于</w:t>
            </w:r>
            <w:r>
              <w:rPr>
                <w:rFonts w:ascii="仿宋_GB2312" w:hAnsi="仿宋_GB2312" w:eastAsia="仿宋_GB2312" w:cs="仿宋_GB2312"/>
              </w:rPr>
              <w:t>115%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14:paraId="67A051A6">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在职人员控制率在</w:t>
            </w:r>
            <w:r>
              <w:rPr>
                <w:rFonts w:ascii="仿宋_GB2312" w:hAnsi="仿宋_GB2312" w:eastAsia="仿宋_GB2312" w:cs="仿宋_GB2312"/>
              </w:rPr>
              <w:t>100%-115%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14:paraId="050795BA">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（在职人员控制率）－某部门在职人员控制率</w:t>
            </w:r>
            <w:r>
              <w:rPr>
                <w:rFonts w:ascii="仿宋_GB2312" w:hAnsi="仿宋_GB2312" w:eastAsia="仿宋_GB2312" w:cs="仿宋_GB2312"/>
              </w:rPr>
              <w:t>]/[max</w:t>
            </w:r>
            <w:r>
              <w:rPr>
                <w:rFonts w:ascii="宋体" w:hAnsi="宋体" w:eastAsia="宋体" w:cs="宋体"/>
              </w:rPr>
              <w:t>（在职人员控制率）－</w:t>
            </w:r>
            <w:r>
              <w:rPr>
                <w:rFonts w:ascii="仿宋_GB2312" w:hAnsi="仿宋_GB2312" w:eastAsia="仿宋_GB2312" w:cs="仿宋_GB2312"/>
              </w:rPr>
              <w:t>min</w:t>
            </w:r>
            <w:r>
              <w:rPr>
                <w:rFonts w:ascii="宋体" w:hAnsi="宋体" w:eastAsia="宋体" w:cs="宋体"/>
              </w:rPr>
              <w:t>（在职人员控制率）</w:t>
            </w:r>
            <w:r>
              <w:rPr>
                <w:rFonts w:ascii="仿宋_GB2312" w:hAnsi="仿宋_GB2312" w:eastAsia="仿宋_GB2312" w:cs="仿宋_GB2312"/>
              </w:rPr>
              <w:t>]</w:t>
            </w:r>
            <w:r>
              <w:rPr>
                <w:rFonts w:ascii="宋体" w:hAnsi="宋体" w:eastAsia="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748A6B">
            <w:pPr>
              <w:jc w:val="left"/>
              <w:rPr>
                <w:rFonts w:ascii="宋体" w:hAnsi="宋体" w:eastAsia="宋体" w:cs="宋体"/>
                <w:sz w:val="22"/>
              </w:rPr>
            </w:pPr>
            <w:r>
              <w:rPr>
                <w:rFonts w:ascii="宋体" w:hAnsi="宋体" w:eastAsia="宋体" w:cs="宋体"/>
                <w:sz w:val="22"/>
              </w:rPr>
              <w:t>1</w:t>
            </w:r>
          </w:p>
        </w:tc>
      </w:tr>
      <w:tr w14:paraId="59F7E718">
        <w:tblPrEx>
          <w:tblCellMar>
            <w:top w:w="0" w:type="dxa"/>
            <w:left w:w="10" w:type="dxa"/>
            <w:bottom w:w="0" w:type="dxa"/>
            <w:right w:w="10" w:type="dxa"/>
          </w:tblCellMar>
        </w:tblPrEx>
        <w:trPr>
          <w:trHeight w:val="45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0EBDD">
            <w:pPr>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CB52A7">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6C2DF1">
            <w:pPr>
              <w:jc w:val="left"/>
            </w:pPr>
            <w:r>
              <w:rPr>
                <w:rFonts w:ascii="仿宋" w:hAnsi="仿宋" w:eastAsia="仿宋" w:cs="仿宋"/>
                <w:color w:val="000000"/>
              </w:rPr>
              <w:t>“三公经费”变动率（2分）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D89CA">
            <w:pPr>
              <w:jc w:val="left"/>
            </w:pPr>
            <w:r>
              <w:rPr>
                <w:rFonts w:ascii="仿宋" w:hAnsi="仿宋" w:eastAsia="仿宋" w:cs="仿宋"/>
                <w:color w:val="000000"/>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仿宋" w:hAnsi="仿宋" w:eastAsia="仿宋" w:cs="仿宋"/>
                <w:color w:val="000000"/>
              </w:rPr>
              <w:br w:type="textWrapping"/>
            </w:r>
            <w:r>
              <w:rPr>
                <w:rFonts w:ascii="仿宋" w:hAnsi="仿宋" w:eastAsia="仿宋" w:cs="仿宋"/>
                <w:color w:val="000000"/>
              </w:rPr>
              <w:t>“三公经费”：年度预算安排的因公出国（境）费、公务车辆购置及运行费和公务招待费。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DDA143">
            <w:pPr>
              <w:jc w:val="left"/>
              <w:rPr>
                <w:rFonts w:ascii="Calibri" w:hAnsi="Calibri" w:eastAsia="Calibri" w:cs="Calibri"/>
              </w:rPr>
            </w:pPr>
            <w:r>
              <w:rPr>
                <w:rFonts w:ascii="仿宋_GB2312" w:hAnsi="仿宋_GB2312" w:eastAsia="仿宋_GB2312" w:cs="仿宋_GB2312"/>
              </w:rPr>
              <w:t>1.</w:t>
            </w:r>
            <w:r>
              <w:rPr>
                <w:rFonts w:ascii="仿宋" w:hAnsi="仿宋" w:eastAsia="仿宋" w:cs="仿宋"/>
                <w:color w:val="000000"/>
              </w:rPr>
              <w:t>“三公经费”变动率</w:t>
            </w:r>
            <w:r>
              <w:rPr>
                <w:rFonts w:ascii="仿宋" w:hAnsi="仿宋" w:eastAsia="仿宋" w:cs="仿宋"/>
              </w:rPr>
              <w:t>小于或等于</w:t>
            </w:r>
            <w:r>
              <w:rPr>
                <w:rFonts w:ascii="仿宋_GB2312" w:hAnsi="仿宋_GB2312" w:eastAsia="仿宋_GB2312" w:cs="仿宋_GB2312"/>
              </w:rPr>
              <w:t>-5%</w:t>
            </w:r>
            <w:r>
              <w:rPr>
                <w:rFonts w:ascii="仿宋" w:hAnsi="仿宋" w:eastAsia="仿宋" w:cs="仿宋"/>
              </w:rPr>
              <w:t>的，得满分；</w:t>
            </w:r>
          </w:p>
          <w:p w14:paraId="1F2E5D3B">
            <w:pPr>
              <w:jc w:val="left"/>
              <w:rPr>
                <w:rFonts w:ascii="Calibri" w:hAnsi="Calibri" w:eastAsia="Calibri" w:cs="Calibri"/>
              </w:rPr>
            </w:pPr>
            <w:r>
              <w:rPr>
                <w:rFonts w:ascii="仿宋_GB2312" w:hAnsi="仿宋_GB2312" w:eastAsia="仿宋_GB2312" w:cs="仿宋_GB2312"/>
              </w:rPr>
              <w:t>2.</w:t>
            </w:r>
            <w:r>
              <w:rPr>
                <w:rFonts w:ascii="仿宋" w:hAnsi="仿宋" w:eastAsia="仿宋" w:cs="仿宋"/>
                <w:color w:val="000000"/>
              </w:rPr>
              <w:t>“三公经费”变动率</w:t>
            </w:r>
            <w:r>
              <w:rPr>
                <w:rFonts w:ascii="仿宋" w:hAnsi="仿宋" w:eastAsia="仿宋" w:cs="仿宋"/>
              </w:rPr>
              <w:t>大于或等于</w:t>
            </w:r>
            <w:r>
              <w:rPr>
                <w:rFonts w:ascii="仿宋_GB2312" w:hAnsi="仿宋_GB2312" w:eastAsia="仿宋_GB2312" w:cs="仿宋_GB2312"/>
              </w:rPr>
              <w:t>10%</w:t>
            </w:r>
            <w:r>
              <w:rPr>
                <w:rFonts w:ascii="仿宋" w:hAnsi="仿宋" w:eastAsia="仿宋" w:cs="仿宋"/>
              </w:rPr>
              <w:t>的，得</w:t>
            </w:r>
            <w:r>
              <w:rPr>
                <w:rFonts w:ascii="仿宋_GB2312" w:hAnsi="仿宋_GB2312" w:eastAsia="仿宋_GB2312" w:cs="仿宋_GB2312"/>
              </w:rPr>
              <w:t>0</w:t>
            </w:r>
            <w:r>
              <w:rPr>
                <w:rFonts w:ascii="仿宋" w:hAnsi="仿宋" w:eastAsia="仿宋" w:cs="仿宋"/>
              </w:rPr>
              <w:t>分；</w:t>
            </w:r>
          </w:p>
          <w:p w14:paraId="0E7A5CD7">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在职人员控制率在</w:t>
            </w:r>
            <w:r>
              <w:rPr>
                <w:rFonts w:ascii="仿宋_GB2312" w:hAnsi="仿宋_GB2312" w:eastAsia="仿宋_GB2312" w:cs="仿宋_GB2312"/>
              </w:rPr>
              <w:t>-5%-10%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14:paraId="6518D786">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w:t>
            </w:r>
            <w:r>
              <w:rPr>
                <w:rFonts w:ascii="仿宋" w:hAnsi="仿宋" w:eastAsia="仿宋" w:cs="仿宋"/>
                <w:color w:val="000000"/>
              </w:rPr>
              <w:t>“三公经费”变动率</w:t>
            </w:r>
            <w:r>
              <w:rPr>
                <w:rFonts w:ascii="仿宋" w:hAnsi="仿宋" w:eastAsia="仿宋" w:cs="仿宋"/>
              </w:rPr>
              <w:t>）－</w:t>
            </w:r>
            <w:r>
              <w:rPr>
                <w:rFonts w:ascii="仿宋" w:hAnsi="仿宋" w:eastAsia="仿宋" w:cs="仿宋"/>
                <w:color w:val="000000"/>
              </w:rPr>
              <w:t>“三公经费”变动率</w:t>
            </w:r>
            <w:r>
              <w:rPr>
                <w:rFonts w:ascii="仿宋_GB2312" w:hAnsi="仿宋_GB2312" w:eastAsia="仿宋_GB2312" w:cs="仿宋_GB2312"/>
              </w:rPr>
              <w:t>]/[max</w:t>
            </w:r>
            <w:r>
              <w:rPr>
                <w:rFonts w:ascii="仿宋" w:hAnsi="仿宋" w:eastAsia="仿宋" w:cs="仿宋"/>
              </w:rPr>
              <w:t>（</w:t>
            </w:r>
            <w:r>
              <w:rPr>
                <w:rFonts w:ascii="仿宋" w:hAnsi="仿宋" w:eastAsia="仿宋" w:cs="仿宋"/>
                <w:color w:val="000000"/>
              </w:rPr>
              <w:t>“三公经费”变动率</w:t>
            </w:r>
            <w:r>
              <w:rPr>
                <w:rFonts w:ascii="仿宋" w:hAnsi="仿宋" w:eastAsia="仿宋" w:cs="仿宋"/>
              </w:rPr>
              <w:t>）－</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“三公经费”变动率</w:t>
            </w:r>
            <w:r>
              <w:rPr>
                <w:rFonts w:ascii="仿宋" w:hAnsi="仿宋" w:eastAsia="仿宋" w:cs="仿宋"/>
              </w:rPr>
              <w:t>）</w:t>
            </w:r>
            <w:r>
              <w:rPr>
                <w:rFonts w:ascii="仿宋_GB2312" w:hAnsi="仿宋_GB2312" w:eastAsia="仿宋_GB2312" w:cs="仿宋_GB2312"/>
              </w:rPr>
              <w:t>]</w:t>
            </w:r>
            <w:r>
              <w:rPr>
                <w:rFonts w:ascii="仿宋" w:hAnsi="仿宋" w:eastAsia="仿宋" w:cs="仿宋"/>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86FDC">
            <w:pPr>
              <w:jc w:val="left"/>
              <w:rPr>
                <w:rFonts w:ascii="宋体" w:hAnsi="宋体" w:eastAsia="宋体" w:cs="宋体"/>
                <w:sz w:val="22"/>
              </w:rPr>
            </w:pPr>
            <w:r>
              <w:rPr>
                <w:rFonts w:ascii="宋体" w:hAnsi="宋体" w:eastAsia="宋体" w:cs="宋体"/>
                <w:sz w:val="22"/>
              </w:rPr>
              <w:t>2</w:t>
            </w:r>
          </w:p>
        </w:tc>
      </w:tr>
      <w:tr w14:paraId="4FFE520E">
        <w:tblPrEx>
          <w:tblCellMar>
            <w:top w:w="0" w:type="dxa"/>
            <w:left w:w="10" w:type="dxa"/>
            <w:bottom w:w="0" w:type="dxa"/>
            <w:right w:w="10"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D1D2C8">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B475CB">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DC2E8D">
            <w:pPr>
              <w:jc w:val="left"/>
            </w:pPr>
            <w:r>
              <w:rPr>
                <w:rFonts w:ascii="仿宋" w:hAnsi="仿宋" w:eastAsia="仿宋" w:cs="仿宋"/>
                <w:color w:val="000000"/>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2EF1AE">
            <w:pPr>
              <w:jc w:val="left"/>
            </w:pPr>
            <w:r>
              <w:rPr>
                <w:rFonts w:ascii="仿宋" w:hAnsi="仿宋" w:eastAsia="仿宋" w:cs="仿宋"/>
                <w:color w:val="000000"/>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rPr>
              <w:br w:type="textWrapping"/>
            </w:r>
            <w:r>
              <w:rPr>
                <w:rFonts w:ascii="仿宋" w:hAnsi="仿宋" w:eastAsia="仿宋" w:cs="仿宋"/>
                <w:color w:val="000000"/>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rPr>
              <w:br w:type="textWrapping"/>
            </w:r>
            <w:r>
              <w:rPr>
                <w:rFonts w:ascii="仿宋" w:hAnsi="仿宋" w:eastAsia="仿宋" w:cs="仿宋"/>
                <w:color w:val="000000"/>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A8C3DC">
            <w:pPr>
              <w:jc w:val="left"/>
              <w:rPr>
                <w:rFonts w:ascii="Calibri" w:hAnsi="Calibri" w:eastAsia="Calibri" w:cs="Calibri"/>
              </w:rPr>
            </w:pPr>
            <w:r>
              <w:rPr>
                <w:rFonts w:ascii="仿宋_GB2312" w:hAnsi="仿宋_GB2312" w:eastAsia="仿宋_GB2312" w:cs="仿宋_GB2312"/>
              </w:rPr>
              <w:t>1.</w:t>
            </w:r>
            <w:r>
              <w:rPr>
                <w:rFonts w:ascii="仿宋" w:hAnsi="仿宋" w:eastAsia="仿宋" w:cs="仿宋"/>
                <w:color w:val="000000"/>
              </w:rPr>
              <w:t>重点支出安排率</w:t>
            </w:r>
            <w:r>
              <w:rPr>
                <w:rFonts w:ascii="仿宋" w:hAnsi="仿宋" w:eastAsia="仿宋" w:cs="仿宋"/>
              </w:rPr>
              <w:t>大于或等于</w:t>
            </w:r>
            <w:r>
              <w:rPr>
                <w:rFonts w:ascii="仿宋_GB2312" w:hAnsi="仿宋_GB2312" w:eastAsia="仿宋_GB2312" w:cs="仿宋_GB2312"/>
              </w:rPr>
              <w:t>95%</w:t>
            </w:r>
            <w:r>
              <w:rPr>
                <w:rFonts w:ascii="仿宋" w:hAnsi="仿宋" w:eastAsia="仿宋" w:cs="仿宋"/>
              </w:rPr>
              <w:t>的，得满分；</w:t>
            </w:r>
          </w:p>
          <w:p w14:paraId="38809A7C">
            <w:pPr>
              <w:jc w:val="left"/>
              <w:rPr>
                <w:rFonts w:ascii="Calibri" w:hAnsi="Calibri" w:eastAsia="Calibri" w:cs="Calibri"/>
              </w:rPr>
            </w:pPr>
            <w:r>
              <w:rPr>
                <w:rFonts w:ascii="仿宋_GB2312" w:hAnsi="仿宋_GB2312" w:eastAsia="仿宋_GB2312" w:cs="仿宋_GB2312"/>
              </w:rPr>
              <w:t>2.</w:t>
            </w:r>
            <w:r>
              <w:rPr>
                <w:rFonts w:ascii="仿宋" w:hAnsi="仿宋" w:eastAsia="仿宋" w:cs="仿宋"/>
                <w:color w:val="000000"/>
              </w:rPr>
              <w:t>重点支出安排率</w:t>
            </w:r>
            <w:r>
              <w:rPr>
                <w:rFonts w:ascii="仿宋" w:hAnsi="仿宋" w:eastAsia="仿宋" w:cs="仿宋"/>
              </w:rPr>
              <w:t>小于或等于</w:t>
            </w:r>
            <w:r>
              <w:rPr>
                <w:rFonts w:ascii="仿宋_GB2312" w:hAnsi="仿宋_GB2312" w:eastAsia="仿宋_GB2312" w:cs="仿宋_GB2312"/>
              </w:rPr>
              <w:t>85%</w:t>
            </w:r>
            <w:r>
              <w:rPr>
                <w:rFonts w:ascii="仿宋" w:hAnsi="仿宋" w:eastAsia="仿宋" w:cs="仿宋"/>
              </w:rPr>
              <w:t>的，得</w:t>
            </w:r>
            <w:r>
              <w:rPr>
                <w:rFonts w:ascii="仿宋_GB2312" w:hAnsi="仿宋_GB2312" w:eastAsia="仿宋_GB2312" w:cs="仿宋_GB2312"/>
              </w:rPr>
              <w:t>0</w:t>
            </w:r>
            <w:r>
              <w:rPr>
                <w:rFonts w:ascii="仿宋" w:hAnsi="仿宋" w:eastAsia="仿宋" w:cs="仿宋"/>
              </w:rPr>
              <w:t>分；</w:t>
            </w:r>
          </w:p>
          <w:p w14:paraId="71286482">
            <w:pPr>
              <w:jc w:val="left"/>
              <w:rPr>
                <w:rFonts w:ascii="Calibri" w:hAnsi="Calibri" w:eastAsia="Calibri" w:cs="Calibri"/>
              </w:rPr>
            </w:pPr>
            <w:r>
              <w:rPr>
                <w:rFonts w:ascii="仿宋_GB2312" w:hAnsi="仿宋_GB2312" w:eastAsia="仿宋_GB2312" w:cs="仿宋_GB2312"/>
              </w:rPr>
              <w:t>3.</w:t>
            </w:r>
            <w:r>
              <w:rPr>
                <w:rFonts w:ascii="仿宋" w:hAnsi="仿宋" w:eastAsia="仿宋" w:cs="仿宋"/>
                <w:color w:val="000000"/>
              </w:rPr>
              <w:t>重点支出安排率</w:t>
            </w:r>
            <w:r>
              <w:rPr>
                <w:rFonts w:ascii="仿宋" w:hAnsi="仿宋" w:eastAsia="仿宋" w:cs="仿宋"/>
              </w:rPr>
              <w:t>在</w:t>
            </w:r>
            <w:r>
              <w:rPr>
                <w:rFonts w:ascii="仿宋_GB2312" w:hAnsi="仿宋_GB2312" w:eastAsia="仿宋_GB2312" w:cs="仿宋_GB2312"/>
              </w:rPr>
              <w:t>85%-95%</w:t>
            </w:r>
            <w:r>
              <w:rPr>
                <w:rFonts w:ascii="仿宋" w:hAnsi="仿宋" w:eastAsia="仿宋" w:cs="仿宋"/>
              </w:rPr>
              <w:t>之间的，在</w:t>
            </w:r>
            <w:r>
              <w:rPr>
                <w:rFonts w:ascii="仿宋_GB2312" w:hAnsi="仿宋_GB2312" w:eastAsia="仿宋_GB2312" w:cs="仿宋_GB2312"/>
              </w:rPr>
              <w:t>0</w:t>
            </w:r>
            <w:r>
              <w:rPr>
                <w:rFonts w:ascii="仿宋" w:hAnsi="仿宋" w:eastAsia="仿宋" w:cs="仿宋"/>
              </w:rPr>
              <w:t>分和满分之间计算确定：</w:t>
            </w:r>
          </w:p>
          <w:p w14:paraId="4E7EF516">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w:t>
            </w:r>
            <w:r>
              <w:rPr>
                <w:rFonts w:ascii="仿宋" w:hAnsi="仿宋" w:eastAsia="仿宋" w:cs="仿宋"/>
                <w:color w:val="000000"/>
              </w:rPr>
              <w:t>重点支出安排率</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]/[max</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w:t>
            </w:r>
            <w:r>
              <w:rPr>
                <w:rFonts w:ascii="仿宋" w:hAnsi="仿宋" w:eastAsia="仿宋" w:cs="仿宋"/>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62D2A4">
            <w:pPr>
              <w:jc w:val="left"/>
              <w:rPr>
                <w:rFonts w:ascii="宋体" w:hAnsi="宋体" w:eastAsia="宋体" w:cs="宋体"/>
                <w:sz w:val="22"/>
              </w:rPr>
            </w:pPr>
            <w:r>
              <w:rPr>
                <w:rFonts w:ascii="宋体" w:hAnsi="宋体" w:eastAsia="宋体" w:cs="宋体"/>
                <w:sz w:val="22"/>
              </w:rPr>
              <w:t>2</w:t>
            </w:r>
          </w:p>
        </w:tc>
      </w:tr>
      <w:tr w14:paraId="60394A83">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E9EE22">
            <w:pPr>
              <w:jc w:val="left"/>
            </w:pPr>
            <w:r>
              <w:rPr>
                <w:rFonts w:ascii="宋体" w:hAnsi="宋体" w:eastAsia="宋体" w:cs="宋体"/>
              </w:rPr>
              <w:t>过程</w:t>
            </w:r>
            <w:r>
              <w:rPr>
                <w:rFonts w:ascii="仿宋_GB2312" w:hAnsi="仿宋_GB2312" w:eastAsia="仿宋_GB2312" w:cs="仿宋_GB2312"/>
              </w:rPr>
              <w:t>(45</w:t>
            </w:r>
            <w:r>
              <w:rPr>
                <w:rFonts w:ascii="宋体" w:hAnsi="宋体" w:eastAsia="宋体" w:cs="宋体"/>
              </w:rPr>
              <w:t>分</w:t>
            </w:r>
            <w:r>
              <w:rPr>
                <w:rFonts w:ascii="仿宋_GB2312" w:hAnsi="仿宋_GB2312" w:eastAsia="仿宋_GB2312" w:cs="仿宋_GB2312"/>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99F890">
            <w:pPr>
              <w:jc w:val="left"/>
            </w:pPr>
            <w:r>
              <w:rPr>
                <w:rFonts w:ascii="宋体" w:hAnsi="宋体" w:eastAsia="宋体" w:cs="宋体"/>
              </w:rPr>
              <w:t>预算执行情况</w:t>
            </w:r>
            <w:r>
              <w:rPr>
                <w:rFonts w:ascii="仿宋_GB2312" w:hAnsi="仿宋_GB2312" w:eastAsia="仿宋_GB2312" w:cs="仿宋_GB2312"/>
              </w:rPr>
              <w:t>(25</w:t>
            </w:r>
            <w:r>
              <w:rPr>
                <w:rFonts w:ascii="宋体" w:hAnsi="宋体" w:eastAsia="宋体" w:cs="宋体"/>
              </w:rPr>
              <w:t>分</w:t>
            </w:r>
            <w:r>
              <w:rPr>
                <w:rFonts w:ascii="仿宋_GB2312" w:hAnsi="仿宋_GB2312" w:eastAsia="仿宋_GB2312" w:cs="仿宋_GB2312"/>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320CC">
            <w:pPr>
              <w:jc w:val="left"/>
            </w:pPr>
            <w:r>
              <w:rPr>
                <w:rFonts w:ascii="宋体" w:hAnsi="宋体" w:eastAsia="宋体" w:cs="宋体"/>
              </w:rPr>
              <w:t>预算完成率（</w:t>
            </w:r>
            <w:r>
              <w:rPr>
                <w:rFonts w:ascii="仿宋_GB2312" w:hAnsi="仿宋_GB2312" w:eastAsia="仿宋_GB2312" w:cs="仿宋_GB2312"/>
              </w:rPr>
              <w:t>5</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1814F">
            <w:pPr>
              <w:jc w:val="left"/>
              <w:rPr>
                <w:rFonts w:ascii="Calibri" w:hAnsi="Calibri" w:eastAsia="Calibri" w:cs="Calibri"/>
              </w:rPr>
            </w:pPr>
            <w:r>
              <w:rPr>
                <w:rFonts w:ascii="宋体" w:hAnsi="宋体" w:eastAsia="宋体" w:cs="宋体"/>
              </w:rPr>
              <w:t>通过对部门本年度预算完成数与预算数的比较，反映和评价部门预算的完成程度。</w:t>
            </w:r>
          </w:p>
          <w:p w14:paraId="393D004A">
            <w:pPr>
              <w:jc w:val="left"/>
            </w:pPr>
            <w:r>
              <w:rPr>
                <w:rFonts w:ascii="宋体" w:hAnsi="宋体" w:eastAsia="宋体" w:cs="宋体"/>
              </w:rPr>
              <w:t>预算完成率</w:t>
            </w:r>
            <w:r>
              <w:rPr>
                <w:rFonts w:ascii="仿宋_GB2312" w:hAnsi="仿宋_GB2312" w:eastAsia="仿宋_GB2312" w:cs="仿宋_GB2312"/>
              </w:rPr>
              <w:t>=</w:t>
            </w:r>
            <w:r>
              <w:rPr>
                <w:rFonts w:ascii="宋体" w:hAnsi="宋体" w:eastAsia="宋体" w:cs="宋体"/>
              </w:rPr>
              <w:t>（预算完成数</w:t>
            </w:r>
            <w:r>
              <w:rPr>
                <w:rFonts w:ascii="仿宋_GB2312" w:hAnsi="仿宋_GB2312" w:eastAsia="仿宋_GB2312" w:cs="仿宋_GB2312"/>
              </w:rPr>
              <w:t>/</w:t>
            </w:r>
            <w:r>
              <w:rPr>
                <w:rFonts w:ascii="宋体" w:hAnsi="宋体" w:eastAsia="宋体" w:cs="宋体"/>
              </w:rPr>
              <w:t>预算数）×</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970E0">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预算完成率大于或等于</w:t>
            </w:r>
            <w:r>
              <w:rPr>
                <w:rFonts w:ascii="仿宋_GB2312" w:hAnsi="仿宋_GB2312" w:eastAsia="仿宋_GB2312" w:cs="仿宋_GB2312"/>
              </w:rPr>
              <w:t>95%</w:t>
            </w:r>
            <w:r>
              <w:rPr>
                <w:rFonts w:ascii="宋体" w:hAnsi="宋体" w:eastAsia="宋体" w:cs="宋体"/>
              </w:rPr>
              <w:t>的，得满分；</w:t>
            </w:r>
          </w:p>
          <w:p w14:paraId="47FB1F5F">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预算完成率小于或等于</w:t>
            </w:r>
            <w:r>
              <w:rPr>
                <w:rFonts w:ascii="仿宋_GB2312" w:hAnsi="仿宋_GB2312" w:eastAsia="仿宋_GB2312" w:cs="仿宋_GB2312"/>
              </w:rPr>
              <w:t>85%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14:paraId="4947615F">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预算完成率在</w:t>
            </w:r>
            <w:r>
              <w:rPr>
                <w:rFonts w:ascii="仿宋_GB2312" w:hAnsi="仿宋_GB2312" w:eastAsia="仿宋_GB2312" w:cs="仿宋_GB2312"/>
              </w:rPr>
              <w:t>85%-95%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14:paraId="5FCF84DC">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某部门预算完成率</w:t>
            </w:r>
            <w:r>
              <w:rPr>
                <w:rFonts w:ascii="仿宋_GB2312" w:hAnsi="仿宋_GB2312" w:eastAsia="仿宋_GB2312" w:cs="仿宋_GB2312"/>
              </w:rPr>
              <w:t>-min</w:t>
            </w:r>
            <w:r>
              <w:rPr>
                <w:rFonts w:ascii="宋体" w:hAnsi="宋体" w:eastAsia="宋体" w:cs="宋体"/>
              </w:rPr>
              <w:t>（预算完成率）</w:t>
            </w:r>
            <w:r>
              <w:rPr>
                <w:rFonts w:ascii="仿宋_GB2312" w:hAnsi="仿宋_GB2312" w:eastAsia="仿宋_GB2312" w:cs="仿宋_GB2312"/>
              </w:rPr>
              <w:t>]/[max</w:t>
            </w:r>
            <w:r>
              <w:rPr>
                <w:rFonts w:ascii="宋体" w:hAnsi="宋体" w:eastAsia="宋体" w:cs="宋体"/>
              </w:rPr>
              <w:t>（预算完成率）－</w:t>
            </w:r>
            <w:r>
              <w:rPr>
                <w:rFonts w:ascii="仿宋_GB2312" w:hAnsi="仿宋_GB2312" w:eastAsia="仿宋_GB2312" w:cs="仿宋_GB2312"/>
              </w:rPr>
              <w:t>min</w:t>
            </w:r>
            <w:r>
              <w:rPr>
                <w:rFonts w:ascii="宋体" w:hAnsi="宋体" w:eastAsia="宋体" w:cs="宋体"/>
              </w:rPr>
              <w:t>（预算完成率）</w:t>
            </w:r>
            <w:r>
              <w:rPr>
                <w:rFonts w:ascii="仿宋_GB2312" w:hAnsi="仿宋_GB2312" w:eastAsia="仿宋_GB2312" w:cs="仿宋_GB2312"/>
              </w:rPr>
              <w:t>]</w:t>
            </w:r>
            <w:r>
              <w:rPr>
                <w:rFonts w:ascii="宋体" w:hAnsi="宋体" w:eastAsia="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AA98C0">
            <w:pPr>
              <w:jc w:val="left"/>
              <w:rPr>
                <w:rFonts w:ascii="宋体" w:hAnsi="宋体" w:eastAsia="宋体" w:cs="宋体"/>
                <w:sz w:val="22"/>
              </w:rPr>
            </w:pPr>
            <w:r>
              <w:rPr>
                <w:rFonts w:ascii="宋体" w:hAnsi="宋体" w:eastAsia="宋体" w:cs="宋体"/>
                <w:sz w:val="22"/>
              </w:rPr>
              <w:t>5</w:t>
            </w:r>
          </w:p>
        </w:tc>
      </w:tr>
      <w:tr w14:paraId="184FF65E">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7E0018">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834B8D">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1158F">
            <w:pPr>
              <w:jc w:val="left"/>
            </w:pPr>
            <w:r>
              <w:rPr>
                <w:rFonts w:ascii="宋体" w:hAnsi="宋体" w:eastAsia="宋体" w:cs="宋体"/>
              </w:rPr>
              <w:t>预算调整率（</w:t>
            </w:r>
            <w:r>
              <w:rPr>
                <w:rFonts w:ascii="仿宋_GB2312" w:hAnsi="仿宋_GB2312" w:eastAsia="仿宋_GB2312" w:cs="仿宋_GB2312"/>
              </w:rPr>
              <w:t>3</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6D8A9">
            <w:pPr>
              <w:jc w:val="left"/>
              <w:rPr>
                <w:rFonts w:ascii="Calibri" w:hAnsi="Calibri" w:eastAsia="Calibri" w:cs="Calibri"/>
              </w:rPr>
            </w:pPr>
            <w:r>
              <w:rPr>
                <w:rFonts w:ascii="宋体" w:hAnsi="宋体" w:eastAsia="宋体" w:cs="宋体"/>
              </w:rPr>
              <w:t>部门本年度预算调整数与预算数的比率，用以反映和评价部门预算的调整程度。</w:t>
            </w:r>
          </w:p>
          <w:p w14:paraId="48A48D5E">
            <w:pPr>
              <w:jc w:val="left"/>
            </w:pPr>
            <w:r>
              <w:rPr>
                <w:rFonts w:ascii="宋体" w:hAnsi="宋体" w:eastAsia="宋体" w:cs="宋体"/>
              </w:rPr>
              <w:t>预算调整率</w:t>
            </w:r>
            <w:r>
              <w:rPr>
                <w:rFonts w:ascii="仿宋_GB2312" w:hAnsi="仿宋_GB2312" w:eastAsia="仿宋_GB2312" w:cs="仿宋_GB2312"/>
              </w:rPr>
              <w:t>=</w:t>
            </w:r>
            <w:r>
              <w:rPr>
                <w:rFonts w:ascii="宋体" w:hAnsi="宋体" w:eastAsia="宋体" w:cs="宋体"/>
              </w:rPr>
              <w:t>（预算调整数</w:t>
            </w:r>
            <w:r>
              <w:rPr>
                <w:rFonts w:ascii="仿宋_GB2312" w:hAnsi="仿宋_GB2312" w:eastAsia="仿宋_GB2312" w:cs="仿宋_GB2312"/>
              </w:rPr>
              <w:t>/</w:t>
            </w:r>
            <w:r>
              <w:rPr>
                <w:rFonts w:ascii="宋体" w:hAnsi="宋体" w:eastAsia="宋体" w:cs="宋体"/>
              </w:rPr>
              <w:t>预算数）×</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3BB59D">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预算调整率等于</w:t>
            </w:r>
            <w:r>
              <w:rPr>
                <w:rFonts w:ascii="仿宋_GB2312" w:hAnsi="仿宋_GB2312" w:eastAsia="仿宋_GB2312" w:cs="仿宋_GB2312"/>
              </w:rPr>
              <w:t>0</w:t>
            </w:r>
            <w:r>
              <w:rPr>
                <w:rFonts w:ascii="宋体" w:hAnsi="宋体" w:eastAsia="宋体" w:cs="宋体"/>
              </w:rPr>
              <w:t>的，得满分；</w:t>
            </w:r>
            <w:r>
              <w:rPr>
                <w:rFonts w:ascii="仿宋_GB2312" w:hAnsi="仿宋_GB2312" w:eastAsia="仿宋_GB2312" w:cs="仿宋_GB2312"/>
              </w:rPr>
              <w:t xml:space="preserve"> </w:t>
            </w:r>
          </w:p>
          <w:p w14:paraId="12635F0E">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预算调整率大于或等于</w:t>
            </w:r>
            <w:r>
              <w:rPr>
                <w:rFonts w:ascii="仿宋_GB2312" w:hAnsi="仿宋_GB2312" w:eastAsia="仿宋_GB2312" w:cs="仿宋_GB2312"/>
              </w:rPr>
              <w:t>10%</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14:paraId="3CDAB3D0">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预算调整率在</w:t>
            </w:r>
            <w:r>
              <w:rPr>
                <w:rFonts w:ascii="仿宋_GB2312" w:hAnsi="仿宋_GB2312" w:eastAsia="仿宋_GB2312" w:cs="仿宋_GB2312"/>
              </w:rPr>
              <w:t>0-10%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分和满分之间确定：</w:t>
            </w:r>
          </w:p>
          <w:p w14:paraId="4569C327">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（预算调整率）</w:t>
            </w:r>
            <w:r>
              <w:rPr>
                <w:rFonts w:ascii="仿宋_GB2312" w:hAnsi="仿宋_GB2312" w:eastAsia="仿宋_GB2312" w:cs="仿宋_GB2312"/>
              </w:rPr>
              <w:t>-</w:t>
            </w:r>
            <w:r>
              <w:rPr>
                <w:rFonts w:ascii="宋体" w:hAnsi="宋体" w:eastAsia="宋体" w:cs="宋体"/>
              </w:rPr>
              <w:t>某部门预算调整率］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（预算调整率）</w:t>
            </w:r>
            <w:r>
              <w:rPr>
                <w:rFonts w:ascii="仿宋_GB2312" w:hAnsi="仿宋_GB2312" w:eastAsia="仿宋_GB2312" w:cs="仿宋_GB2312"/>
              </w:rPr>
              <w:t>-min</w:t>
            </w:r>
            <w:r>
              <w:rPr>
                <w:rFonts w:ascii="宋体" w:hAnsi="宋体" w:eastAsia="宋体" w:cs="宋体"/>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603BC">
            <w:pPr>
              <w:jc w:val="left"/>
              <w:rPr>
                <w:rFonts w:ascii="宋体" w:hAnsi="宋体" w:eastAsia="宋体" w:cs="宋体"/>
                <w:sz w:val="22"/>
              </w:rPr>
            </w:pPr>
            <w:r>
              <w:rPr>
                <w:rFonts w:ascii="宋体" w:hAnsi="宋体" w:eastAsia="宋体" w:cs="宋体"/>
                <w:sz w:val="22"/>
              </w:rPr>
              <w:t>3</w:t>
            </w:r>
          </w:p>
        </w:tc>
      </w:tr>
      <w:tr w14:paraId="0BA421A2">
        <w:tblPrEx>
          <w:tblCellMar>
            <w:top w:w="0" w:type="dxa"/>
            <w:left w:w="10" w:type="dxa"/>
            <w:bottom w:w="0" w:type="dxa"/>
            <w:right w:w="10"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A66EA5">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0FE69F">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E7FBF0">
            <w:pPr>
              <w:jc w:val="left"/>
            </w:pPr>
            <w:r>
              <w:rPr>
                <w:rFonts w:ascii="宋体" w:hAnsi="宋体" w:eastAsia="宋体" w:cs="宋体"/>
                <w:color w:val="000000"/>
              </w:rPr>
              <w:t>支付进度率</w:t>
            </w: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7B2FC8">
            <w:pPr>
              <w:jc w:val="left"/>
              <w:rPr>
                <w:rFonts w:ascii="Calibri" w:hAnsi="Calibri" w:eastAsia="Calibri" w:cs="Calibri"/>
              </w:rPr>
            </w:pPr>
            <w:r>
              <w:rPr>
                <w:rFonts w:ascii="宋体" w:hAnsi="宋体" w:eastAsia="宋体" w:cs="宋体"/>
              </w:rPr>
              <w:t>部门年度支付数与年度任务数的比率，用以反映和评价部门预算执行的及时和均衡程度。</w:t>
            </w:r>
          </w:p>
          <w:p w14:paraId="498796C9">
            <w:pPr>
              <w:jc w:val="left"/>
            </w:pPr>
            <w:r>
              <w:rPr>
                <w:rFonts w:ascii="宋体" w:hAnsi="宋体" w:eastAsia="宋体" w:cs="宋体"/>
              </w:rPr>
              <w:t>支付进度率</w:t>
            </w:r>
            <w:r>
              <w:rPr>
                <w:rFonts w:ascii="仿宋_GB2312" w:hAnsi="仿宋_GB2312" w:eastAsia="仿宋_GB2312" w:cs="仿宋_GB2312"/>
              </w:rPr>
              <w:t>=</w:t>
            </w:r>
            <w:r>
              <w:rPr>
                <w:rFonts w:ascii="宋体" w:hAnsi="宋体" w:eastAsia="宋体" w:cs="宋体"/>
              </w:rPr>
              <w:t>（年度支付数</w:t>
            </w:r>
            <w:r>
              <w:rPr>
                <w:rFonts w:ascii="仿宋_GB2312" w:hAnsi="仿宋_GB2312" w:eastAsia="仿宋_GB2312" w:cs="仿宋_GB2312"/>
              </w:rPr>
              <w:t>/</w:t>
            </w:r>
            <w:r>
              <w:rPr>
                <w:rFonts w:ascii="宋体" w:hAnsi="宋体" w:eastAsia="宋体" w:cs="宋体"/>
              </w:rPr>
              <w:t>年度任务数）×</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89EF5">
            <w:pPr>
              <w:jc w:val="left"/>
              <w:rPr>
                <w:rFonts w:ascii="Calibri" w:hAnsi="Calibri" w:eastAsia="Calibri" w:cs="Calibri"/>
              </w:rPr>
            </w:pPr>
            <w:r>
              <w:rPr>
                <w:rFonts w:ascii="宋体" w:hAnsi="宋体" w:eastAsia="宋体" w:cs="宋体"/>
              </w:rPr>
              <w:t>按年度的执行情况进行打分。得分</w:t>
            </w:r>
            <w:r>
              <w:rPr>
                <w:rFonts w:ascii="仿宋_GB2312" w:hAnsi="仿宋_GB2312" w:eastAsia="仿宋_GB2312" w:cs="仿宋_GB2312"/>
              </w:rPr>
              <w:t>=</w:t>
            </w:r>
            <w:r>
              <w:rPr>
                <w:rFonts w:ascii="宋体" w:hAnsi="宋体" w:eastAsia="宋体" w:cs="宋体"/>
              </w:rPr>
              <w:t>年度支付数</w:t>
            </w:r>
            <w:r>
              <w:rPr>
                <w:rFonts w:ascii="仿宋_GB2312" w:hAnsi="仿宋_GB2312" w:eastAsia="仿宋_GB2312" w:cs="仿宋_GB2312"/>
              </w:rPr>
              <w:t>/</w:t>
            </w:r>
            <w:r>
              <w:rPr>
                <w:rFonts w:ascii="宋体" w:hAnsi="宋体" w:eastAsia="宋体" w:cs="宋体"/>
              </w:rPr>
              <w:t>年度任务数×该指标分值。</w:t>
            </w:r>
          </w:p>
          <w:p w14:paraId="08F3EA2C">
            <w:pPr>
              <w:jc w:val="left"/>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37504">
            <w:pPr>
              <w:jc w:val="left"/>
              <w:rPr>
                <w:rFonts w:ascii="宋体" w:hAnsi="宋体" w:eastAsia="宋体" w:cs="宋体"/>
                <w:sz w:val="22"/>
              </w:rPr>
            </w:pPr>
            <w:r>
              <w:rPr>
                <w:rFonts w:ascii="宋体" w:hAnsi="宋体" w:eastAsia="宋体" w:cs="宋体"/>
                <w:sz w:val="22"/>
              </w:rPr>
              <w:t>5</w:t>
            </w:r>
          </w:p>
        </w:tc>
      </w:tr>
      <w:tr w14:paraId="2D18C40A">
        <w:tblPrEx>
          <w:tblCellMar>
            <w:top w:w="0" w:type="dxa"/>
            <w:left w:w="10" w:type="dxa"/>
            <w:bottom w:w="0" w:type="dxa"/>
            <w:right w:w="10"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97B03">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0C1CA7">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05BB02">
            <w:pPr>
              <w:jc w:val="left"/>
            </w:pPr>
            <w:r>
              <w:rPr>
                <w:rFonts w:ascii="宋体" w:hAnsi="宋体" w:eastAsia="宋体" w:cs="宋体"/>
              </w:rPr>
              <w:t>结转结余率（</w:t>
            </w:r>
            <w:r>
              <w:rPr>
                <w:rFonts w:ascii="仿宋_GB2312" w:hAnsi="仿宋_GB2312" w:eastAsia="仿宋_GB2312" w:cs="仿宋_GB2312"/>
              </w:rPr>
              <w:t>4</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A0E31">
            <w:pPr>
              <w:jc w:val="left"/>
              <w:rPr>
                <w:rFonts w:ascii="Calibri" w:hAnsi="Calibri" w:eastAsia="Calibri" w:cs="Calibri"/>
              </w:rPr>
            </w:pPr>
            <w:r>
              <w:rPr>
                <w:rFonts w:ascii="宋体" w:hAnsi="宋体" w:eastAsia="宋体" w:cs="宋体"/>
              </w:rPr>
              <w:t>通过对部门本年度结转结余总额与支出预算数的比较，反映和评价部门对本年度结转结余资金的实际控制程度。</w:t>
            </w:r>
          </w:p>
          <w:p w14:paraId="58665C54">
            <w:pPr>
              <w:jc w:val="left"/>
            </w:pPr>
            <w:r>
              <w:rPr>
                <w:rFonts w:ascii="宋体" w:hAnsi="宋体" w:eastAsia="宋体" w:cs="宋体"/>
              </w:rPr>
              <w:t>结转结余率</w:t>
            </w:r>
            <w:r>
              <w:rPr>
                <w:rFonts w:ascii="仿宋_GB2312" w:hAnsi="仿宋_GB2312" w:eastAsia="仿宋_GB2312" w:cs="仿宋_GB2312"/>
              </w:rPr>
              <w:t>=</w:t>
            </w:r>
            <w:r>
              <w:rPr>
                <w:rFonts w:ascii="宋体" w:hAnsi="宋体" w:eastAsia="宋体" w:cs="宋体"/>
              </w:rPr>
              <w:t>（结转结余总额</w:t>
            </w:r>
            <w:r>
              <w:rPr>
                <w:rFonts w:ascii="仿宋_GB2312" w:hAnsi="仿宋_GB2312" w:eastAsia="仿宋_GB2312" w:cs="仿宋_GB2312"/>
              </w:rPr>
              <w:t>/</w:t>
            </w:r>
            <w:r>
              <w:rPr>
                <w:rFonts w:ascii="宋体" w:hAnsi="宋体" w:eastAsia="宋体" w:cs="宋体"/>
              </w:rPr>
              <w:t>支出预算数）×</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E63DCB">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结转结余率等于</w:t>
            </w:r>
            <w:r>
              <w:rPr>
                <w:rFonts w:ascii="仿宋_GB2312" w:hAnsi="仿宋_GB2312" w:eastAsia="仿宋_GB2312" w:cs="仿宋_GB2312"/>
              </w:rPr>
              <w:t>0</w:t>
            </w:r>
            <w:r>
              <w:rPr>
                <w:rFonts w:ascii="宋体" w:hAnsi="宋体" w:eastAsia="宋体" w:cs="宋体"/>
              </w:rPr>
              <w:t>的，得满分；</w:t>
            </w:r>
          </w:p>
          <w:p w14:paraId="5994DA65">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结转结余率大于或等于</w:t>
            </w:r>
            <w:r>
              <w:rPr>
                <w:rFonts w:ascii="仿宋_GB2312" w:hAnsi="仿宋_GB2312" w:eastAsia="仿宋_GB2312" w:cs="仿宋_GB2312"/>
              </w:rPr>
              <w:t>50%</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14:paraId="2E957FC9">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结转结余率在</w:t>
            </w:r>
            <w:r>
              <w:rPr>
                <w:rFonts w:ascii="仿宋_GB2312" w:hAnsi="仿宋_GB2312" w:eastAsia="仿宋_GB2312" w:cs="仿宋_GB2312"/>
              </w:rPr>
              <w:t>0-50%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14:paraId="7379608A">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（结转结余率）－某部门结转结余率</w:t>
            </w:r>
            <w:r>
              <w:rPr>
                <w:rFonts w:ascii="仿宋_GB2312" w:hAnsi="仿宋_GB2312" w:eastAsia="仿宋_GB2312" w:cs="仿宋_GB2312"/>
              </w:rPr>
              <w:t>]/[max</w:t>
            </w:r>
            <w:r>
              <w:rPr>
                <w:rFonts w:ascii="宋体" w:hAnsi="宋体" w:eastAsia="宋体" w:cs="宋体"/>
              </w:rPr>
              <w:t>（结转结余率）－</w:t>
            </w:r>
            <w:r>
              <w:rPr>
                <w:rFonts w:ascii="仿宋_GB2312" w:hAnsi="仿宋_GB2312" w:eastAsia="仿宋_GB2312" w:cs="仿宋_GB2312"/>
              </w:rPr>
              <w:t>min</w:t>
            </w:r>
            <w:r>
              <w:rPr>
                <w:rFonts w:ascii="宋体" w:hAnsi="宋体" w:eastAsia="宋体" w:cs="宋体"/>
              </w:rPr>
              <w:t>（结转结余率）</w:t>
            </w:r>
            <w:r>
              <w:rPr>
                <w:rFonts w:ascii="仿宋_GB2312" w:hAnsi="仿宋_GB2312" w:eastAsia="仿宋_GB2312" w:cs="仿宋_GB2312"/>
              </w:rPr>
              <w:t>]</w:t>
            </w:r>
            <w:r>
              <w:rPr>
                <w:rFonts w:ascii="宋体" w:hAnsi="宋体" w:eastAsia="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BB9853">
            <w:pPr>
              <w:jc w:val="left"/>
              <w:rPr>
                <w:rFonts w:ascii="宋体" w:hAnsi="宋体" w:eastAsia="宋体" w:cs="宋体"/>
                <w:sz w:val="22"/>
              </w:rPr>
            </w:pPr>
            <w:r>
              <w:rPr>
                <w:rFonts w:ascii="宋体" w:hAnsi="宋体" w:eastAsia="宋体" w:cs="宋体"/>
                <w:sz w:val="22"/>
              </w:rPr>
              <w:t>3</w:t>
            </w:r>
          </w:p>
        </w:tc>
      </w:tr>
      <w:tr w14:paraId="726CDCFA">
        <w:tblPrEx>
          <w:tblCellMar>
            <w:top w:w="0" w:type="dxa"/>
            <w:left w:w="10" w:type="dxa"/>
            <w:bottom w:w="0" w:type="dxa"/>
            <w:right w:w="10"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36AB85">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EF97B">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128918">
            <w:pPr>
              <w:jc w:val="left"/>
            </w:pPr>
            <w:r>
              <w:rPr>
                <w:rFonts w:ascii="宋体" w:hAnsi="宋体" w:eastAsia="宋体" w:cs="宋体"/>
              </w:rPr>
              <w:t>公用经费控制率（</w:t>
            </w:r>
            <w:r>
              <w:rPr>
                <w:rFonts w:ascii="仿宋_GB2312" w:hAnsi="仿宋_GB2312" w:eastAsia="仿宋_GB2312" w:cs="仿宋_GB2312"/>
              </w:rPr>
              <w:t>4</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16316">
            <w:pPr>
              <w:jc w:val="left"/>
              <w:rPr>
                <w:rFonts w:ascii="Calibri" w:hAnsi="Calibri" w:eastAsia="Calibri" w:cs="Calibri"/>
              </w:rPr>
            </w:pPr>
            <w:r>
              <w:rPr>
                <w:rFonts w:ascii="宋体" w:hAnsi="宋体" w:eastAsia="宋体" w:cs="宋体"/>
              </w:rPr>
              <w:t>通过对部门本年度实际支出的公用经费总额与预算安排的公用经费总额的比率，反映和评价部门对机构运转成本的实际控制程度。</w:t>
            </w:r>
          </w:p>
          <w:p w14:paraId="0C233610">
            <w:pPr>
              <w:jc w:val="left"/>
            </w:pPr>
            <w:r>
              <w:rPr>
                <w:rFonts w:ascii="宋体" w:hAnsi="宋体" w:eastAsia="宋体" w:cs="宋体"/>
              </w:rPr>
              <w:t>公用经费控制率</w:t>
            </w:r>
            <w:r>
              <w:rPr>
                <w:rFonts w:ascii="仿宋_GB2312" w:hAnsi="仿宋_GB2312" w:eastAsia="仿宋_GB2312" w:cs="仿宋_GB2312"/>
              </w:rPr>
              <w:t>=</w:t>
            </w:r>
            <w:r>
              <w:rPr>
                <w:rFonts w:ascii="宋体" w:hAnsi="宋体" w:eastAsia="宋体" w:cs="宋体"/>
              </w:rPr>
              <w:t>（实际支出公用经费总额</w:t>
            </w:r>
            <w:r>
              <w:rPr>
                <w:rFonts w:ascii="仿宋_GB2312" w:hAnsi="仿宋_GB2312" w:eastAsia="仿宋_GB2312" w:cs="仿宋_GB2312"/>
              </w:rPr>
              <w:t>/</w:t>
            </w:r>
            <w:r>
              <w:rPr>
                <w:rFonts w:ascii="宋体" w:hAnsi="宋体" w:eastAsia="宋体" w:cs="宋体"/>
              </w:rPr>
              <w:t>预算安排公用经费总额）×</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AF10AC">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公用经费控制率小于或等于</w:t>
            </w:r>
            <w:r>
              <w:rPr>
                <w:rFonts w:ascii="仿宋_GB2312" w:hAnsi="仿宋_GB2312" w:eastAsia="仿宋_GB2312" w:cs="仿宋_GB2312"/>
              </w:rPr>
              <w:t>100%</w:t>
            </w:r>
            <w:r>
              <w:rPr>
                <w:rFonts w:ascii="宋体" w:hAnsi="宋体" w:eastAsia="宋体" w:cs="宋体"/>
              </w:rPr>
              <w:t>的，得满分；</w:t>
            </w:r>
          </w:p>
          <w:p w14:paraId="27BAAD1A">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公用经费控制率大于或等于</w:t>
            </w:r>
            <w:r>
              <w:rPr>
                <w:rFonts w:ascii="仿宋_GB2312" w:hAnsi="仿宋_GB2312" w:eastAsia="仿宋_GB2312" w:cs="仿宋_GB2312"/>
              </w:rPr>
              <w:t>105%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14:paraId="7572FC3A">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公用经费控制率在</w:t>
            </w:r>
            <w:r>
              <w:rPr>
                <w:rFonts w:ascii="仿宋_GB2312" w:hAnsi="仿宋_GB2312" w:eastAsia="仿宋_GB2312" w:cs="仿宋_GB2312"/>
              </w:rPr>
              <w:t>100%-105%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14:paraId="7D50018D">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（公用经费控制率）</w:t>
            </w:r>
            <w:r>
              <w:rPr>
                <w:rFonts w:ascii="仿宋_GB2312" w:hAnsi="仿宋_GB2312" w:eastAsia="仿宋_GB2312" w:cs="仿宋_GB2312"/>
              </w:rPr>
              <w:t>-</w:t>
            </w:r>
            <w:r>
              <w:rPr>
                <w:rFonts w:ascii="宋体" w:hAnsi="宋体" w:eastAsia="宋体" w:cs="宋体"/>
              </w:rPr>
              <w:t>某部门公用经费控制率］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（公用经费控制率）</w:t>
            </w:r>
            <w:r>
              <w:rPr>
                <w:rFonts w:ascii="仿宋_GB2312" w:hAnsi="仿宋_GB2312" w:eastAsia="仿宋_GB2312" w:cs="仿宋_GB2312"/>
              </w:rPr>
              <w:t>-min</w:t>
            </w:r>
            <w:r>
              <w:rPr>
                <w:rFonts w:ascii="宋体" w:hAnsi="宋体" w:eastAsia="宋体" w:cs="宋体"/>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B8C9C6">
            <w:pPr>
              <w:jc w:val="left"/>
              <w:rPr>
                <w:rFonts w:ascii="宋体" w:hAnsi="宋体" w:eastAsia="宋体" w:cs="宋体"/>
                <w:sz w:val="22"/>
              </w:rPr>
            </w:pPr>
            <w:r>
              <w:rPr>
                <w:rFonts w:ascii="宋体" w:hAnsi="宋体" w:eastAsia="宋体" w:cs="宋体"/>
                <w:sz w:val="22"/>
              </w:rPr>
              <w:t>4</w:t>
            </w:r>
          </w:p>
        </w:tc>
      </w:tr>
      <w:tr w14:paraId="0D5B74CF">
        <w:tblPrEx>
          <w:tblCellMar>
            <w:top w:w="0" w:type="dxa"/>
            <w:left w:w="10" w:type="dxa"/>
            <w:bottom w:w="0" w:type="dxa"/>
            <w:right w:w="10"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15E15">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FD0A8F">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0FFB09">
            <w:pPr>
              <w:jc w:val="left"/>
            </w:pPr>
            <w:r>
              <w:rPr>
                <w:rFonts w:ascii="宋体" w:hAnsi="宋体" w:eastAsia="宋体" w:cs="宋体"/>
              </w:rPr>
              <w:t>政府采购执行率（</w:t>
            </w:r>
            <w:r>
              <w:rPr>
                <w:rFonts w:ascii="仿宋_GB2312" w:hAnsi="仿宋_GB2312" w:eastAsia="仿宋_GB2312" w:cs="仿宋_GB2312"/>
              </w:rPr>
              <w:t>4</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9CD99">
            <w:pPr>
              <w:jc w:val="left"/>
              <w:rPr>
                <w:rFonts w:ascii="Calibri" w:hAnsi="Calibri" w:eastAsia="Calibri" w:cs="Calibri"/>
              </w:rPr>
            </w:pPr>
            <w:r>
              <w:rPr>
                <w:rFonts w:ascii="宋体" w:hAnsi="宋体" w:eastAsia="宋体" w:cs="宋体"/>
              </w:rPr>
              <w:t>通过对部门本年度实际政府采购预算项目个数与政府采购预算项目个数的比较，反映和评价部门政府采购预算执行情况。</w:t>
            </w:r>
          </w:p>
          <w:p w14:paraId="5EF756A9">
            <w:pPr>
              <w:jc w:val="left"/>
              <w:rPr>
                <w:rFonts w:ascii="Calibri" w:hAnsi="Calibri" w:eastAsia="Calibri" w:cs="Calibri"/>
              </w:rPr>
            </w:pPr>
            <w:r>
              <w:rPr>
                <w:rFonts w:ascii="宋体" w:hAnsi="宋体" w:eastAsia="宋体" w:cs="宋体"/>
              </w:rPr>
              <w:t>政府采购执行率</w:t>
            </w:r>
            <w:r>
              <w:rPr>
                <w:rFonts w:ascii="仿宋_GB2312" w:hAnsi="仿宋_GB2312" w:eastAsia="仿宋_GB2312" w:cs="仿宋_GB2312"/>
              </w:rPr>
              <w:t>=</w:t>
            </w:r>
            <w:r>
              <w:rPr>
                <w:rFonts w:ascii="宋体" w:hAnsi="宋体" w:eastAsia="宋体" w:cs="宋体"/>
              </w:rPr>
              <w:t>（实际政府采购预算项目个数</w:t>
            </w:r>
            <w:r>
              <w:rPr>
                <w:rFonts w:ascii="仿宋_GB2312" w:hAnsi="仿宋_GB2312" w:eastAsia="仿宋_GB2312" w:cs="仿宋_GB2312"/>
              </w:rPr>
              <w:t>/</w:t>
            </w:r>
            <w:r>
              <w:rPr>
                <w:rFonts w:ascii="宋体" w:hAnsi="宋体" w:eastAsia="宋体" w:cs="宋体"/>
              </w:rPr>
              <w:t>政府采购预算项目个数）×</w:t>
            </w:r>
            <w:r>
              <w:rPr>
                <w:rFonts w:ascii="仿宋_GB2312" w:hAnsi="仿宋_GB2312" w:eastAsia="仿宋_GB2312" w:cs="仿宋_GB2312"/>
              </w:rPr>
              <w:t>100%</w:t>
            </w:r>
            <w:r>
              <w:rPr>
                <w:rFonts w:ascii="宋体" w:hAnsi="宋体" w:eastAsia="宋体" w:cs="宋体"/>
              </w:rPr>
              <w:t>。</w:t>
            </w:r>
          </w:p>
          <w:p w14:paraId="429D3D24">
            <w:pPr>
              <w:jc w:val="left"/>
            </w:pPr>
            <w:r>
              <w:rPr>
                <w:rFonts w:ascii="宋体" w:hAnsi="宋体" w:eastAsia="宋体" w:cs="宋体"/>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F86E02">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政府采购执行率等于</w:t>
            </w:r>
            <w:r>
              <w:rPr>
                <w:rFonts w:ascii="仿宋_GB2312" w:hAnsi="仿宋_GB2312" w:eastAsia="仿宋_GB2312" w:cs="仿宋_GB2312"/>
              </w:rPr>
              <w:t>100%</w:t>
            </w:r>
            <w:r>
              <w:rPr>
                <w:rFonts w:ascii="宋体" w:hAnsi="宋体" w:eastAsia="宋体" w:cs="宋体"/>
              </w:rPr>
              <w:t>的，得满分；</w:t>
            </w:r>
          </w:p>
          <w:p w14:paraId="10AB38AC">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政府采购执行率小于或等于</w:t>
            </w:r>
            <w:r>
              <w:rPr>
                <w:rFonts w:ascii="仿宋_GB2312" w:hAnsi="仿宋_GB2312" w:eastAsia="仿宋_GB2312" w:cs="仿宋_GB2312"/>
              </w:rPr>
              <w:t>90%</w:t>
            </w:r>
            <w:r>
              <w:rPr>
                <w:rFonts w:ascii="宋体" w:hAnsi="宋体" w:eastAsia="宋体" w:cs="宋体"/>
              </w:rPr>
              <w:t>的，</w:t>
            </w:r>
            <w:r>
              <w:rPr>
                <w:rFonts w:ascii="仿宋_GB2312" w:hAnsi="仿宋_GB2312" w:eastAsia="仿宋_GB2312" w:cs="仿宋_GB2312"/>
              </w:rPr>
              <w:t>0</w:t>
            </w:r>
            <w:r>
              <w:rPr>
                <w:rFonts w:ascii="宋体" w:hAnsi="宋体" w:eastAsia="宋体" w:cs="宋体"/>
              </w:rPr>
              <w:t>分；</w:t>
            </w:r>
          </w:p>
          <w:p w14:paraId="0CE5CBE0">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政府采购执行率在</w:t>
            </w:r>
            <w:r>
              <w:rPr>
                <w:rFonts w:ascii="仿宋_GB2312" w:hAnsi="仿宋_GB2312" w:eastAsia="仿宋_GB2312" w:cs="仿宋_GB2312"/>
              </w:rPr>
              <w:t>90%-100%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14:paraId="1E080566">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［某部门政府采购执行率</w:t>
            </w:r>
            <w:r>
              <w:rPr>
                <w:rFonts w:ascii="仿宋_GB2312" w:hAnsi="仿宋_GB2312" w:eastAsia="仿宋_GB2312" w:cs="仿宋_GB2312"/>
              </w:rPr>
              <w:t>-min</w:t>
            </w:r>
            <w:r>
              <w:rPr>
                <w:rFonts w:ascii="宋体" w:hAnsi="宋体" w:eastAsia="宋体" w:cs="宋体"/>
              </w:rPr>
              <w:t>（政府采购执行率）］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（政府采购执行率）</w:t>
            </w:r>
            <w:r>
              <w:rPr>
                <w:rFonts w:ascii="仿宋_GB2312" w:hAnsi="仿宋_GB2312" w:eastAsia="仿宋_GB2312" w:cs="仿宋_GB2312"/>
              </w:rPr>
              <w:t>-min</w:t>
            </w:r>
            <w:r>
              <w:rPr>
                <w:rFonts w:ascii="宋体" w:hAnsi="宋体" w:eastAsia="宋体" w:cs="宋体"/>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62DE56">
            <w:pPr>
              <w:jc w:val="left"/>
              <w:rPr>
                <w:rFonts w:ascii="宋体" w:hAnsi="宋体" w:eastAsia="宋体" w:cs="宋体"/>
                <w:sz w:val="22"/>
              </w:rPr>
            </w:pPr>
            <w:r>
              <w:rPr>
                <w:rFonts w:ascii="宋体" w:hAnsi="宋体" w:eastAsia="宋体" w:cs="宋体"/>
                <w:sz w:val="22"/>
              </w:rPr>
              <w:t>4</w:t>
            </w:r>
          </w:p>
        </w:tc>
      </w:tr>
      <w:tr w14:paraId="5EC927BF">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7467C6">
            <w:pPr>
              <w:spacing w:line="400" w:lineRule="auto"/>
              <w:jc w:val="left"/>
              <w:rPr>
                <w:rFonts w:ascii="宋体" w:hAnsi="宋体" w:eastAsia="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C19E9">
            <w:pPr>
              <w:jc w:val="left"/>
              <w:rPr>
                <w:rFonts w:ascii="Calibri" w:hAnsi="Calibri" w:eastAsia="Calibri" w:cs="Calibri"/>
              </w:rPr>
            </w:pPr>
            <w:r>
              <w:rPr>
                <w:rFonts w:ascii="宋体" w:hAnsi="宋体" w:eastAsia="宋体" w:cs="宋体"/>
              </w:rPr>
              <w:t>预算管理情况</w:t>
            </w:r>
          </w:p>
          <w:p w14:paraId="008A8C90">
            <w:pPr>
              <w:jc w:val="left"/>
            </w:pPr>
            <w:r>
              <w:rPr>
                <w:rFonts w:ascii="宋体" w:hAnsi="宋体" w:eastAsia="宋体" w:cs="宋体"/>
              </w:rPr>
              <w:t>（</w:t>
            </w:r>
            <w:r>
              <w:rPr>
                <w:rFonts w:ascii="仿宋_GB2312" w:hAnsi="仿宋_GB2312" w:eastAsia="仿宋_GB2312" w:cs="仿宋_GB2312"/>
              </w:rPr>
              <w:t>15</w:t>
            </w:r>
            <w:r>
              <w:rPr>
                <w:rFonts w:ascii="宋体" w:hAnsi="宋体" w:eastAsia="宋体" w:cs="宋体"/>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09F69D">
            <w:pPr>
              <w:jc w:val="left"/>
            </w:pPr>
            <w:r>
              <w:rPr>
                <w:rFonts w:ascii="宋体" w:hAnsi="宋体" w:eastAsia="宋体" w:cs="宋体"/>
              </w:rPr>
              <w:t>资金使用合规性（</w:t>
            </w:r>
            <w:r>
              <w:rPr>
                <w:rFonts w:ascii="仿宋_GB2312" w:hAnsi="仿宋_GB2312" w:eastAsia="仿宋_GB2312" w:cs="仿宋_GB2312"/>
              </w:rPr>
              <w:t>8</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84EB3A">
            <w:pPr>
              <w:jc w:val="left"/>
              <w:rPr>
                <w:rFonts w:ascii="Calibri" w:hAnsi="Calibri" w:eastAsia="Calibri" w:cs="Calibri"/>
              </w:rPr>
            </w:pPr>
            <w:r>
              <w:rPr>
                <w:rFonts w:ascii="宋体" w:hAnsi="宋体" w:eastAsia="宋体" w:cs="宋体"/>
              </w:rPr>
              <w:t>部门使用预算资金是否符合相关的预算财务管理制度的规定，反映和评价部门预算资金的规范运行情况。</w:t>
            </w:r>
          </w:p>
          <w:p w14:paraId="6E225A87">
            <w:pPr>
              <w:jc w:val="left"/>
              <w:rPr>
                <w:rFonts w:ascii="Calibri" w:hAnsi="Calibri" w:eastAsia="Calibri" w:cs="Calibri"/>
              </w:rPr>
            </w:pPr>
            <w:r>
              <w:rPr>
                <w:rFonts w:ascii="宋体" w:hAnsi="宋体" w:eastAsia="宋体" w:cs="宋体"/>
              </w:rPr>
              <w:t>评价要点：</w:t>
            </w:r>
          </w:p>
          <w:p w14:paraId="4123751A">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符合国家财经法规和财务管理制度规定以及有关部门资金管理办法的规定；</w:t>
            </w:r>
          </w:p>
          <w:p w14:paraId="354724C2">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资金的拨付有完整的审批过程和手续；</w:t>
            </w:r>
          </w:p>
          <w:p w14:paraId="02FB69AA">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项目的重大开支经过评估论证；</w:t>
            </w:r>
          </w:p>
          <w:p w14:paraId="1B545C16">
            <w:pPr>
              <w:jc w:val="left"/>
              <w:rPr>
                <w:rFonts w:ascii="Calibri" w:hAnsi="Calibri" w:eastAsia="Calibri" w:cs="Calibri"/>
              </w:rPr>
            </w:pPr>
            <w:r>
              <w:rPr>
                <w:rFonts w:ascii="仿宋_GB2312" w:hAnsi="仿宋_GB2312" w:eastAsia="仿宋_GB2312" w:cs="仿宋_GB2312"/>
              </w:rPr>
              <w:t>4.</w:t>
            </w:r>
            <w:r>
              <w:rPr>
                <w:rFonts w:ascii="宋体" w:hAnsi="宋体" w:eastAsia="宋体" w:cs="宋体"/>
              </w:rPr>
              <w:t>符合部门预算批复的用途；</w:t>
            </w:r>
          </w:p>
          <w:p w14:paraId="36828ED6">
            <w:pPr>
              <w:jc w:val="left"/>
              <w:rPr>
                <w:rFonts w:ascii="Calibri" w:hAnsi="Calibri" w:eastAsia="Calibri" w:cs="Calibri"/>
              </w:rPr>
            </w:pPr>
            <w:r>
              <w:rPr>
                <w:rFonts w:ascii="仿宋_GB2312" w:hAnsi="仿宋_GB2312" w:eastAsia="仿宋_GB2312" w:cs="仿宋_GB2312"/>
              </w:rPr>
              <w:t>5.</w:t>
            </w:r>
            <w:r>
              <w:rPr>
                <w:rFonts w:ascii="宋体" w:hAnsi="宋体" w:eastAsia="宋体" w:cs="宋体"/>
              </w:rPr>
              <w:t>不存在截留情况；</w:t>
            </w:r>
          </w:p>
          <w:p w14:paraId="7274505E">
            <w:pPr>
              <w:jc w:val="left"/>
              <w:rPr>
                <w:rFonts w:ascii="Calibri" w:hAnsi="Calibri" w:eastAsia="Calibri" w:cs="Calibri"/>
              </w:rPr>
            </w:pPr>
            <w:r>
              <w:rPr>
                <w:rFonts w:ascii="仿宋_GB2312" w:hAnsi="仿宋_GB2312" w:eastAsia="仿宋_GB2312" w:cs="仿宋_GB2312"/>
              </w:rPr>
              <w:t>6.</w:t>
            </w:r>
            <w:r>
              <w:rPr>
                <w:rFonts w:ascii="宋体" w:hAnsi="宋体" w:eastAsia="宋体" w:cs="宋体"/>
              </w:rPr>
              <w:t>不存在挤占情况；</w:t>
            </w:r>
          </w:p>
          <w:p w14:paraId="21DA316F">
            <w:pPr>
              <w:jc w:val="left"/>
              <w:rPr>
                <w:rFonts w:ascii="Calibri" w:hAnsi="Calibri" w:eastAsia="Calibri" w:cs="Calibri"/>
              </w:rPr>
            </w:pPr>
            <w:r>
              <w:rPr>
                <w:rFonts w:ascii="仿宋_GB2312" w:hAnsi="仿宋_GB2312" w:eastAsia="仿宋_GB2312" w:cs="仿宋_GB2312"/>
              </w:rPr>
              <w:t>7.</w:t>
            </w:r>
            <w:r>
              <w:rPr>
                <w:rFonts w:ascii="宋体" w:hAnsi="宋体" w:eastAsia="宋体" w:cs="宋体"/>
              </w:rPr>
              <w:t>不存在挪用情况；</w:t>
            </w:r>
          </w:p>
          <w:p w14:paraId="440A4AC2">
            <w:pPr>
              <w:jc w:val="left"/>
            </w:pPr>
            <w:r>
              <w:rPr>
                <w:rFonts w:ascii="仿宋_GB2312" w:hAnsi="仿宋_GB2312" w:eastAsia="仿宋_GB2312" w:cs="仿宋_GB2312"/>
              </w:rPr>
              <w:t>8.</w:t>
            </w:r>
            <w:r>
              <w:rPr>
                <w:rFonts w:ascii="宋体" w:hAnsi="宋体" w:eastAsia="宋体" w:cs="宋体"/>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1083B9">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8</w:t>
            </w:r>
            <w:r>
              <w:rPr>
                <w:rFonts w:ascii="宋体" w:hAnsi="宋体" w:eastAsia="宋体" w:cs="宋体"/>
              </w:rPr>
              <w:t>）；</w:t>
            </w:r>
          </w:p>
          <w:p w14:paraId="104E203F">
            <w:pPr>
              <w:jc w:val="left"/>
              <w:rPr>
                <w:rFonts w:ascii="Calibri" w:hAnsi="Calibri" w:eastAsia="Calibri" w:cs="Calibri"/>
              </w:rPr>
            </w:pPr>
            <w:r>
              <w:rPr>
                <w:rFonts w:ascii="宋体" w:hAnsi="宋体" w:eastAsia="宋体" w:cs="宋体"/>
              </w:rPr>
              <w:t>符合其中七项（</w:t>
            </w:r>
            <w:r>
              <w:rPr>
                <w:rFonts w:ascii="仿宋_GB2312" w:hAnsi="仿宋_GB2312" w:eastAsia="仿宋_GB2312" w:cs="仿宋_GB2312"/>
              </w:rPr>
              <w:t>6</w:t>
            </w:r>
            <w:r>
              <w:rPr>
                <w:rFonts w:ascii="宋体" w:hAnsi="宋体" w:eastAsia="宋体" w:cs="宋体"/>
              </w:rPr>
              <w:t>）；</w:t>
            </w:r>
          </w:p>
          <w:p w14:paraId="54C756E7">
            <w:pPr>
              <w:jc w:val="left"/>
              <w:rPr>
                <w:rFonts w:ascii="Calibri" w:hAnsi="Calibri" w:eastAsia="Calibri" w:cs="Calibri"/>
              </w:rPr>
            </w:pPr>
            <w:r>
              <w:rPr>
                <w:rFonts w:ascii="宋体" w:hAnsi="宋体" w:eastAsia="宋体" w:cs="宋体"/>
              </w:rPr>
              <w:t>符合其中六项（</w:t>
            </w:r>
            <w:r>
              <w:rPr>
                <w:rFonts w:ascii="仿宋_GB2312" w:hAnsi="仿宋_GB2312" w:eastAsia="仿宋_GB2312" w:cs="仿宋_GB2312"/>
              </w:rPr>
              <w:t>4</w:t>
            </w:r>
            <w:r>
              <w:rPr>
                <w:rFonts w:ascii="宋体" w:hAnsi="宋体" w:eastAsia="宋体" w:cs="宋体"/>
              </w:rPr>
              <w:t>）；</w:t>
            </w:r>
          </w:p>
          <w:p w14:paraId="20D906AB">
            <w:pPr>
              <w:jc w:val="left"/>
              <w:rPr>
                <w:rFonts w:ascii="Calibri" w:hAnsi="Calibri" w:eastAsia="Calibri" w:cs="Calibri"/>
              </w:rPr>
            </w:pPr>
            <w:r>
              <w:rPr>
                <w:rFonts w:ascii="宋体" w:hAnsi="宋体" w:eastAsia="宋体" w:cs="宋体"/>
              </w:rPr>
              <w:t>符合其中五项（</w:t>
            </w:r>
            <w:r>
              <w:rPr>
                <w:rFonts w:ascii="仿宋_GB2312" w:hAnsi="仿宋_GB2312" w:eastAsia="仿宋_GB2312" w:cs="仿宋_GB2312"/>
              </w:rPr>
              <w:t>2</w:t>
            </w:r>
            <w:r>
              <w:rPr>
                <w:rFonts w:ascii="宋体" w:hAnsi="宋体" w:eastAsia="宋体" w:cs="宋体"/>
              </w:rPr>
              <w:t>）；</w:t>
            </w:r>
          </w:p>
          <w:p w14:paraId="5E575861">
            <w:pPr>
              <w:jc w:val="left"/>
            </w:pPr>
            <w:r>
              <w:rPr>
                <w:rFonts w:ascii="宋体" w:hAnsi="宋体" w:eastAsia="宋体" w:cs="宋体"/>
              </w:rPr>
              <w:t>符合其中四项及以下（</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726928">
            <w:pPr>
              <w:jc w:val="left"/>
              <w:rPr>
                <w:rFonts w:ascii="宋体" w:hAnsi="宋体" w:eastAsia="宋体" w:cs="宋体"/>
                <w:sz w:val="22"/>
              </w:rPr>
            </w:pPr>
            <w:r>
              <w:rPr>
                <w:rFonts w:ascii="宋体" w:hAnsi="宋体" w:eastAsia="宋体" w:cs="宋体"/>
                <w:sz w:val="22"/>
              </w:rPr>
              <w:t>8</w:t>
            </w:r>
          </w:p>
        </w:tc>
      </w:tr>
      <w:tr w14:paraId="416314AD">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305F97">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F0C013">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46848D">
            <w:pPr>
              <w:jc w:val="left"/>
            </w:pPr>
            <w:r>
              <w:rPr>
                <w:rFonts w:ascii="宋体" w:hAnsi="宋体" w:eastAsia="宋体" w:cs="宋体"/>
              </w:rPr>
              <w:t>预决算信息公开性（</w:t>
            </w:r>
            <w:r>
              <w:rPr>
                <w:rFonts w:ascii="仿宋_GB2312" w:hAnsi="仿宋_GB2312" w:eastAsia="仿宋_GB2312" w:cs="仿宋_GB2312"/>
              </w:rPr>
              <w:t>3</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3E0D78">
            <w:pPr>
              <w:jc w:val="left"/>
              <w:rPr>
                <w:rFonts w:ascii="Calibri" w:hAnsi="Calibri" w:eastAsia="Calibri" w:cs="Calibri"/>
              </w:rPr>
            </w:pPr>
            <w:r>
              <w:rPr>
                <w:rFonts w:ascii="宋体" w:hAnsi="宋体" w:eastAsia="宋体" w:cs="宋体"/>
              </w:rPr>
              <w:t>部门是否按照政府信息公开有关规定公开相关预决算信息，用以反映和评价部门预决算管理的公开透明情况。</w:t>
            </w:r>
          </w:p>
          <w:p w14:paraId="29125869">
            <w:pPr>
              <w:jc w:val="left"/>
              <w:rPr>
                <w:rFonts w:ascii="Calibri" w:hAnsi="Calibri" w:eastAsia="Calibri" w:cs="Calibri"/>
              </w:rPr>
            </w:pPr>
            <w:r>
              <w:rPr>
                <w:rFonts w:ascii="宋体" w:hAnsi="宋体" w:eastAsia="宋体" w:cs="宋体"/>
              </w:rPr>
              <w:t>预决算信息是指与部门预算、执行、决算、监督、绩效等管理相关的信息。</w:t>
            </w:r>
          </w:p>
          <w:p w14:paraId="041F2EC8">
            <w:pPr>
              <w:jc w:val="left"/>
              <w:rPr>
                <w:rFonts w:ascii="Calibri" w:hAnsi="Calibri" w:eastAsia="Calibri" w:cs="Calibri"/>
              </w:rPr>
            </w:pPr>
            <w:r>
              <w:rPr>
                <w:rFonts w:ascii="宋体" w:hAnsi="宋体" w:eastAsia="宋体" w:cs="宋体"/>
              </w:rPr>
              <w:t>评价要点：</w:t>
            </w:r>
          </w:p>
          <w:p w14:paraId="04EB4C58">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公开预决算信息；</w:t>
            </w:r>
          </w:p>
          <w:p w14:paraId="2F0D17CA">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按规定内容公开预决算信息；</w:t>
            </w:r>
          </w:p>
          <w:p w14:paraId="0DBEB186">
            <w:pPr>
              <w:jc w:val="left"/>
            </w:pPr>
            <w:r>
              <w:rPr>
                <w:rFonts w:ascii="仿宋_GB2312" w:hAnsi="仿宋_GB2312" w:eastAsia="仿宋_GB2312" w:cs="仿宋_GB2312"/>
              </w:rPr>
              <w:t>3.</w:t>
            </w:r>
            <w:r>
              <w:rPr>
                <w:rFonts w:ascii="宋体" w:hAnsi="宋体" w:eastAsia="宋体" w:cs="宋体"/>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65DF6F">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3</w:t>
            </w:r>
            <w:r>
              <w:rPr>
                <w:rFonts w:ascii="宋体" w:hAnsi="宋体" w:eastAsia="宋体" w:cs="宋体"/>
              </w:rPr>
              <w:t>）；</w:t>
            </w:r>
          </w:p>
          <w:p w14:paraId="7E69C812">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2</w:t>
            </w:r>
            <w:r>
              <w:rPr>
                <w:rFonts w:ascii="宋体" w:hAnsi="宋体" w:eastAsia="宋体" w:cs="宋体"/>
              </w:rPr>
              <w:t>）</w:t>
            </w:r>
          </w:p>
          <w:p w14:paraId="4120BED3">
            <w:pPr>
              <w:jc w:val="left"/>
            </w:pPr>
            <w:r>
              <w:rPr>
                <w:rFonts w:ascii="宋体" w:hAnsi="宋体" w:eastAsia="宋体" w:cs="宋体"/>
              </w:rPr>
              <w:t>符合其中一项及以下（</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12EF7E">
            <w:pPr>
              <w:jc w:val="left"/>
              <w:rPr>
                <w:rFonts w:ascii="宋体" w:hAnsi="宋体" w:eastAsia="宋体" w:cs="宋体"/>
                <w:sz w:val="22"/>
              </w:rPr>
            </w:pPr>
            <w:r>
              <w:rPr>
                <w:rFonts w:ascii="宋体" w:hAnsi="宋体" w:eastAsia="宋体" w:cs="宋体"/>
                <w:sz w:val="22"/>
              </w:rPr>
              <w:t>3</w:t>
            </w:r>
          </w:p>
        </w:tc>
      </w:tr>
      <w:tr w14:paraId="03C4D990">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C0E221">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A996C6">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5868C7">
            <w:pPr>
              <w:jc w:val="left"/>
            </w:pPr>
            <w:r>
              <w:rPr>
                <w:rFonts w:ascii="宋体" w:hAnsi="宋体" w:eastAsia="宋体" w:cs="宋体"/>
                <w:color w:val="000000"/>
              </w:rPr>
              <w:t>基础信息完善性</w:t>
            </w:r>
            <w:r>
              <w:rPr>
                <w:rFonts w:ascii="宋体" w:hAnsi="宋体" w:eastAsia="宋体" w:cs="宋体"/>
              </w:rPr>
              <w:t>（</w:t>
            </w:r>
            <w:r>
              <w:rPr>
                <w:rFonts w:ascii="仿宋_GB2312" w:hAnsi="仿宋_GB2312" w:eastAsia="仿宋_GB2312" w:cs="仿宋_GB2312"/>
              </w:rPr>
              <w:t>4</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8DDB1F">
            <w:pPr>
              <w:jc w:val="left"/>
              <w:rPr>
                <w:rFonts w:ascii="Calibri" w:hAnsi="Calibri" w:eastAsia="Calibri" w:cs="Calibri"/>
              </w:rPr>
            </w:pPr>
            <w:r>
              <w:rPr>
                <w:rFonts w:ascii="宋体" w:hAnsi="宋体" w:eastAsia="宋体" w:cs="宋体"/>
              </w:rPr>
              <w:t>部门基础信息是否完善，用以反映和评价基础信息对预算管理工作的支撑情况。</w:t>
            </w:r>
          </w:p>
          <w:p w14:paraId="14B83AC3">
            <w:pPr>
              <w:jc w:val="left"/>
              <w:rPr>
                <w:rFonts w:ascii="Calibri" w:hAnsi="Calibri" w:eastAsia="Calibri" w:cs="Calibri"/>
              </w:rPr>
            </w:pPr>
            <w:r>
              <w:rPr>
                <w:rFonts w:ascii="宋体" w:hAnsi="宋体" w:eastAsia="宋体" w:cs="宋体"/>
              </w:rPr>
              <w:t>评价要点：</w:t>
            </w:r>
          </w:p>
          <w:p w14:paraId="6C235DE6">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基本财务管理制度健全；</w:t>
            </w:r>
          </w:p>
          <w:p w14:paraId="3875FE0A">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基础数据信息和会计信息资料真实；</w:t>
            </w:r>
          </w:p>
          <w:p w14:paraId="1C230BA5">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基础数据信息和会计信息资料完整；</w:t>
            </w:r>
          </w:p>
          <w:p w14:paraId="2F13DBBA">
            <w:pPr>
              <w:jc w:val="left"/>
            </w:pPr>
            <w:r>
              <w:rPr>
                <w:rFonts w:ascii="仿宋_GB2312" w:hAnsi="仿宋_GB2312" w:eastAsia="仿宋_GB2312" w:cs="仿宋_GB2312"/>
              </w:rPr>
              <w:t>4.</w:t>
            </w:r>
            <w:r>
              <w:rPr>
                <w:rFonts w:ascii="宋体" w:hAnsi="宋体" w:eastAsia="宋体" w:cs="宋体"/>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BC8148">
            <w:pPr>
              <w:jc w:val="left"/>
              <w:rPr>
                <w:rFonts w:ascii="Calibri" w:hAnsi="Calibri" w:eastAsia="Calibri" w:cs="Calibri"/>
              </w:rPr>
            </w:pPr>
            <w:r>
              <w:rPr>
                <w:rFonts w:ascii="宋体" w:hAnsi="宋体" w:eastAsia="宋体" w:cs="宋体"/>
              </w:rPr>
              <w:t>符合全部四项（</w:t>
            </w:r>
            <w:r>
              <w:rPr>
                <w:rFonts w:ascii="仿宋_GB2312" w:hAnsi="仿宋_GB2312" w:eastAsia="仿宋_GB2312" w:cs="仿宋_GB2312"/>
              </w:rPr>
              <w:t>4</w:t>
            </w:r>
            <w:r>
              <w:rPr>
                <w:rFonts w:ascii="宋体" w:hAnsi="宋体" w:eastAsia="宋体" w:cs="宋体"/>
              </w:rPr>
              <w:t>）；</w:t>
            </w:r>
          </w:p>
          <w:p w14:paraId="11BA594B">
            <w:pPr>
              <w:jc w:val="left"/>
              <w:rPr>
                <w:rFonts w:ascii="Calibri" w:hAnsi="Calibri" w:eastAsia="Calibri" w:cs="Calibri"/>
              </w:rPr>
            </w:pPr>
            <w:r>
              <w:rPr>
                <w:rFonts w:ascii="宋体" w:hAnsi="宋体" w:eastAsia="宋体" w:cs="宋体"/>
              </w:rPr>
              <w:t>符合其中三项（</w:t>
            </w:r>
            <w:r>
              <w:rPr>
                <w:rFonts w:ascii="仿宋_GB2312" w:hAnsi="仿宋_GB2312" w:eastAsia="仿宋_GB2312" w:cs="仿宋_GB2312"/>
              </w:rPr>
              <w:t>2</w:t>
            </w:r>
            <w:r>
              <w:rPr>
                <w:rFonts w:ascii="宋体" w:hAnsi="宋体" w:eastAsia="宋体" w:cs="宋体"/>
              </w:rPr>
              <w:t>）；</w:t>
            </w:r>
          </w:p>
          <w:p w14:paraId="09E243CB">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1</w:t>
            </w:r>
            <w:r>
              <w:rPr>
                <w:rFonts w:ascii="宋体" w:hAnsi="宋体" w:eastAsia="宋体" w:cs="宋体"/>
              </w:rPr>
              <w:t>）；</w:t>
            </w:r>
          </w:p>
          <w:p w14:paraId="0B41F2A2">
            <w:pPr>
              <w:jc w:val="left"/>
            </w:pPr>
            <w:r>
              <w:rPr>
                <w:rFonts w:ascii="宋体" w:hAnsi="宋体" w:eastAsia="宋体" w:cs="宋体"/>
              </w:rPr>
              <w:t>符合其中一项及以下（</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70540E">
            <w:pPr>
              <w:jc w:val="left"/>
              <w:rPr>
                <w:rFonts w:ascii="宋体" w:hAnsi="宋体" w:eastAsia="宋体" w:cs="宋体"/>
                <w:sz w:val="22"/>
              </w:rPr>
            </w:pPr>
            <w:r>
              <w:rPr>
                <w:rFonts w:ascii="宋体" w:hAnsi="宋体" w:eastAsia="宋体" w:cs="宋体"/>
                <w:sz w:val="22"/>
              </w:rPr>
              <w:t>4</w:t>
            </w:r>
          </w:p>
        </w:tc>
      </w:tr>
      <w:tr w14:paraId="37D5F986">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E9339">
            <w:pPr>
              <w:spacing w:line="400" w:lineRule="auto"/>
              <w:jc w:val="left"/>
              <w:rPr>
                <w:rFonts w:ascii="宋体" w:hAnsi="宋体" w:eastAsia="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B3A79">
            <w:pPr>
              <w:jc w:val="left"/>
            </w:pPr>
            <w:r>
              <w:rPr>
                <w:rFonts w:ascii="宋体" w:hAnsi="宋体" w:eastAsia="宋体" w:cs="宋体"/>
              </w:rPr>
              <w:t>资产管理情况（</w:t>
            </w:r>
            <w:r>
              <w:rPr>
                <w:rFonts w:ascii="仿宋_GB2312" w:hAnsi="仿宋_GB2312" w:eastAsia="仿宋_GB2312" w:cs="仿宋_GB2312"/>
              </w:rPr>
              <w:t>5</w:t>
            </w:r>
            <w:r>
              <w:rPr>
                <w:rFonts w:ascii="宋体" w:hAnsi="宋体" w:eastAsia="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3B1A19">
            <w:pPr>
              <w:jc w:val="left"/>
            </w:pPr>
            <w:r>
              <w:rPr>
                <w:rFonts w:ascii="宋体" w:hAnsi="宋体" w:eastAsia="宋体" w:cs="宋体"/>
              </w:rPr>
              <w:t>资产管理完整性（</w:t>
            </w:r>
            <w:r>
              <w:rPr>
                <w:rFonts w:ascii="仿宋_GB2312" w:hAnsi="仿宋_GB2312" w:eastAsia="仿宋_GB2312" w:cs="仿宋_GB2312"/>
              </w:rPr>
              <w:t>2</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D4A47">
            <w:pPr>
              <w:jc w:val="left"/>
              <w:rPr>
                <w:rFonts w:ascii="Calibri" w:hAnsi="Calibri" w:eastAsia="Calibri" w:cs="Calibri"/>
              </w:rPr>
            </w:pPr>
            <w:r>
              <w:rPr>
                <w:rFonts w:ascii="宋体" w:hAnsi="宋体" w:eastAsia="宋体" w:cs="宋体"/>
              </w:rPr>
              <w:t>部门的资产是否保存完整、使用合规、收入及时足额上缴，用以反映和评价部门资产运行情况。</w:t>
            </w:r>
          </w:p>
          <w:p w14:paraId="5CED63A7">
            <w:pPr>
              <w:jc w:val="left"/>
              <w:rPr>
                <w:rFonts w:ascii="Calibri" w:hAnsi="Calibri" w:eastAsia="Calibri" w:cs="Calibri"/>
              </w:rPr>
            </w:pPr>
            <w:r>
              <w:rPr>
                <w:rFonts w:ascii="宋体" w:hAnsi="宋体" w:eastAsia="宋体" w:cs="宋体"/>
              </w:rPr>
              <w:t>评价要点：</w:t>
            </w:r>
          </w:p>
          <w:p w14:paraId="3167AEF1">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资产保存完整；</w:t>
            </w:r>
          </w:p>
          <w:p w14:paraId="04A6B3C3">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资产账务管理是否合规，</w:t>
            </w:r>
            <w:r>
              <w:rPr>
                <w:rFonts w:hint="eastAsia" w:ascii="宋体" w:hAnsi="宋体" w:eastAsia="宋体" w:cs="宋体"/>
                <w:lang w:eastAsia="zh-CN"/>
              </w:rPr>
              <w:t>账实相符</w:t>
            </w:r>
            <w:r>
              <w:rPr>
                <w:rFonts w:ascii="宋体" w:hAnsi="宋体" w:eastAsia="宋体" w:cs="宋体"/>
              </w:rPr>
              <w:t>；</w:t>
            </w:r>
          </w:p>
          <w:p w14:paraId="45F64745">
            <w:pPr>
              <w:jc w:val="left"/>
            </w:pPr>
            <w:r>
              <w:rPr>
                <w:rFonts w:ascii="仿宋_GB2312" w:hAnsi="仿宋_GB2312" w:eastAsia="仿宋_GB2312" w:cs="仿宋_GB2312"/>
              </w:rPr>
              <w:t>3.</w:t>
            </w:r>
            <w:r>
              <w:rPr>
                <w:rFonts w:ascii="宋体" w:hAnsi="宋体" w:eastAsia="宋体" w:cs="宋体"/>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C55B3">
            <w:pPr>
              <w:jc w:val="left"/>
              <w:rPr>
                <w:rFonts w:ascii="Calibri" w:hAnsi="Calibri" w:eastAsia="Calibri" w:cs="Calibri"/>
              </w:rPr>
            </w:pPr>
            <w:r>
              <w:rPr>
                <w:rFonts w:ascii="宋体" w:hAnsi="宋体" w:eastAsia="宋体" w:cs="宋体"/>
              </w:rPr>
              <w:t>符合全部三项（</w:t>
            </w:r>
            <w:r>
              <w:rPr>
                <w:rFonts w:ascii="仿宋_GB2312" w:hAnsi="仿宋_GB2312" w:eastAsia="仿宋_GB2312" w:cs="仿宋_GB2312"/>
              </w:rPr>
              <w:t>3</w:t>
            </w:r>
            <w:r>
              <w:rPr>
                <w:rFonts w:ascii="宋体" w:hAnsi="宋体" w:eastAsia="宋体" w:cs="宋体"/>
              </w:rPr>
              <w:t>）；</w:t>
            </w:r>
          </w:p>
          <w:p w14:paraId="278A5153">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2</w:t>
            </w:r>
            <w:r>
              <w:rPr>
                <w:rFonts w:ascii="宋体" w:hAnsi="宋体" w:eastAsia="宋体" w:cs="宋体"/>
              </w:rPr>
              <w:t>）；</w:t>
            </w:r>
          </w:p>
          <w:p w14:paraId="3D2A0EA9">
            <w:pPr>
              <w:jc w:val="left"/>
              <w:rPr>
                <w:rFonts w:ascii="Calibri" w:hAnsi="Calibri" w:eastAsia="Calibri" w:cs="Calibri"/>
              </w:rPr>
            </w:pPr>
            <w:r>
              <w:rPr>
                <w:rFonts w:ascii="宋体" w:hAnsi="宋体" w:eastAsia="宋体" w:cs="宋体"/>
              </w:rPr>
              <w:t>符合其中一项（</w:t>
            </w:r>
            <w:r>
              <w:rPr>
                <w:rFonts w:ascii="仿宋_GB2312" w:hAnsi="仿宋_GB2312" w:eastAsia="仿宋_GB2312" w:cs="仿宋_GB2312"/>
              </w:rPr>
              <w:t>1</w:t>
            </w:r>
            <w:r>
              <w:rPr>
                <w:rFonts w:ascii="宋体" w:hAnsi="宋体" w:eastAsia="宋体" w:cs="宋体"/>
              </w:rPr>
              <w:t>）；</w:t>
            </w:r>
          </w:p>
          <w:p w14:paraId="56043884">
            <w:pPr>
              <w:jc w:val="left"/>
            </w:pPr>
            <w:r>
              <w:rPr>
                <w:rFonts w:ascii="宋体" w:hAnsi="宋体" w:eastAsia="宋体" w:cs="宋体"/>
              </w:rPr>
              <w:t>符合零项（</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094B2A">
            <w:pPr>
              <w:jc w:val="left"/>
              <w:rPr>
                <w:rFonts w:ascii="宋体" w:hAnsi="宋体" w:eastAsia="宋体" w:cs="宋体"/>
                <w:sz w:val="22"/>
              </w:rPr>
            </w:pPr>
            <w:r>
              <w:rPr>
                <w:rFonts w:ascii="宋体" w:hAnsi="宋体" w:eastAsia="宋体" w:cs="宋体"/>
                <w:sz w:val="22"/>
              </w:rPr>
              <w:t>2</w:t>
            </w:r>
          </w:p>
        </w:tc>
      </w:tr>
      <w:tr w14:paraId="3F69AAD9">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B07EC6">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651C95">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A4CF67">
            <w:pPr>
              <w:jc w:val="left"/>
            </w:pPr>
            <w:r>
              <w:rPr>
                <w:rFonts w:ascii="宋体" w:hAnsi="宋体" w:eastAsia="宋体" w:cs="宋体"/>
              </w:rPr>
              <w:t>固定资产利用率（</w:t>
            </w:r>
            <w:r>
              <w:rPr>
                <w:rFonts w:ascii="仿宋_GB2312" w:hAnsi="仿宋_GB2312" w:eastAsia="仿宋_GB2312" w:cs="仿宋_GB2312"/>
              </w:rPr>
              <w:t>3</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4190E6">
            <w:pPr>
              <w:jc w:val="left"/>
              <w:rPr>
                <w:rFonts w:ascii="Calibri" w:hAnsi="Calibri" w:eastAsia="Calibri" w:cs="Calibri"/>
              </w:rPr>
            </w:pPr>
            <w:r>
              <w:rPr>
                <w:rFonts w:ascii="宋体" w:hAnsi="宋体" w:eastAsia="宋体" w:cs="宋体"/>
              </w:rPr>
              <w:t>部门实际在用固定资产总额与所有固定资产总额的比率，用以反映和评价部门固定资产使用效率。</w:t>
            </w:r>
          </w:p>
          <w:p w14:paraId="74158F84">
            <w:pPr>
              <w:jc w:val="left"/>
            </w:pPr>
            <w:r>
              <w:rPr>
                <w:rFonts w:ascii="宋体" w:hAnsi="宋体" w:eastAsia="宋体" w:cs="宋体"/>
              </w:rPr>
              <w:t>固定资产利用率</w:t>
            </w:r>
            <w:r>
              <w:rPr>
                <w:rFonts w:ascii="仿宋_GB2312" w:hAnsi="仿宋_GB2312" w:eastAsia="仿宋_GB2312" w:cs="仿宋_GB2312"/>
              </w:rPr>
              <w:t>=</w:t>
            </w:r>
            <w:r>
              <w:rPr>
                <w:rFonts w:ascii="宋体" w:hAnsi="宋体" w:eastAsia="宋体" w:cs="宋体"/>
              </w:rPr>
              <w:t>（实际在用固定资产总额</w:t>
            </w:r>
            <w:r>
              <w:rPr>
                <w:rFonts w:ascii="仿宋_GB2312" w:hAnsi="仿宋_GB2312" w:eastAsia="仿宋_GB2312" w:cs="仿宋_GB2312"/>
              </w:rPr>
              <w:t>/</w:t>
            </w:r>
            <w:r>
              <w:rPr>
                <w:rFonts w:ascii="宋体" w:hAnsi="宋体" w:eastAsia="宋体" w:cs="宋体"/>
              </w:rPr>
              <w:t>所有固定资产总额）×</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1792FF">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固定资产利用率大于或等于</w:t>
            </w:r>
            <w:r>
              <w:rPr>
                <w:rFonts w:ascii="仿宋_GB2312" w:hAnsi="仿宋_GB2312" w:eastAsia="仿宋_GB2312" w:cs="仿宋_GB2312"/>
              </w:rPr>
              <w:t>95%</w:t>
            </w:r>
            <w:r>
              <w:rPr>
                <w:rFonts w:ascii="宋体" w:hAnsi="宋体" w:eastAsia="宋体" w:cs="宋体"/>
              </w:rPr>
              <w:t>的，得满分；</w:t>
            </w:r>
          </w:p>
          <w:p w14:paraId="6D0D8E66">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固定资产利用率小于或等于</w:t>
            </w:r>
            <w:r>
              <w:rPr>
                <w:rFonts w:ascii="仿宋_GB2312" w:hAnsi="仿宋_GB2312" w:eastAsia="仿宋_GB2312" w:cs="仿宋_GB2312"/>
              </w:rPr>
              <w:t>85%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14:paraId="1A8FD6BD">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固定资产利用率在</w:t>
            </w:r>
            <w:r>
              <w:rPr>
                <w:rFonts w:ascii="仿宋_GB2312" w:hAnsi="仿宋_GB2312" w:eastAsia="仿宋_GB2312" w:cs="仿宋_GB2312"/>
              </w:rPr>
              <w:t>85%-95%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14:paraId="0143BEC6">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［某部门固定资产利用率</w:t>
            </w:r>
            <w:r>
              <w:rPr>
                <w:rFonts w:ascii="仿宋_GB2312" w:hAnsi="仿宋_GB2312" w:eastAsia="仿宋_GB2312" w:cs="仿宋_GB2312"/>
              </w:rPr>
              <w:t>-min</w:t>
            </w:r>
            <w:r>
              <w:rPr>
                <w:rFonts w:ascii="宋体" w:hAnsi="宋体" w:eastAsia="宋体" w:cs="宋体"/>
              </w:rPr>
              <w:t>（固定资产利用率）］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（固定资产利用率）</w:t>
            </w:r>
            <w:r>
              <w:rPr>
                <w:rFonts w:ascii="仿宋_GB2312" w:hAnsi="仿宋_GB2312" w:eastAsia="仿宋_GB2312" w:cs="仿宋_GB2312"/>
              </w:rPr>
              <w:t>-min</w:t>
            </w:r>
            <w:r>
              <w:rPr>
                <w:rFonts w:ascii="宋体" w:hAnsi="宋体" w:eastAsia="宋体" w:cs="宋体"/>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7CE6F">
            <w:pPr>
              <w:jc w:val="left"/>
              <w:rPr>
                <w:rFonts w:ascii="宋体" w:hAnsi="宋体" w:eastAsia="宋体" w:cs="宋体"/>
                <w:sz w:val="22"/>
              </w:rPr>
            </w:pPr>
            <w:r>
              <w:rPr>
                <w:rFonts w:ascii="宋体" w:hAnsi="宋体" w:eastAsia="宋体" w:cs="宋体"/>
                <w:sz w:val="22"/>
              </w:rPr>
              <w:t>3</w:t>
            </w:r>
          </w:p>
        </w:tc>
      </w:tr>
      <w:tr w14:paraId="765ACF8C">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30E26A">
            <w:pPr>
              <w:jc w:val="left"/>
            </w:pPr>
            <w:r>
              <w:rPr>
                <w:rFonts w:ascii="宋体" w:hAnsi="宋体" w:eastAsia="宋体" w:cs="宋体"/>
              </w:rPr>
              <w:t>产出</w:t>
            </w:r>
            <w:r>
              <w:rPr>
                <w:rFonts w:ascii="仿宋_GB2312" w:hAnsi="仿宋_GB2312" w:eastAsia="仿宋_GB2312" w:cs="仿宋_GB2312"/>
              </w:rPr>
              <w:t>(25</w:t>
            </w:r>
            <w:r>
              <w:rPr>
                <w:rFonts w:ascii="宋体" w:hAnsi="宋体" w:eastAsia="宋体" w:cs="宋体"/>
              </w:rPr>
              <w:t>分</w:t>
            </w:r>
            <w:r>
              <w:rPr>
                <w:rFonts w:ascii="仿宋_GB2312" w:hAnsi="仿宋_GB2312" w:eastAsia="仿宋_GB2312" w:cs="仿宋_GB2312"/>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1303D7">
            <w:pPr>
              <w:jc w:val="left"/>
            </w:pPr>
            <w:r>
              <w:rPr>
                <w:rFonts w:ascii="宋体" w:hAnsi="宋体" w:eastAsia="宋体" w:cs="宋体"/>
              </w:rPr>
              <w:t>职责履行情况（</w:t>
            </w:r>
            <w:r>
              <w:rPr>
                <w:rFonts w:ascii="仿宋_GB2312" w:hAnsi="仿宋_GB2312" w:eastAsia="仿宋_GB2312" w:cs="仿宋_GB2312"/>
              </w:rPr>
              <w:t>25</w:t>
            </w:r>
            <w:r>
              <w:rPr>
                <w:rFonts w:ascii="宋体" w:hAnsi="宋体" w:eastAsia="宋体" w:cs="宋体"/>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FC1933">
            <w:pPr>
              <w:jc w:val="left"/>
            </w:pPr>
            <w:r>
              <w:rPr>
                <w:rFonts w:ascii="宋体" w:hAnsi="宋体" w:eastAsia="宋体" w:cs="宋体"/>
              </w:rPr>
              <w:t>履职完成情况（</w:t>
            </w:r>
            <w:r>
              <w:rPr>
                <w:rFonts w:ascii="仿宋_GB2312" w:hAnsi="仿宋_GB2312" w:eastAsia="仿宋_GB2312" w:cs="仿宋_GB2312"/>
              </w:rPr>
              <w:t>10</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23432">
            <w:pPr>
              <w:jc w:val="left"/>
            </w:pPr>
            <w:r>
              <w:rPr>
                <w:rFonts w:ascii="仿宋" w:hAnsi="仿宋" w:eastAsia="仿宋" w:cs="仿宋"/>
                <w:color w:val="000000"/>
              </w:rPr>
              <w:t>根据年度主要任务分解表的具体任务，逐项评价任务量化指标完成情况、实施效果和责任制建立情况。用以反映和考核部门（单位）履职工作任务目标的完成情况。评价要点：</w:t>
            </w:r>
            <w:r>
              <w:rPr>
                <w:rFonts w:ascii="仿宋" w:hAnsi="仿宋" w:eastAsia="仿宋" w:cs="仿宋"/>
                <w:color w:val="000000"/>
              </w:rPr>
              <w:br w:type="textWrapping"/>
            </w:r>
            <w:r>
              <w:rPr>
                <w:rFonts w:ascii="仿宋" w:hAnsi="仿宋" w:eastAsia="仿宋" w:cs="仿宋"/>
                <w:color w:val="000000"/>
              </w:rPr>
              <w:t xml:space="preserve">1.每项任务是否已制定了明确、具体、可量化、可衡量的绩效指标；           </w:t>
            </w:r>
            <w:r>
              <w:rPr>
                <w:rFonts w:ascii="仿宋" w:hAnsi="仿宋" w:eastAsia="仿宋" w:cs="仿宋"/>
                <w:color w:val="000000"/>
              </w:rPr>
              <w:br w:type="textWrapping"/>
            </w:r>
            <w:r>
              <w:rPr>
                <w:rFonts w:ascii="仿宋" w:hAnsi="仿宋" w:eastAsia="仿宋" w:cs="仿宋"/>
                <w:color w:val="000000"/>
              </w:rPr>
              <w:t>2.每项任务绩效指标的完成情况，是全部完成、基本完成、未完成，还是未实施；</w:t>
            </w:r>
            <w:r>
              <w:rPr>
                <w:rFonts w:ascii="仿宋" w:hAnsi="仿宋" w:eastAsia="仿宋" w:cs="仿宋"/>
                <w:color w:val="000000"/>
              </w:rPr>
              <w:br w:type="textWrapping"/>
            </w:r>
            <w:r>
              <w:rPr>
                <w:rFonts w:ascii="仿宋" w:hAnsi="仿宋" w:eastAsia="仿宋" w:cs="仿宋"/>
                <w:color w:val="000000"/>
              </w:rPr>
              <w:t>3.每项任务实施效果情况，是优秀、良好、一般，还是无效果；</w:t>
            </w:r>
            <w:r>
              <w:rPr>
                <w:rFonts w:ascii="仿宋" w:hAnsi="仿宋" w:eastAsia="仿宋" w:cs="仿宋"/>
                <w:color w:val="000000"/>
              </w:rPr>
              <w:br w:type="textWrapping"/>
            </w:r>
            <w:r>
              <w:rPr>
                <w:rFonts w:ascii="仿宋" w:hAnsi="仿宋" w:eastAsia="仿宋" w:cs="仿宋"/>
                <w:color w:val="000000"/>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358E2C">
            <w:pPr>
              <w:jc w:val="left"/>
            </w:pPr>
            <w:r>
              <w:rPr>
                <w:rFonts w:ascii="仿宋" w:hAnsi="仿宋" w:eastAsia="仿宋" w:cs="仿宋"/>
                <w:color w:val="000000"/>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8A2202">
            <w:pPr>
              <w:jc w:val="left"/>
              <w:rPr>
                <w:rFonts w:ascii="宋体" w:hAnsi="宋体" w:eastAsia="宋体" w:cs="宋体"/>
                <w:sz w:val="22"/>
              </w:rPr>
            </w:pPr>
            <w:r>
              <w:rPr>
                <w:rFonts w:ascii="宋体" w:hAnsi="宋体" w:eastAsia="宋体" w:cs="宋体"/>
                <w:sz w:val="22"/>
              </w:rPr>
              <w:t>10</w:t>
            </w:r>
          </w:p>
        </w:tc>
      </w:tr>
      <w:tr w14:paraId="1B290F89">
        <w:tblPrEx>
          <w:tblCellMar>
            <w:top w:w="0" w:type="dxa"/>
            <w:left w:w="10" w:type="dxa"/>
            <w:bottom w:w="0" w:type="dxa"/>
            <w:right w:w="10"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EAA4F">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5BF8B">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3FDD2A">
            <w:pPr>
              <w:jc w:val="left"/>
            </w:pPr>
            <w:r>
              <w:rPr>
                <w:rFonts w:ascii="宋体" w:hAnsi="宋体" w:eastAsia="宋体" w:cs="宋体"/>
              </w:rPr>
              <w:t>项目完成质量达标率（</w:t>
            </w:r>
            <w:r>
              <w:rPr>
                <w:rFonts w:ascii="仿宋_GB2312" w:hAnsi="仿宋_GB2312" w:eastAsia="仿宋_GB2312" w:cs="仿宋_GB2312"/>
              </w:rPr>
              <w:t>15</w:t>
            </w:r>
            <w:r>
              <w:rPr>
                <w:rFonts w:ascii="宋体" w:hAnsi="宋体" w:eastAsia="宋体" w:cs="宋体"/>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41133A">
            <w:pPr>
              <w:jc w:val="left"/>
              <w:rPr>
                <w:rFonts w:ascii="Calibri" w:hAnsi="Calibri" w:eastAsia="Calibri" w:cs="Calibri"/>
              </w:rPr>
            </w:pPr>
            <w:r>
              <w:rPr>
                <w:rFonts w:ascii="宋体" w:hAnsi="宋体" w:eastAsia="宋体" w:cs="宋体"/>
              </w:rPr>
              <w:t>部门已完成项目中质量达标项目个数占已完成项目个数的比率</w:t>
            </w:r>
            <w:r>
              <w:rPr>
                <w:rFonts w:ascii="仿宋_GB2312" w:hAnsi="仿宋_GB2312" w:eastAsia="仿宋_GB2312" w:cs="仿宋_GB2312"/>
              </w:rPr>
              <w:t>,</w:t>
            </w:r>
            <w:r>
              <w:rPr>
                <w:rFonts w:ascii="宋体" w:hAnsi="宋体" w:eastAsia="宋体" w:cs="宋体"/>
              </w:rPr>
              <w:t>用以反映和评价部门履职质量目标的实现程度。</w:t>
            </w:r>
          </w:p>
          <w:p w14:paraId="09F9C251">
            <w:pPr>
              <w:jc w:val="left"/>
              <w:rPr>
                <w:rFonts w:ascii="Calibri" w:hAnsi="Calibri" w:eastAsia="Calibri" w:cs="Calibri"/>
              </w:rPr>
            </w:pPr>
            <w:r>
              <w:rPr>
                <w:rFonts w:ascii="宋体" w:hAnsi="宋体" w:eastAsia="宋体" w:cs="宋体"/>
              </w:rPr>
              <w:t>项目质量达标率</w:t>
            </w:r>
            <w:r>
              <w:rPr>
                <w:rFonts w:ascii="仿宋_GB2312" w:hAnsi="仿宋_GB2312" w:eastAsia="仿宋_GB2312" w:cs="仿宋_GB2312"/>
              </w:rPr>
              <w:t>=</w:t>
            </w:r>
            <w:r>
              <w:rPr>
                <w:rFonts w:ascii="宋体" w:hAnsi="宋体" w:eastAsia="宋体" w:cs="宋体"/>
              </w:rPr>
              <w:t>（已完成项目中质量达标项目个数</w:t>
            </w:r>
            <w:r>
              <w:rPr>
                <w:rFonts w:ascii="仿宋_GB2312" w:hAnsi="仿宋_GB2312" w:eastAsia="仿宋_GB2312" w:cs="仿宋_GB2312"/>
              </w:rPr>
              <w:t>/</w:t>
            </w:r>
            <w:r>
              <w:rPr>
                <w:rFonts w:ascii="宋体" w:hAnsi="宋体" w:eastAsia="宋体" w:cs="宋体"/>
              </w:rPr>
              <w:t>已完成项目个数）×</w:t>
            </w:r>
            <w:r>
              <w:rPr>
                <w:rFonts w:ascii="仿宋_GB2312" w:hAnsi="仿宋_GB2312" w:eastAsia="仿宋_GB2312" w:cs="仿宋_GB2312"/>
              </w:rPr>
              <w:t>100%</w:t>
            </w:r>
            <w:r>
              <w:rPr>
                <w:rFonts w:ascii="宋体" w:hAnsi="宋体" w:eastAsia="宋体" w:cs="宋体"/>
              </w:rPr>
              <w:t>。</w:t>
            </w:r>
          </w:p>
          <w:p w14:paraId="1762B09B">
            <w:pPr>
              <w:jc w:val="left"/>
            </w:pPr>
            <w:r>
              <w:rPr>
                <w:rFonts w:ascii="宋体" w:hAnsi="宋体" w:eastAsia="宋体" w:cs="宋体"/>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843AC">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项目质量达标率等于</w:t>
            </w:r>
            <w:r>
              <w:rPr>
                <w:rFonts w:ascii="仿宋_GB2312" w:hAnsi="仿宋_GB2312" w:eastAsia="仿宋_GB2312" w:cs="仿宋_GB2312"/>
              </w:rPr>
              <w:t>100%</w:t>
            </w:r>
            <w:r>
              <w:rPr>
                <w:rFonts w:ascii="宋体" w:hAnsi="宋体" w:eastAsia="宋体" w:cs="宋体"/>
              </w:rPr>
              <w:t>的，得满分；</w:t>
            </w:r>
          </w:p>
          <w:p w14:paraId="66A5DB7F">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项目质量达标率小于或等于</w:t>
            </w:r>
            <w:r>
              <w:rPr>
                <w:rFonts w:ascii="仿宋_GB2312" w:hAnsi="仿宋_GB2312" w:eastAsia="仿宋_GB2312" w:cs="仿宋_GB2312"/>
              </w:rPr>
              <w:t>99%</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14:paraId="55E4826F">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项目质量达标率在</w:t>
            </w:r>
            <w:r>
              <w:rPr>
                <w:rFonts w:ascii="仿宋_GB2312" w:hAnsi="仿宋_GB2312" w:eastAsia="仿宋_GB2312" w:cs="仿宋_GB2312"/>
              </w:rPr>
              <w:t>99%-100%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r>
              <w:rPr>
                <w:rFonts w:ascii="仿宋_GB2312" w:hAnsi="仿宋_GB2312" w:eastAsia="仿宋_GB2312" w:cs="仿宋_GB2312"/>
              </w:rPr>
              <w:t xml:space="preserve"> </w:t>
            </w:r>
          </w:p>
          <w:p w14:paraId="25E360A6">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［某部门项目质量达标率</w:t>
            </w:r>
            <w:r>
              <w:rPr>
                <w:rFonts w:ascii="仿宋_GB2312" w:hAnsi="仿宋_GB2312" w:eastAsia="仿宋_GB2312" w:cs="仿宋_GB2312"/>
              </w:rPr>
              <w:t>-min</w:t>
            </w:r>
            <w:r>
              <w:rPr>
                <w:rFonts w:ascii="宋体" w:hAnsi="宋体" w:eastAsia="宋体" w:cs="宋体"/>
              </w:rPr>
              <w:t>（项目质量达标率）］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（项目质量达标率）</w:t>
            </w:r>
            <w:r>
              <w:rPr>
                <w:rFonts w:ascii="仿宋_GB2312" w:hAnsi="仿宋_GB2312" w:eastAsia="仿宋_GB2312" w:cs="仿宋_GB2312"/>
              </w:rPr>
              <w:t>-min</w:t>
            </w:r>
            <w:r>
              <w:rPr>
                <w:rFonts w:ascii="宋体" w:hAnsi="宋体" w:eastAsia="宋体" w:cs="宋体"/>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631524">
            <w:pPr>
              <w:jc w:val="left"/>
              <w:rPr>
                <w:rFonts w:ascii="宋体" w:hAnsi="宋体" w:eastAsia="宋体" w:cs="宋体"/>
                <w:sz w:val="22"/>
              </w:rPr>
            </w:pPr>
            <w:r>
              <w:rPr>
                <w:rFonts w:ascii="宋体" w:hAnsi="宋体" w:eastAsia="宋体" w:cs="宋体"/>
                <w:sz w:val="22"/>
              </w:rPr>
              <w:t>15</w:t>
            </w:r>
          </w:p>
        </w:tc>
      </w:tr>
      <w:tr w14:paraId="56EF10A4">
        <w:tblPrEx>
          <w:tblCellMar>
            <w:top w:w="0" w:type="dxa"/>
            <w:left w:w="10" w:type="dxa"/>
            <w:bottom w:w="0" w:type="dxa"/>
            <w:right w:w="10"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AD46A9">
            <w:pPr>
              <w:jc w:val="left"/>
            </w:pPr>
            <w:r>
              <w:rPr>
                <w:rFonts w:ascii="宋体" w:hAnsi="宋体" w:eastAsia="宋体" w:cs="宋体"/>
              </w:rPr>
              <w:t>效果（</w:t>
            </w:r>
            <w:r>
              <w:rPr>
                <w:rFonts w:ascii="仿宋_GB2312" w:hAnsi="仿宋_GB2312" w:eastAsia="仿宋_GB2312" w:cs="仿宋_GB2312"/>
              </w:rPr>
              <w:t>20</w:t>
            </w:r>
            <w:r>
              <w:rPr>
                <w:rFonts w:ascii="宋体" w:hAnsi="宋体" w:eastAsia="宋体" w:cs="宋体"/>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1A71C">
            <w:pPr>
              <w:jc w:val="left"/>
              <w:rPr>
                <w:rFonts w:ascii="仿宋_GB2312" w:hAnsi="仿宋_GB2312" w:eastAsia="仿宋_GB2312" w:cs="仿宋_GB2312"/>
              </w:rPr>
            </w:pPr>
          </w:p>
          <w:p w14:paraId="5221AD34">
            <w:pPr>
              <w:jc w:val="left"/>
              <w:rPr>
                <w:rFonts w:ascii="仿宋_GB2312" w:hAnsi="仿宋_GB2312" w:eastAsia="仿宋_GB2312" w:cs="仿宋_GB2312"/>
              </w:rPr>
            </w:pPr>
            <w:r>
              <w:rPr>
                <w:rFonts w:ascii="宋体" w:hAnsi="宋体" w:eastAsia="宋体" w:cs="宋体"/>
              </w:rPr>
              <w:t>履职效益情况</w:t>
            </w:r>
          </w:p>
          <w:p w14:paraId="4173350D">
            <w:pPr>
              <w:jc w:val="left"/>
            </w:pPr>
            <w:r>
              <w:rPr>
                <w:rFonts w:ascii="宋体" w:hAnsi="宋体" w:eastAsia="宋体" w:cs="宋体"/>
              </w:rPr>
              <w:t>（</w:t>
            </w:r>
            <w:r>
              <w:rPr>
                <w:rFonts w:ascii="仿宋_GB2312" w:hAnsi="仿宋_GB2312" w:eastAsia="仿宋_GB2312" w:cs="仿宋_GB2312"/>
              </w:rPr>
              <w:t>20</w:t>
            </w:r>
            <w:r>
              <w:rPr>
                <w:rFonts w:ascii="宋体" w:hAnsi="宋体" w:eastAsia="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BE035">
            <w:pPr>
              <w:jc w:val="left"/>
            </w:pPr>
            <w:r>
              <w:rPr>
                <w:rFonts w:ascii="宋体" w:hAnsi="宋体" w:eastAsia="宋体" w:cs="宋体"/>
                <w:color w:val="000000"/>
              </w:rPr>
              <w:t>经济效益</w:t>
            </w: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5122B2">
            <w:pPr>
              <w:jc w:val="left"/>
              <w:rPr>
                <w:rFonts w:ascii="仿宋" w:hAnsi="仿宋" w:eastAsia="仿宋" w:cs="仿宋"/>
                <w:color w:val="000000"/>
              </w:rPr>
            </w:pPr>
            <w:r>
              <w:rPr>
                <w:rFonts w:ascii="仿宋" w:hAnsi="仿宋" w:eastAsia="仿宋" w:cs="仿宋"/>
                <w:color w:val="000000"/>
              </w:rPr>
              <w:t>部门及所属二级单位通过履行职责和预算安排支出项目的实施，对我市带来的经济影响。</w:t>
            </w:r>
          </w:p>
          <w:p w14:paraId="5EC83CC1">
            <w:pPr>
              <w:jc w:val="left"/>
            </w:pPr>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 xml:space="preserve">1.通过部门所属企事业单位改革，促进了企事业单位效益增长情况；          </w:t>
            </w:r>
            <w:r>
              <w:rPr>
                <w:rFonts w:ascii="仿宋" w:hAnsi="仿宋" w:eastAsia="仿宋" w:cs="仿宋"/>
                <w:color w:val="000000"/>
              </w:rPr>
              <w:br w:type="textWrapping"/>
            </w:r>
            <w:r>
              <w:rPr>
                <w:rFonts w:ascii="仿宋" w:hAnsi="仿宋" w:eastAsia="仿宋" w:cs="仿宋"/>
                <w:color w:val="000000"/>
              </w:rPr>
              <w:t>2.通过预算支出项目的实施，促进了行业生产能力增长，从而带动行业经济效益增长；</w:t>
            </w:r>
            <w:r>
              <w:rPr>
                <w:rFonts w:ascii="仿宋" w:hAnsi="仿宋" w:eastAsia="仿宋" w:cs="仿宋"/>
                <w:color w:val="000000"/>
              </w:rPr>
              <w:br w:type="textWrapping"/>
            </w:r>
            <w:r>
              <w:rPr>
                <w:rFonts w:ascii="仿宋" w:hAnsi="仿宋" w:eastAsia="仿宋" w:cs="仿宋"/>
                <w:color w:val="000000"/>
              </w:rPr>
              <w:t>3.通过预算支出项目的实施，有效提高劳动效率，节约成本费用；</w:t>
            </w:r>
            <w:r>
              <w:rPr>
                <w:rFonts w:ascii="仿宋" w:hAnsi="仿宋" w:eastAsia="仿宋" w:cs="仿宋"/>
                <w:color w:val="000000"/>
              </w:rPr>
              <w:br w:type="textWrapping"/>
            </w:r>
            <w:r>
              <w:rPr>
                <w:rFonts w:ascii="仿宋" w:hAnsi="仿宋" w:eastAsia="仿宋" w:cs="仿宋"/>
                <w:color w:val="000000"/>
              </w:rPr>
              <w:t>4.通过预算支出项目的实施，降低了损耗，从而提高了生产效益；</w:t>
            </w:r>
            <w:r>
              <w:rPr>
                <w:rFonts w:ascii="仿宋" w:hAnsi="仿宋" w:eastAsia="仿宋" w:cs="仿宋"/>
                <w:color w:val="000000"/>
              </w:rPr>
              <w:br w:type="textWrapping"/>
            </w:r>
            <w:r>
              <w:rPr>
                <w:rFonts w:ascii="仿宋" w:hAnsi="仿宋" w:eastAsia="仿宋" w:cs="仿宋"/>
                <w:color w:val="000000"/>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43DB29">
            <w:pPr>
              <w:jc w:val="left"/>
            </w:pPr>
            <w:r>
              <w:rPr>
                <w:rFonts w:ascii="仿宋" w:hAnsi="仿宋" w:eastAsia="仿宋" w:cs="仿宋"/>
                <w:color w:val="000000"/>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A0B137">
            <w:pPr>
              <w:jc w:val="left"/>
              <w:rPr>
                <w:rFonts w:ascii="宋体" w:hAnsi="宋体" w:eastAsia="宋体" w:cs="宋体"/>
                <w:sz w:val="22"/>
              </w:rPr>
            </w:pPr>
            <w:r>
              <w:rPr>
                <w:rFonts w:ascii="宋体" w:hAnsi="宋体" w:eastAsia="宋体" w:cs="宋体"/>
                <w:sz w:val="22"/>
              </w:rPr>
              <w:t>5</w:t>
            </w:r>
          </w:p>
        </w:tc>
      </w:tr>
      <w:tr w14:paraId="20EDFA3D">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495458">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548BF">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7CCB83">
            <w:r>
              <w:rPr>
                <w:rFonts w:ascii="宋体" w:hAnsi="宋体" w:eastAsia="宋体" w:cs="宋体"/>
                <w:color w:val="000000"/>
              </w:rPr>
              <w:t>社会效益（</w:t>
            </w:r>
            <w:r>
              <w:rPr>
                <w:rFonts w:ascii="仿宋_GB2312" w:hAnsi="仿宋_GB2312" w:eastAsia="仿宋_GB2312" w:cs="仿宋_GB2312"/>
                <w:color w:val="000000"/>
              </w:rPr>
              <w:t>5</w:t>
            </w:r>
            <w:r>
              <w:rPr>
                <w:rFonts w:ascii="宋体" w:hAnsi="宋体" w:eastAsia="宋体" w:cs="宋体"/>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95D0E3">
            <w:pPr>
              <w:rPr>
                <w:rFonts w:ascii="仿宋" w:hAnsi="仿宋" w:eastAsia="仿宋" w:cs="仿宋"/>
                <w:color w:val="000000"/>
              </w:rPr>
            </w:pPr>
            <w:r>
              <w:rPr>
                <w:rFonts w:ascii="仿宋" w:hAnsi="仿宋" w:eastAsia="仿宋" w:cs="仿宋"/>
                <w:color w:val="000000"/>
              </w:rPr>
              <w:t>部门及所属二级单位履行职责对社会发展所带来的直接或间接影响。</w:t>
            </w:r>
          </w:p>
          <w:p w14:paraId="30E673AA">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 xml:space="preserve">1.通过部门所属企事业单位的改革，促进了企事业单位可持续发展，带动就业增长情况；          </w:t>
            </w:r>
            <w:r>
              <w:rPr>
                <w:rFonts w:ascii="仿宋" w:hAnsi="仿宋" w:eastAsia="仿宋" w:cs="仿宋"/>
                <w:color w:val="000000"/>
              </w:rPr>
              <w:br w:type="textWrapping"/>
            </w:r>
            <w:r>
              <w:rPr>
                <w:rFonts w:ascii="仿宋" w:hAnsi="仿宋" w:eastAsia="仿宋" w:cs="仿宋"/>
                <w:color w:val="000000"/>
              </w:rPr>
              <w:t>2.通过预算支出项目的实施，是否明显促进了行业精神文明建设；</w:t>
            </w:r>
            <w:r>
              <w:rPr>
                <w:rFonts w:ascii="仿宋" w:hAnsi="仿宋" w:eastAsia="仿宋" w:cs="仿宋"/>
                <w:color w:val="000000"/>
              </w:rPr>
              <w:br w:type="textWrapping"/>
            </w:r>
            <w:r>
              <w:rPr>
                <w:rFonts w:ascii="仿宋" w:hAnsi="仿宋" w:eastAsia="仿宋" w:cs="仿宋"/>
                <w:color w:val="000000"/>
              </w:rPr>
              <w:t>3.通过部门履职是否明显提高城乡居民生活水平，满足了人们日益增长的物质与文化生活需求；</w:t>
            </w:r>
            <w:r>
              <w:rPr>
                <w:rFonts w:ascii="仿宋" w:hAnsi="仿宋" w:eastAsia="仿宋" w:cs="仿宋"/>
                <w:color w:val="000000"/>
              </w:rPr>
              <w:br w:type="textWrapping"/>
            </w:r>
            <w:r>
              <w:rPr>
                <w:rFonts w:ascii="仿宋" w:hAnsi="仿宋" w:eastAsia="仿宋" w:cs="仿宋"/>
                <w:color w:val="000000"/>
              </w:rPr>
              <w:t>4.通过预算项目的实施，是否提高了劳动生产率，降低了劳动强度，促进了劳动人民的身心健康；</w:t>
            </w:r>
            <w:r>
              <w:rPr>
                <w:rFonts w:ascii="仿宋" w:hAnsi="仿宋" w:eastAsia="仿宋" w:cs="仿宋"/>
                <w:color w:val="000000"/>
              </w:rPr>
              <w:br w:type="textWrapping"/>
            </w:r>
            <w:r>
              <w:rPr>
                <w:rFonts w:ascii="仿宋" w:hAnsi="仿宋" w:eastAsia="仿宋" w:cs="仿宋"/>
                <w:color w:val="000000"/>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0E0900">
            <w:r>
              <w:rPr>
                <w:rFonts w:ascii="仿宋" w:hAnsi="仿宋" w:eastAsia="仿宋" w:cs="仿宋"/>
                <w:color w:val="000000"/>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8DFD6">
            <w:pPr>
              <w:jc w:val="left"/>
              <w:rPr>
                <w:rFonts w:ascii="宋体" w:hAnsi="宋体" w:eastAsia="宋体" w:cs="宋体"/>
                <w:sz w:val="22"/>
              </w:rPr>
            </w:pPr>
            <w:r>
              <w:rPr>
                <w:rFonts w:ascii="宋体" w:hAnsi="宋体" w:eastAsia="宋体" w:cs="宋体"/>
                <w:sz w:val="22"/>
              </w:rPr>
              <w:t>5</w:t>
            </w:r>
          </w:p>
        </w:tc>
      </w:tr>
      <w:tr w14:paraId="6B630E34">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DD62DC">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2ED5A7">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D59931">
            <w:pPr>
              <w:jc w:val="left"/>
            </w:pPr>
            <w:r>
              <w:rPr>
                <w:rFonts w:ascii="宋体" w:hAnsi="宋体" w:eastAsia="宋体" w:cs="宋体"/>
                <w:color w:val="000000"/>
              </w:rPr>
              <w:t>生态效益（</w:t>
            </w:r>
            <w:r>
              <w:rPr>
                <w:rFonts w:ascii="仿宋_GB2312" w:hAnsi="仿宋_GB2312" w:eastAsia="仿宋_GB2312" w:cs="仿宋_GB2312"/>
                <w:color w:val="000000"/>
              </w:rPr>
              <w:t>5</w:t>
            </w:r>
            <w:r>
              <w:rPr>
                <w:rFonts w:ascii="宋体" w:hAnsi="宋体" w:eastAsia="宋体" w:cs="宋体"/>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D0BC64">
            <w:pPr>
              <w:jc w:val="left"/>
              <w:rPr>
                <w:rFonts w:ascii="仿宋" w:hAnsi="仿宋" w:eastAsia="仿宋" w:cs="仿宋"/>
                <w:color w:val="000000"/>
              </w:rPr>
            </w:pPr>
            <w:r>
              <w:rPr>
                <w:rFonts w:ascii="仿宋" w:hAnsi="仿宋" w:eastAsia="仿宋" w:cs="仿宋"/>
                <w:color w:val="000000"/>
              </w:rPr>
              <w:t>部门及所属二级单位履行职责对生态环境所带来的直接或间接影响。</w:t>
            </w:r>
          </w:p>
          <w:p w14:paraId="6ED6C283">
            <w:pPr>
              <w:jc w:val="left"/>
            </w:pPr>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1.通过预算支出项目的实施，绿色、节能环保新技术的应用和推广，明显带动各环节的节能减排，也具有一定的环境效益；</w:t>
            </w:r>
            <w:r>
              <w:rPr>
                <w:rFonts w:ascii="仿宋" w:hAnsi="仿宋" w:eastAsia="仿宋" w:cs="仿宋"/>
                <w:color w:val="000000"/>
              </w:rPr>
              <w:br w:type="textWrapping"/>
            </w:r>
            <w:r>
              <w:rPr>
                <w:rFonts w:ascii="仿宋" w:hAnsi="仿宋" w:eastAsia="仿宋" w:cs="仿宋"/>
                <w:color w:val="000000"/>
              </w:rPr>
              <w:t>2.通过履职有效地控制虚假、伪劣、霉变等劣质产品进入市场，影响了人民生活质量，净化地市场环境；</w:t>
            </w:r>
            <w:r>
              <w:rPr>
                <w:rFonts w:ascii="仿宋" w:hAnsi="仿宋" w:eastAsia="仿宋" w:cs="仿宋"/>
                <w:color w:val="000000"/>
              </w:rPr>
              <w:br w:type="textWrapping"/>
            </w:r>
            <w:r>
              <w:rPr>
                <w:rFonts w:ascii="仿宋" w:hAnsi="仿宋" w:eastAsia="仿宋" w:cs="仿宋"/>
                <w:color w:val="000000"/>
              </w:rPr>
              <w:t>3.通过预算支出项目的实施，是否达到减少污染物排放；</w:t>
            </w:r>
            <w:r>
              <w:rPr>
                <w:rFonts w:ascii="仿宋" w:hAnsi="仿宋" w:eastAsia="仿宋" w:cs="仿宋"/>
                <w:color w:val="000000"/>
              </w:rPr>
              <w:br w:type="textWrapping"/>
            </w:r>
            <w:r>
              <w:rPr>
                <w:rFonts w:ascii="仿宋" w:hAnsi="仿宋" w:eastAsia="仿宋" w:cs="仿宋"/>
                <w:color w:val="000000"/>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8E12E">
            <w:pPr>
              <w:jc w:val="left"/>
            </w:pPr>
            <w:r>
              <w:rPr>
                <w:rFonts w:ascii="仿宋" w:hAnsi="仿宋" w:eastAsia="仿宋" w:cs="仿宋"/>
                <w:color w:val="000000"/>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46F0D1">
            <w:pPr>
              <w:jc w:val="left"/>
              <w:rPr>
                <w:rFonts w:ascii="宋体" w:hAnsi="宋体" w:eastAsia="宋体" w:cs="宋体"/>
                <w:sz w:val="22"/>
              </w:rPr>
            </w:pPr>
            <w:r>
              <w:rPr>
                <w:rFonts w:ascii="宋体" w:hAnsi="宋体" w:eastAsia="宋体" w:cs="宋体"/>
                <w:sz w:val="22"/>
              </w:rPr>
              <w:t>5</w:t>
            </w:r>
          </w:p>
        </w:tc>
      </w:tr>
      <w:tr w14:paraId="0A7B4E27">
        <w:tblPrEx>
          <w:tblCellMar>
            <w:top w:w="0" w:type="dxa"/>
            <w:left w:w="10" w:type="dxa"/>
            <w:bottom w:w="0" w:type="dxa"/>
            <w:right w:w="10"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85E233">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C671E0">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74645">
            <w:pPr>
              <w:jc w:val="left"/>
            </w:pPr>
            <w:r>
              <w:rPr>
                <w:rFonts w:ascii="宋体" w:hAnsi="宋体" w:eastAsia="宋体" w:cs="宋体"/>
              </w:rPr>
              <w:t>服务对象满意度（</w:t>
            </w:r>
            <w:r>
              <w:rPr>
                <w:rFonts w:ascii="仿宋_GB2312" w:hAnsi="仿宋_GB2312" w:eastAsia="仿宋_GB2312" w:cs="仿宋_GB2312"/>
              </w:rPr>
              <w:t>5</w:t>
            </w:r>
            <w:r>
              <w:rPr>
                <w:rFonts w:ascii="宋体" w:hAnsi="宋体" w:eastAsia="宋体" w:cs="宋体"/>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EEBFCE">
            <w:pPr>
              <w:jc w:val="left"/>
              <w:rPr>
                <w:rFonts w:ascii="宋体" w:hAnsi="宋体" w:eastAsia="宋体" w:cs="宋体"/>
              </w:rPr>
            </w:pPr>
            <w:r>
              <w:rPr>
                <w:rFonts w:ascii="宋体" w:hAnsi="宋体" w:eastAsia="宋体" w:cs="宋体"/>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8DD5F">
            <w:pPr>
              <w:rPr>
                <w:rFonts w:ascii="仿宋" w:hAnsi="仿宋" w:eastAsia="仿宋" w:cs="仿宋"/>
              </w:rPr>
            </w:pPr>
            <w:r>
              <w:rPr>
                <w:rFonts w:ascii="仿宋" w:hAnsi="仿宋" w:eastAsia="仿宋" w:cs="仿宋"/>
              </w:rPr>
              <w:t>按照满意度调查的优秀、良好、合格、不合格给予该项指标打分：</w:t>
            </w:r>
          </w:p>
          <w:p w14:paraId="5BB43E32">
            <w:r>
              <w:rPr>
                <w:rFonts w:ascii="仿宋" w:hAnsi="仿宋" w:eastAsia="仿宋" w:cs="仿宋"/>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5FC525">
            <w:pPr>
              <w:jc w:val="left"/>
              <w:rPr>
                <w:rFonts w:ascii="宋体" w:hAnsi="宋体" w:eastAsia="宋体" w:cs="宋体"/>
                <w:sz w:val="22"/>
              </w:rPr>
            </w:pPr>
            <w:r>
              <w:rPr>
                <w:rFonts w:ascii="宋体" w:hAnsi="宋体" w:eastAsia="宋体" w:cs="宋体"/>
                <w:sz w:val="22"/>
              </w:rPr>
              <w:t>3</w:t>
            </w:r>
          </w:p>
        </w:tc>
      </w:tr>
    </w:tbl>
    <w:p w14:paraId="7947B309">
      <w:pPr>
        <w:rPr>
          <w:rFonts w:ascii="仿宋" w:hAnsi="仿宋" w:eastAsia="仿宋" w:cs="仿宋"/>
          <w:sz w:val="32"/>
        </w:rPr>
      </w:pPr>
    </w:p>
    <w:p w14:paraId="060AF49E">
      <w:pPr>
        <w:rPr>
          <w:rFonts w:ascii="仿宋" w:hAnsi="仿宋" w:eastAsia="仿宋" w:cs="仿宋"/>
          <w:sz w:val="32"/>
        </w:rPr>
      </w:pPr>
    </w:p>
    <w:p w14:paraId="18BAD709">
      <w:pPr>
        <w:rPr>
          <w:rFonts w:ascii="仿宋" w:hAnsi="仿宋" w:eastAsia="仿宋" w:cs="仿宋"/>
          <w:sz w:val="32"/>
        </w:rPr>
      </w:pPr>
    </w:p>
    <w:p w14:paraId="0E322079">
      <w:pPr>
        <w:rPr>
          <w:rFonts w:ascii="仿宋" w:hAnsi="仿宋" w:eastAsia="仿宋" w:cs="仿宋"/>
          <w:b/>
          <w:sz w:val="30"/>
        </w:rPr>
      </w:pPr>
      <w:r>
        <w:rPr>
          <w:rFonts w:ascii="仿宋" w:hAnsi="仿宋" w:eastAsia="仿宋" w:cs="仿宋"/>
          <w:b/>
          <w:sz w:val="30"/>
        </w:rPr>
        <w:t>部门整体支出绩效评价报告主要内容包括：</w:t>
      </w:r>
    </w:p>
    <w:p w14:paraId="276E23CA">
      <w:pPr>
        <w:numPr>
          <w:ilvl w:val="0"/>
          <w:numId w:val="1"/>
        </w:numPr>
        <w:ind w:firstLine="640"/>
        <w:rPr>
          <w:rFonts w:ascii="仿宋" w:hAnsi="仿宋" w:eastAsia="仿宋" w:cs="仿宋"/>
          <w:sz w:val="32"/>
        </w:rPr>
      </w:pPr>
      <w:r>
        <w:rPr>
          <w:rFonts w:ascii="仿宋" w:hAnsi="仿宋" w:eastAsia="仿宋" w:cs="仿宋"/>
          <w:sz w:val="32"/>
        </w:rPr>
        <w:t>基本概况。包括部门主要职责职能，组织架构、人员及资产情况、部门履职总体目标、年度整体绩效目标、工作任务，预算资金安排及资金支出情况。</w:t>
      </w:r>
    </w:p>
    <w:p w14:paraId="0D521659">
      <w:pPr>
        <w:numPr>
          <w:ilvl w:val="0"/>
          <w:numId w:val="1"/>
        </w:numPr>
        <w:ind w:firstLine="640"/>
        <w:rPr>
          <w:rFonts w:ascii="仿宋" w:hAnsi="仿宋" w:eastAsia="仿宋" w:cs="仿宋"/>
          <w:sz w:val="32"/>
        </w:rPr>
      </w:pPr>
      <w:r>
        <w:rPr>
          <w:rFonts w:ascii="仿宋" w:hAnsi="仿宋" w:eastAsia="仿宋" w:cs="仿宋"/>
          <w:sz w:val="32"/>
        </w:rPr>
        <w:t>预算绩效管理开展及整体绩效实现情况。包括部门开展预算绩效管理情况、工作履行活动完成情况、实施履职活动产生的效果及社会公众或服务对象满意程度。</w:t>
      </w:r>
    </w:p>
    <w:p w14:paraId="66811EA5">
      <w:pPr>
        <w:numPr>
          <w:ilvl w:val="0"/>
          <w:numId w:val="1"/>
        </w:numPr>
        <w:ind w:firstLine="640"/>
        <w:rPr>
          <w:rFonts w:ascii="仿宋" w:hAnsi="仿宋" w:eastAsia="仿宋" w:cs="仿宋"/>
          <w:sz w:val="32"/>
        </w:rPr>
      </w:pPr>
      <w:r>
        <w:rPr>
          <w:rFonts w:ascii="仿宋" w:hAnsi="仿宋" w:eastAsia="仿宋" w:cs="仿宋"/>
          <w:sz w:val="32"/>
        </w:rPr>
        <w:t>绩效评价的组织实施情况。包括评价对象绩效目标、绩效指标、评价标准和评价方法。</w:t>
      </w:r>
    </w:p>
    <w:p w14:paraId="1AD26107">
      <w:pPr>
        <w:numPr>
          <w:ilvl w:val="0"/>
          <w:numId w:val="1"/>
        </w:numPr>
        <w:ind w:firstLine="640"/>
        <w:rPr>
          <w:rFonts w:ascii="仿宋" w:hAnsi="仿宋" w:eastAsia="仿宋" w:cs="仿宋"/>
          <w:sz w:val="32"/>
        </w:rPr>
      </w:pPr>
      <w:r>
        <w:rPr>
          <w:rFonts w:ascii="仿宋" w:hAnsi="仿宋" w:eastAsia="仿宋" w:cs="仿宋"/>
          <w:sz w:val="32"/>
        </w:rPr>
        <w:t>各项绩效目标的实现程度及差异性原因分析。</w:t>
      </w:r>
    </w:p>
    <w:p w14:paraId="1A5B13D0">
      <w:pPr>
        <w:numPr>
          <w:ilvl w:val="0"/>
          <w:numId w:val="1"/>
        </w:numPr>
        <w:ind w:firstLine="640"/>
        <w:rPr>
          <w:rFonts w:ascii="仿宋" w:hAnsi="仿宋" w:eastAsia="仿宋" w:cs="仿宋"/>
          <w:sz w:val="32"/>
        </w:rPr>
      </w:pPr>
      <w:r>
        <w:rPr>
          <w:rFonts w:ascii="仿宋" w:hAnsi="仿宋" w:eastAsia="仿宋" w:cs="仿宋"/>
          <w:sz w:val="32"/>
        </w:rPr>
        <w:t>存在问题、采取的纠偏措施及改进绩效管理建议。</w:t>
      </w:r>
    </w:p>
    <w:p w14:paraId="3AFE3F6B">
      <w:pPr>
        <w:numPr>
          <w:ilvl w:val="0"/>
          <w:numId w:val="1"/>
        </w:numPr>
        <w:ind w:firstLine="640"/>
        <w:rPr>
          <w:rFonts w:ascii="仿宋" w:hAnsi="仿宋" w:eastAsia="仿宋" w:cs="仿宋"/>
          <w:sz w:val="32"/>
        </w:rPr>
      </w:pPr>
      <w:r>
        <w:rPr>
          <w:rFonts w:ascii="仿宋" w:hAnsi="仿宋" w:eastAsia="仿宋" w:cs="仿宋"/>
          <w:sz w:val="32"/>
        </w:rPr>
        <w:t>其他需要说明的问题。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31B0C"/>
    <w:multiLevelType w:val="multilevel"/>
    <w:tmpl w:val="75131B0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2NlMTgyOGNjMDcxMDExZTMzODViNzVhZTEyY2YxYjkifQ=="/>
  </w:docVars>
  <w:rsids>
    <w:rsidRoot w:val="008F007C"/>
    <w:rsid w:val="008F007C"/>
    <w:rsid w:val="00DC2D72"/>
    <w:rsid w:val="11041395"/>
    <w:rsid w:val="64BD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4953</Words>
  <Characters>5270</Characters>
  <Lines>39</Lines>
  <Paragraphs>11</Paragraphs>
  <TotalTime>5</TotalTime>
  <ScaleCrop>false</ScaleCrop>
  <LinksUpToDate>false</LinksUpToDate>
  <CharactersWithSpaces>5304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2020-12-02T02:44:00Z</dcterms:created>
  <dc:creator>Administrator</dc:creator>
  <cp:lastModifiedBy>早开的晚霞。</cp:lastModifiedBy>
  <dcterms:modified xsi:type="dcterms:W3CDTF">2024-09-08T06:46:00Z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1B53BE5E1E3445209D551084407EDA41</vt:lpwstr>
  </property>
</Properties>
</file>