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126沙河市财政局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911.56</w:t>
            </w:r>
          </w:p>
        </w:tc>
        <w:tc>
          <w:tcPr>
            <w:tcW w:w="4535" w:type="dxa"/>
            <w:vAlign w:val="center"/>
          </w:tcPr>
          <w:p>
            <w:pPr>
              <w:pStyle w:val="13"/>
            </w:pPr>
            <w:r>
              <w:t>一、一般公共服务支出</w:t>
            </w:r>
          </w:p>
        </w:tc>
        <w:tc>
          <w:tcPr>
            <w:tcW w:w="2126" w:type="dxa"/>
            <w:vAlign w:val="center"/>
          </w:tcPr>
          <w:p>
            <w:pPr>
              <w:pStyle w:val="12"/>
            </w:pPr>
            <w:r>
              <w:t>743.09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74.77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32.62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61.08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911.56</w:t>
            </w:r>
          </w:p>
        </w:tc>
        <w:tc>
          <w:tcPr>
            <w:tcW w:w="4535" w:type="dxa"/>
            <w:vAlign w:val="center"/>
          </w:tcPr>
          <w:p>
            <w:pPr>
              <w:pStyle w:val="15"/>
            </w:pPr>
            <w:r>
              <w:t>本年支出合计</w:t>
            </w:r>
          </w:p>
        </w:tc>
        <w:tc>
          <w:tcPr>
            <w:tcW w:w="2126" w:type="dxa"/>
            <w:vAlign w:val="center"/>
          </w:tcPr>
          <w:p>
            <w:pPr>
              <w:pStyle w:val="16"/>
            </w:pPr>
            <w:r>
              <w:t>911.56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911.56</w:t>
            </w:r>
          </w:p>
        </w:tc>
        <w:tc>
          <w:tcPr>
            <w:tcW w:w="4535" w:type="dxa"/>
            <w:vAlign w:val="center"/>
          </w:tcPr>
          <w:p>
            <w:pPr>
              <w:pStyle w:val="15"/>
            </w:pPr>
            <w:r>
              <w:t>支出总计</w:t>
            </w:r>
          </w:p>
        </w:tc>
        <w:tc>
          <w:tcPr>
            <w:tcW w:w="2126" w:type="dxa"/>
            <w:vAlign w:val="center"/>
          </w:tcPr>
          <w:p>
            <w:pPr>
              <w:pStyle w:val="16"/>
            </w:pPr>
            <w:r>
              <w:t>911.56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126沙河市财政局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911.56</w:t>
            </w:r>
          </w:p>
        </w:tc>
        <w:tc>
          <w:tcPr>
            <w:tcW w:w="1134" w:type="dxa"/>
            <w:vAlign w:val="center"/>
          </w:tcPr>
          <w:p>
            <w:pPr>
              <w:pStyle w:val="16"/>
            </w:pPr>
            <w:r>
              <w:t>911.56</w:t>
            </w:r>
          </w:p>
        </w:tc>
        <w:tc>
          <w:tcPr>
            <w:tcW w:w="1134" w:type="dxa"/>
            <w:vAlign w:val="center"/>
          </w:tcPr>
          <w:p>
            <w:pPr>
              <w:pStyle w:val="16"/>
            </w:pPr>
            <w:r>
              <w:t>911.56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743.09</w:t>
            </w:r>
          </w:p>
        </w:tc>
        <w:tc>
          <w:tcPr>
            <w:tcW w:w="1134" w:type="dxa"/>
            <w:vAlign w:val="center"/>
          </w:tcPr>
          <w:p>
            <w:pPr>
              <w:pStyle w:val="12"/>
            </w:pPr>
            <w:r>
              <w:t>743.09</w:t>
            </w:r>
          </w:p>
        </w:tc>
        <w:tc>
          <w:tcPr>
            <w:tcW w:w="1134" w:type="dxa"/>
            <w:vAlign w:val="center"/>
          </w:tcPr>
          <w:p>
            <w:pPr>
              <w:pStyle w:val="12"/>
            </w:pPr>
            <w:r>
              <w:t>743.09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743.09</w:t>
            </w:r>
          </w:p>
        </w:tc>
        <w:tc>
          <w:tcPr>
            <w:tcW w:w="1134" w:type="dxa"/>
            <w:vAlign w:val="center"/>
          </w:tcPr>
          <w:p>
            <w:pPr>
              <w:pStyle w:val="12"/>
            </w:pPr>
            <w:r>
              <w:t>743.09</w:t>
            </w:r>
          </w:p>
        </w:tc>
        <w:tc>
          <w:tcPr>
            <w:tcW w:w="1134" w:type="dxa"/>
            <w:vAlign w:val="center"/>
          </w:tcPr>
          <w:p>
            <w:pPr>
              <w:pStyle w:val="12"/>
            </w:pPr>
            <w:r>
              <w:t>743.09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2010601</w:t>
            </w:r>
          </w:p>
        </w:tc>
        <w:tc>
          <w:tcPr>
            <w:tcW w:w="1559" w:type="dxa"/>
            <w:vAlign w:val="center"/>
          </w:tcPr>
          <w:p>
            <w:pPr>
              <w:pStyle w:val="13"/>
            </w:pPr>
            <w:r>
              <w:t>行政运行</w:t>
            </w:r>
          </w:p>
        </w:tc>
        <w:tc>
          <w:tcPr>
            <w:tcW w:w="1134" w:type="dxa"/>
            <w:vAlign w:val="center"/>
          </w:tcPr>
          <w:p>
            <w:pPr>
              <w:pStyle w:val="12"/>
            </w:pPr>
            <w:r>
              <w:t>653.09</w:t>
            </w:r>
          </w:p>
        </w:tc>
        <w:tc>
          <w:tcPr>
            <w:tcW w:w="1134" w:type="dxa"/>
            <w:vAlign w:val="center"/>
          </w:tcPr>
          <w:p>
            <w:pPr>
              <w:pStyle w:val="12"/>
            </w:pPr>
            <w:r>
              <w:t>653.09</w:t>
            </w:r>
          </w:p>
        </w:tc>
        <w:tc>
          <w:tcPr>
            <w:tcW w:w="1134" w:type="dxa"/>
            <w:vAlign w:val="center"/>
          </w:tcPr>
          <w:p>
            <w:pPr>
              <w:pStyle w:val="12"/>
            </w:pPr>
            <w:r>
              <w:t>653.09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2010604</w:t>
            </w:r>
          </w:p>
        </w:tc>
        <w:tc>
          <w:tcPr>
            <w:tcW w:w="1559" w:type="dxa"/>
            <w:vAlign w:val="center"/>
          </w:tcPr>
          <w:p>
            <w:pPr>
              <w:pStyle w:val="13"/>
            </w:pPr>
            <w:r>
              <w:t>预算改革业务</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2010605</w:t>
            </w:r>
          </w:p>
        </w:tc>
        <w:tc>
          <w:tcPr>
            <w:tcW w:w="1559" w:type="dxa"/>
            <w:vAlign w:val="center"/>
          </w:tcPr>
          <w:p>
            <w:pPr>
              <w:pStyle w:val="13"/>
            </w:pPr>
            <w:r>
              <w:t>财政国库业务</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2010607</w:t>
            </w:r>
          </w:p>
        </w:tc>
        <w:tc>
          <w:tcPr>
            <w:tcW w:w="1559" w:type="dxa"/>
            <w:vAlign w:val="center"/>
          </w:tcPr>
          <w:p>
            <w:pPr>
              <w:pStyle w:val="13"/>
            </w:pPr>
            <w:r>
              <w:t>信息化建设</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74.77</w:t>
            </w:r>
          </w:p>
        </w:tc>
        <w:tc>
          <w:tcPr>
            <w:tcW w:w="1134" w:type="dxa"/>
            <w:vAlign w:val="center"/>
          </w:tcPr>
          <w:p>
            <w:pPr>
              <w:pStyle w:val="12"/>
            </w:pPr>
            <w:r>
              <w:t>74.77</w:t>
            </w:r>
          </w:p>
        </w:tc>
        <w:tc>
          <w:tcPr>
            <w:tcW w:w="1134" w:type="dxa"/>
            <w:vAlign w:val="center"/>
          </w:tcPr>
          <w:p>
            <w:pPr>
              <w:pStyle w:val="12"/>
            </w:pPr>
            <w:r>
              <w:t>74.77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74.77</w:t>
            </w:r>
          </w:p>
        </w:tc>
        <w:tc>
          <w:tcPr>
            <w:tcW w:w="1134" w:type="dxa"/>
            <w:vAlign w:val="center"/>
          </w:tcPr>
          <w:p>
            <w:pPr>
              <w:pStyle w:val="12"/>
            </w:pPr>
            <w:r>
              <w:t>74.77</w:t>
            </w:r>
          </w:p>
        </w:tc>
        <w:tc>
          <w:tcPr>
            <w:tcW w:w="1134" w:type="dxa"/>
            <w:vAlign w:val="center"/>
          </w:tcPr>
          <w:p>
            <w:pPr>
              <w:pStyle w:val="12"/>
            </w:pPr>
            <w:r>
              <w:t>74.77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74.77</w:t>
            </w:r>
          </w:p>
        </w:tc>
        <w:tc>
          <w:tcPr>
            <w:tcW w:w="1134" w:type="dxa"/>
            <w:vAlign w:val="center"/>
          </w:tcPr>
          <w:p>
            <w:pPr>
              <w:pStyle w:val="12"/>
            </w:pPr>
            <w:r>
              <w:t>74.77</w:t>
            </w:r>
          </w:p>
        </w:tc>
        <w:tc>
          <w:tcPr>
            <w:tcW w:w="1134" w:type="dxa"/>
            <w:vAlign w:val="center"/>
          </w:tcPr>
          <w:p>
            <w:pPr>
              <w:pStyle w:val="12"/>
            </w:pPr>
            <w:r>
              <w:t>74.77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32.62</w:t>
            </w:r>
          </w:p>
        </w:tc>
        <w:tc>
          <w:tcPr>
            <w:tcW w:w="1134" w:type="dxa"/>
            <w:vAlign w:val="center"/>
          </w:tcPr>
          <w:p>
            <w:pPr>
              <w:pStyle w:val="12"/>
            </w:pPr>
            <w:r>
              <w:t>32.62</w:t>
            </w:r>
          </w:p>
        </w:tc>
        <w:tc>
          <w:tcPr>
            <w:tcW w:w="1134" w:type="dxa"/>
            <w:vAlign w:val="center"/>
          </w:tcPr>
          <w:p>
            <w:pPr>
              <w:pStyle w:val="12"/>
            </w:pPr>
            <w:r>
              <w:t>32.62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32.62</w:t>
            </w:r>
          </w:p>
        </w:tc>
        <w:tc>
          <w:tcPr>
            <w:tcW w:w="1134" w:type="dxa"/>
            <w:vAlign w:val="center"/>
          </w:tcPr>
          <w:p>
            <w:pPr>
              <w:pStyle w:val="12"/>
            </w:pPr>
            <w:r>
              <w:t>32.62</w:t>
            </w:r>
          </w:p>
        </w:tc>
        <w:tc>
          <w:tcPr>
            <w:tcW w:w="1134" w:type="dxa"/>
            <w:vAlign w:val="center"/>
          </w:tcPr>
          <w:p>
            <w:pPr>
              <w:pStyle w:val="12"/>
            </w:pPr>
            <w:r>
              <w:t>32.62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32.62</w:t>
            </w:r>
          </w:p>
        </w:tc>
        <w:tc>
          <w:tcPr>
            <w:tcW w:w="1134" w:type="dxa"/>
            <w:vAlign w:val="center"/>
          </w:tcPr>
          <w:p>
            <w:pPr>
              <w:pStyle w:val="12"/>
            </w:pPr>
            <w:r>
              <w:t>32.62</w:t>
            </w:r>
          </w:p>
        </w:tc>
        <w:tc>
          <w:tcPr>
            <w:tcW w:w="1134" w:type="dxa"/>
            <w:vAlign w:val="center"/>
          </w:tcPr>
          <w:p>
            <w:pPr>
              <w:pStyle w:val="12"/>
            </w:pPr>
            <w:r>
              <w:t>32.62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r>
              <w:t>61.08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126沙河市财政局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911.56</w:t>
            </w:r>
          </w:p>
        </w:tc>
        <w:tc>
          <w:tcPr>
            <w:tcW w:w="1361" w:type="dxa"/>
            <w:vAlign w:val="center"/>
          </w:tcPr>
          <w:p>
            <w:pPr>
              <w:pStyle w:val="16"/>
            </w:pPr>
            <w:r>
              <w:t>821.56</w:t>
            </w:r>
          </w:p>
        </w:tc>
        <w:tc>
          <w:tcPr>
            <w:tcW w:w="1361" w:type="dxa"/>
            <w:vAlign w:val="center"/>
          </w:tcPr>
          <w:p>
            <w:pPr>
              <w:pStyle w:val="16"/>
            </w:pPr>
            <w:r>
              <w:t>90.00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743.09</w:t>
            </w:r>
          </w:p>
        </w:tc>
        <w:tc>
          <w:tcPr>
            <w:tcW w:w="1361" w:type="dxa"/>
            <w:vAlign w:val="center"/>
          </w:tcPr>
          <w:p>
            <w:pPr>
              <w:pStyle w:val="12"/>
            </w:pPr>
            <w:r>
              <w:t>653.09</w:t>
            </w:r>
          </w:p>
        </w:tc>
        <w:tc>
          <w:tcPr>
            <w:tcW w:w="1361" w:type="dxa"/>
            <w:vAlign w:val="center"/>
          </w:tcPr>
          <w:p>
            <w:pPr>
              <w:pStyle w:val="12"/>
            </w:pPr>
            <w:r>
              <w:t>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743.09</w:t>
            </w:r>
          </w:p>
        </w:tc>
        <w:tc>
          <w:tcPr>
            <w:tcW w:w="1361" w:type="dxa"/>
            <w:vAlign w:val="center"/>
          </w:tcPr>
          <w:p>
            <w:pPr>
              <w:pStyle w:val="12"/>
            </w:pPr>
            <w:r>
              <w:t>653.09</w:t>
            </w:r>
          </w:p>
        </w:tc>
        <w:tc>
          <w:tcPr>
            <w:tcW w:w="1361" w:type="dxa"/>
            <w:vAlign w:val="center"/>
          </w:tcPr>
          <w:p>
            <w:pPr>
              <w:pStyle w:val="12"/>
            </w:pPr>
            <w:r>
              <w:t>90.00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2010601</w:t>
            </w:r>
          </w:p>
        </w:tc>
        <w:tc>
          <w:tcPr>
            <w:tcW w:w="4535" w:type="dxa"/>
            <w:vAlign w:val="center"/>
          </w:tcPr>
          <w:p>
            <w:pPr>
              <w:pStyle w:val="13"/>
            </w:pPr>
            <w:r>
              <w:t>行政运行</w:t>
            </w:r>
          </w:p>
        </w:tc>
        <w:tc>
          <w:tcPr>
            <w:tcW w:w="1361" w:type="dxa"/>
            <w:vAlign w:val="center"/>
          </w:tcPr>
          <w:p>
            <w:pPr>
              <w:pStyle w:val="12"/>
            </w:pPr>
            <w:r>
              <w:t>653.09</w:t>
            </w:r>
          </w:p>
        </w:tc>
        <w:tc>
          <w:tcPr>
            <w:tcW w:w="1361" w:type="dxa"/>
            <w:vAlign w:val="center"/>
          </w:tcPr>
          <w:p>
            <w:pPr>
              <w:pStyle w:val="12"/>
            </w:pPr>
            <w:r>
              <w:t>653.09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2010604</w:t>
            </w:r>
          </w:p>
        </w:tc>
        <w:tc>
          <w:tcPr>
            <w:tcW w:w="4535" w:type="dxa"/>
            <w:vAlign w:val="center"/>
          </w:tcPr>
          <w:p>
            <w:pPr>
              <w:pStyle w:val="13"/>
            </w:pPr>
            <w:r>
              <w:t>预算改革业务</w:t>
            </w:r>
          </w:p>
        </w:tc>
        <w:tc>
          <w:tcPr>
            <w:tcW w:w="1361" w:type="dxa"/>
            <w:vAlign w:val="center"/>
          </w:tcPr>
          <w:p>
            <w:pPr>
              <w:pStyle w:val="12"/>
            </w:pPr>
            <w:r>
              <w:t>37.00</w:t>
            </w:r>
          </w:p>
        </w:tc>
        <w:tc>
          <w:tcPr>
            <w:tcW w:w="1361" w:type="dxa"/>
            <w:vAlign w:val="center"/>
          </w:tcPr>
          <w:p>
            <w:pPr>
              <w:pStyle w:val="12"/>
            </w:pPr>
          </w:p>
        </w:tc>
        <w:tc>
          <w:tcPr>
            <w:tcW w:w="1361" w:type="dxa"/>
            <w:vAlign w:val="center"/>
          </w:tcPr>
          <w:p>
            <w:pPr>
              <w:pStyle w:val="12"/>
            </w:pPr>
            <w:r>
              <w:t>37.00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2010605</w:t>
            </w:r>
          </w:p>
        </w:tc>
        <w:tc>
          <w:tcPr>
            <w:tcW w:w="4535" w:type="dxa"/>
            <w:vAlign w:val="center"/>
          </w:tcPr>
          <w:p>
            <w:pPr>
              <w:pStyle w:val="13"/>
            </w:pPr>
            <w:r>
              <w:t>财政国库业务</w:t>
            </w: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2010607</w:t>
            </w:r>
          </w:p>
        </w:tc>
        <w:tc>
          <w:tcPr>
            <w:tcW w:w="4535" w:type="dxa"/>
            <w:vAlign w:val="center"/>
          </w:tcPr>
          <w:p>
            <w:pPr>
              <w:pStyle w:val="13"/>
            </w:pPr>
            <w:r>
              <w:t>信息化建设</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74.77</w:t>
            </w:r>
          </w:p>
        </w:tc>
        <w:tc>
          <w:tcPr>
            <w:tcW w:w="1361" w:type="dxa"/>
            <w:vAlign w:val="center"/>
          </w:tcPr>
          <w:p>
            <w:pPr>
              <w:pStyle w:val="12"/>
            </w:pPr>
            <w:r>
              <w:t>74.77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74.77</w:t>
            </w:r>
          </w:p>
        </w:tc>
        <w:tc>
          <w:tcPr>
            <w:tcW w:w="1361" w:type="dxa"/>
            <w:vAlign w:val="center"/>
          </w:tcPr>
          <w:p>
            <w:pPr>
              <w:pStyle w:val="12"/>
            </w:pPr>
            <w:r>
              <w:t>74.77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74.77</w:t>
            </w:r>
          </w:p>
        </w:tc>
        <w:tc>
          <w:tcPr>
            <w:tcW w:w="1361" w:type="dxa"/>
            <w:vAlign w:val="center"/>
          </w:tcPr>
          <w:p>
            <w:pPr>
              <w:pStyle w:val="12"/>
            </w:pPr>
            <w:r>
              <w:t>74.77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32.62</w:t>
            </w:r>
          </w:p>
        </w:tc>
        <w:tc>
          <w:tcPr>
            <w:tcW w:w="1361" w:type="dxa"/>
            <w:vAlign w:val="center"/>
          </w:tcPr>
          <w:p>
            <w:pPr>
              <w:pStyle w:val="12"/>
            </w:pPr>
            <w:r>
              <w:t>32.62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32.62</w:t>
            </w:r>
          </w:p>
        </w:tc>
        <w:tc>
          <w:tcPr>
            <w:tcW w:w="1361" w:type="dxa"/>
            <w:vAlign w:val="center"/>
          </w:tcPr>
          <w:p>
            <w:pPr>
              <w:pStyle w:val="12"/>
            </w:pPr>
            <w:r>
              <w:t>32.62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32.62</w:t>
            </w:r>
          </w:p>
        </w:tc>
        <w:tc>
          <w:tcPr>
            <w:tcW w:w="1361" w:type="dxa"/>
            <w:vAlign w:val="center"/>
          </w:tcPr>
          <w:p>
            <w:pPr>
              <w:pStyle w:val="12"/>
            </w:pPr>
            <w:r>
              <w:t>32.62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61.08</w:t>
            </w:r>
          </w:p>
        </w:tc>
        <w:tc>
          <w:tcPr>
            <w:tcW w:w="1361" w:type="dxa"/>
            <w:vAlign w:val="center"/>
          </w:tcPr>
          <w:p>
            <w:pPr>
              <w:pStyle w:val="12"/>
            </w:pPr>
            <w:r>
              <w:t>61.08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61.08</w:t>
            </w:r>
          </w:p>
        </w:tc>
        <w:tc>
          <w:tcPr>
            <w:tcW w:w="1361" w:type="dxa"/>
            <w:vAlign w:val="center"/>
          </w:tcPr>
          <w:p>
            <w:pPr>
              <w:pStyle w:val="12"/>
            </w:pPr>
            <w:r>
              <w:t>61.08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61.08</w:t>
            </w:r>
          </w:p>
        </w:tc>
        <w:tc>
          <w:tcPr>
            <w:tcW w:w="1361" w:type="dxa"/>
            <w:vAlign w:val="center"/>
          </w:tcPr>
          <w:p>
            <w:pPr>
              <w:pStyle w:val="12"/>
            </w:pPr>
            <w:r>
              <w:t>61.08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126沙河市财政局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911.56</w:t>
            </w:r>
          </w:p>
        </w:tc>
        <w:tc>
          <w:tcPr>
            <w:tcW w:w="3402" w:type="dxa"/>
            <w:vAlign w:val="center"/>
          </w:tcPr>
          <w:p>
            <w:pPr>
              <w:pStyle w:val="13"/>
            </w:pPr>
            <w:r>
              <w:t>一、一般公共服务支出</w:t>
            </w:r>
          </w:p>
        </w:tc>
        <w:tc>
          <w:tcPr>
            <w:tcW w:w="1474" w:type="dxa"/>
            <w:vAlign w:val="center"/>
          </w:tcPr>
          <w:p>
            <w:pPr>
              <w:pStyle w:val="12"/>
            </w:pPr>
            <w:r>
              <w:t>743.09</w:t>
            </w:r>
          </w:p>
        </w:tc>
        <w:tc>
          <w:tcPr>
            <w:tcW w:w="1474" w:type="dxa"/>
            <w:vAlign w:val="center"/>
          </w:tcPr>
          <w:p>
            <w:pPr>
              <w:pStyle w:val="12"/>
            </w:pPr>
            <w:r>
              <w:t>743.09</w:t>
            </w: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74.77</w:t>
            </w:r>
          </w:p>
        </w:tc>
        <w:tc>
          <w:tcPr>
            <w:tcW w:w="1474" w:type="dxa"/>
            <w:vAlign w:val="center"/>
          </w:tcPr>
          <w:p>
            <w:pPr>
              <w:pStyle w:val="12"/>
            </w:pPr>
            <w:r>
              <w:t>74.77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32.62</w:t>
            </w:r>
          </w:p>
        </w:tc>
        <w:tc>
          <w:tcPr>
            <w:tcW w:w="1474" w:type="dxa"/>
            <w:vAlign w:val="center"/>
          </w:tcPr>
          <w:p>
            <w:pPr>
              <w:pStyle w:val="12"/>
            </w:pPr>
            <w:r>
              <w:t>32.62</w:t>
            </w: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61.08</w:t>
            </w:r>
          </w:p>
        </w:tc>
        <w:tc>
          <w:tcPr>
            <w:tcW w:w="1474" w:type="dxa"/>
            <w:vAlign w:val="center"/>
          </w:tcPr>
          <w:p>
            <w:pPr>
              <w:pStyle w:val="12"/>
            </w:pPr>
            <w:r>
              <w:t>61.08</w:t>
            </w: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911.56</w:t>
            </w:r>
          </w:p>
        </w:tc>
        <w:tc>
          <w:tcPr>
            <w:tcW w:w="3402" w:type="dxa"/>
            <w:vAlign w:val="center"/>
          </w:tcPr>
          <w:p>
            <w:pPr>
              <w:pStyle w:val="15"/>
            </w:pPr>
            <w:r>
              <w:t>本年支出合计</w:t>
            </w:r>
          </w:p>
        </w:tc>
        <w:tc>
          <w:tcPr>
            <w:tcW w:w="1474" w:type="dxa"/>
            <w:vAlign w:val="center"/>
          </w:tcPr>
          <w:p>
            <w:pPr>
              <w:pStyle w:val="16"/>
            </w:pPr>
            <w:r>
              <w:t>911.56</w:t>
            </w:r>
          </w:p>
        </w:tc>
        <w:tc>
          <w:tcPr>
            <w:tcW w:w="1474" w:type="dxa"/>
            <w:vAlign w:val="center"/>
          </w:tcPr>
          <w:p>
            <w:pPr>
              <w:pStyle w:val="16"/>
            </w:pPr>
            <w:r>
              <w:t>911.56</w:t>
            </w:r>
          </w:p>
        </w:tc>
        <w:tc>
          <w:tcPr>
            <w:tcW w:w="1474" w:type="dxa"/>
            <w:vAlign w:val="center"/>
          </w:tcPr>
          <w:p>
            <w:pPr>
              <w:pStyle w:val="16"/>
            </w:pPr>
          </w:p>
        </w:tc>
        <w:tc>
          <w:tcPr>
            <w:tcW w:w="1474"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911.56</w:t>
            </w:r>
          </w:p>
        </w:tc>
        <w:tc>
          <w:tcPr>
            <w:tcW w:w="3402" w:type="dxa"/>
            <w:vAlign w:val="center"/>
          </w:tcPr>
          <w:p>
            <w:pPr>
              <w:pStyle w:val="15"/>
            </w:pPr>
            <w:r>
              <w:t>支出总计</w:t>
            </w:r>
          </w:p>
        </w:tc>
        <w:tc>
          <w:tcPr>
            <w:tcW w:w="1474" w:type="dxa"/>
            <w:vAlign w:val="center"/>
          </w:tcPr>
          <w:p>
            <w:pPr>
              <w:pStyle w:val="16"/>
            </w:pPr>
            <w:r>
              <w:t>911.56</w:t>
            </w:r>
          </w:p>
        </w:tc>
        <w:tc>
          <w:tcPr>
            <w:tcW w:w="1474" w:type="dxa"/>
            <w:vAlign w:val="center"/>
          </w:tcPr>
          <w:p>
            <w:pPr>
              <w:pStyle w:val="16"/>
            </w:pPr>
            <w:r>
              <w:t>911.56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126沙河市财政局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911.56</w:t>
            </w:r>
          </w:p>
        </w:tc>
        <w:tc>
          <w:tcPr>
            <w:tcW w:w="2551" w:type="dxa"/>
            <w:vAlign w:val="center"/>
          </w:tcPr>
          <w:p>
            <w:pPr>
              <w:pStyle w:val="16"/>
            </w:pPr>
            <w:r>
              <w:t>821.56</w:t>
            </w:r>
          </w:p>
        </w:tc>
        <w:tc>
          <w:tcPr>
            <w:tcW w:w="2551" w:type="dxa"/>
            <w:vAlign w:val="center"/>
          </w:tcPr>
          <w:p>
            <w:pPr>
              <w:pStyle w:val="16"/>
            </w:pPr>
            <w:r>
              <w:t>90.00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743.09</w:t>
            </w:r>
          </w:p>
        </w:tc>
        <w:tc>
          <w:tcPr>
            <w:tcW w:w="2551" w:type="dxa"/>
            <w:vAlign w:val="center"/>
          </w:tcPr>
          <w:p>
            <w:pPr>
              <w:pStyle w:val="12"/>
            </w:pPr>
            <w:r>
              <w:t>653.09</w:t>
            </w:r>
          </w:p>
        </w:tc>
        <w:tc>
          <w:tcPr>
            <w:tcW w:w="2551" w:type="dxa"/>
            <w:vAlign w:val="center"/>
          </w:tcPr>
          <w:p>
            <w:pPr>
              <w:pStyle w:val="12"/>
            </w:pPr>
            <w:r>
              <w:t>90.00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743.09</w:t>
            </w:r>
          </w:p>
        </w:tc>
        <w:tc>
          <w:tcPr>
            <w:tcW w:w="2551" w:type="dxa"/>
            <w:vAlign w:val="center"/>
          </w:tcPr>
          <w:p>
            <w:pPr>
              <w:pStyle w:val="12"/>
            </w:pPr>
            <w:r>
              <w:t>653.09</w:t>
            </w:r>
          </w:p>
        </w:tc>
        <w:tc>
          <w:tcPr>
            <w:tcW w:w="2551" w:type="dxa"/>
            <w:vAlign w:val="center"/>
          </w:tcPr>
          <w:p>
            <w:pPr>
              <w:pStyle w:val="12"/>
            </w:pPr>
            <w:r>
              <w:t>90.00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2010601</w:t>
            </w:r>
          </w:p>
        </w:tc>
        <w:tc>
          <w:tcPr>
            <w:tcW w:w="4535" w:type="dxa"/>
            <w:vAlign w:val="center"/>
          </w:tcPr>
          <w:p>
            <w:pPr>
              <w:pStyle w:val="13"/>
            </w:pPr>
            <w:r>
              <w:t>行政运行</w:t>
            </w:r>
          </w:p>
        </w:tc>
        <w:tc>
          <w:tcPr>
            <w:tcW w:w="2551" w:type="dxa"/>
            <w:vAlign w:val="center"/>
          </w:tcPr>
          <w:p>
            <w:pPr>
              <w:pStyle w:val="12"/>
            </w:pPr>
            <w:r>
              <w:t>653.09</w:t>
            </w:r>
          </w:p>
        </w:tc>
        <w:tc>
          <w:tcPr>
            <w:tcW w:w="2551" w:type="dxa"/>
            <w:vAlign w:val="center"/>
          </w:tcPr>
          <w:p>
            <w:pPr>
              <w:pStyle w:val="12"/>
            </w:pPr>
            <w:r>
              <w:t>653.09</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2010604</w:t>
            </w:r>
          </w:p>
        </w:tc>
        <w:tc>
          <w:tcPr>
            <w:tcW w:w="4535" w:type="dxa"/>
            <w:vAlign w:val="center"/>
          </w:tcPr>
          <w:p>
            <w:pPr>
              <w:pStyle w:val="13"/>
            </w:pPr>
            <w:r>
              <w:t>预算改革业务</w:t>
            </w:r>
          </w:p>
        </w:tc>
        <w:tc>
          <w:tcPr>
            <w:tcW w:w="2551" w:type="dxa"/>
            <w:vAlign w:val="center"/>
          </w:tcPr>
          <w:p>
            <w:pPr>
              <w:pStyle w:val="12"/>
            </w:pPr>
            <w:r>
              <w:t>37.00</w:t>
            </w:r>
          </w:p>
        </w:tc>
        <w:tc>
          <w:tcPr>
            <w:tcW w:w="2551" w:type="dxa"/>
            <w:vAlign w:val="center"/>
          </w:tcPr>
          <w:p>
            <w:pPr>
              <w:pStyle w:val="12"/>
            </w:pPr>
          </w:p>
        </w:tc>
        <w:tc>
          <w:tcPr>
            <w:tcW w:w="2551" w:type="dxa"/>
            <w:vAlign w:val="center"/>
          </w:tcPr>
          <w:p>
            <w:pPr>
              <w:pStyle w:val="12"/>
            </w:pPr>
            <w:r>
              <w:t>37.00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2010605</w:t>
            </w:r>
          </w:p>
        </w:tc>
        <w:tc>
          <w:tcPr>
            <w:tcW w:w="4535" w:type="dxa"/>
            <w:vAlign w:val="center"/>
          </w:tcPr>
          <w:p>
            <w:pPr>
              <w:pStyle w:val="13"/>
            </w:pPr>
            <w:r>
              <w:t>财政国库业务</w:t>
            </w:r>
          </w:p>
        </w:tc>
        <w:tc>
          <w:tcPr>
            <w:tcW w:w="2551" w:type="dxa"/>
            <w:vAlign w:val="center"/>
          </w:tcPr>
          <w:p>
            <w:pPr>
              <w:pStyle w:val="12"/>
            </w:pPr>
            <w:r>
              <w:t>28.00</w:t>
            </w:r>
          </w:p>
        </w:tc>
        <w:tc>
          <w:tcPr>
            <w:tcW w:w="2551" w:type="dxa"/>
            <w:vAlign w:val="center"/>
          </w:tcPr>
          <w:p>
            <w:pPr>
              <w:pStyle w:val="12"/>
            </w:pPr>
          </w:p>
        </w:tc>
        <w:tc>
          <w:tcPr>
            <w:tcW w:w="2551" w:type="dxa"/>
            <w:vAlign w:val="center"/>
          </w:tcPr>
          <w:p>
            <w:pPr>
              <w:pStyle w:val="12"/>
            </w:pPr>
            <w:r>
              <w:t>28.00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2010607</w:t>
            </w:r>
          </w:p>
        </w:tc>
        <w:tc>
          <w:tcPr>
            <w:tcW w:w="4535" w:type="dxa"/>
            <w:vAlign w:val="center"/>
          </w:tcPr>
          <w:p>
            <w:pPr>
              <w:pStyle w:val="13"/>
            </w:pPr>
            <w:r>
              <w:t>信息化建设</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74.77</w:t>
            </w:r>
          </w:p>
        </w:tc>
        <w:tc>
          <w:tcPr>
            <w:tcW w:w="2551" w:type="dxa"/>
            <w:vAlign w:val="center"/>
          </w:tcPr>
          <w:p>
            <w:pPr>
              <w:pStyle w:val="12"/>
            </w:pPr>
            <w:r>
              <w:t>74.77</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74.77</w:t>
            </w:r>
          </w:p>
        </w:tc>
        <w:tc>
          <w:tcPr>
            <w:tcW w:w="2551" w:type="dxa"/>
            <w:vAlign w:val="center"/>
          </w:tcPr>
          <w:p>
            <w:pPr>
              <w:pStyle w:val="12"/>
            </w:pPr>
            <w:r>
              <w:t>74.77</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74.77</w:t>
            </w:r>
          </w:p>
        </w:tc>
        <w:tc>
          <w:tcPr>
            <w:tcW w:w="2551" w:type="dxa"/>
            <w:vAlign w:val="center"/>
          </w:tcPr>
          <w:p>
            <w:pPr>
              <w:pStyle w:val="12"/>
            </w:pPr>
            <w:r>
              <w:t>74.77</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32.62</w:t>
            </w:r>
          </w:p>
        </w:tc>
        <w:tc>
          <w:tcPr>
            <w:tcW w:w="2551" w:type="dxa"/>
            <w:vAlign w:val="center"/>
          </w:tcPr>
          <w:p>
            <w:pPr>
              <w:pStyle w:val="12"/>
            </w:pPr>
            <w:r>
              <w:t>32.62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32.62</w:t>
            </w:r>
          </w:p>
        </w:tc>
        <w:tc>
          <w:tcPr>
            <w:tcW w:w="2551" w:type="dxa"/>
            <w:vAlign w:val="center"/>
          </w:tcPr>
          <w:p>
            <w:pPr>
              <w:pStyle w:val="12"/>
            </w:pPr>
            <w:r>
              <w:t>32.62</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32.62</w:t>
            </w:r>
          </w:p>
        </w:tc>
        <w:tc>
          <w:tcPr>
            <w:tcW w:w="2551" w:type="dxa"/>
            <w:vAlign w:val="center"/>
          </w:tcPr>
          <w:p>
            <w:pPr>
              <w:pStyle w:val="12"/>
            </w:pPr>
            <w:r>
              <w:t>32.62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61.08</w:t>
            </w:r>
          </w:p>
        </w:tc>
        <w:tc>
          <w:tcPr>
            <w:tcW w:w="2551" w:type="dxa"/>
            <w:vAlign w:val="center"/>
          </w:tcPr>
          <w:p>
            <w:pPr>
              <w:pStyle w:val="12"/>
            </w:pPr>
            <w:r>
              <w:t>61.08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61.08</w:t>
            </w:r>
          </w:p>
        </w:tc>
        <w:tc>
          <w:tcPr>
            <w:tcW w:w="2551" w:type="dxa"/>
            <w:vAlign w:val="center"/>
          </w:tcPr>
          <w:p>
            <w:pPr>
              <w:pStyle w:val="12"/>
            </w:pPr>
            <w:r>
              <w:t>61.08</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61.08</w:t>
            </w:r>
          </w:p>
        </w:tc>
        <w:tc>
          <w:tcPr>
            <w:tcW w:w="2551" w:type="dxa"/>
            <w:vAlign w:val="center"/>
          </w:tcPr>
          <w:p>
            <w:pPr>
              <w:pStyle w:val="12"/>
            </w:pPr>
            <w:r>
              <w:t>61.08</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126沙河市财政局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821.56</w:t>
            </w:r>
          </w:p>
        </w:tc>
        <w:tc>
          <w:tcPr>
            <w:tcW w:w="2551" w:type="dxa"/>
            <w:vAlign w:val="center"/>
          </w:tcPr>
          <w:p>
            <w:pPr>
              <w:pStyle w:val="16"/>
            </w:pPr>
            <w:r>
              <w:t>786.57</w:t>
            </w:r>
          </w:p>
        </w:tc>
        <w:tc>
          <w:tcPr>
            <w:tcW w:w="2551" w:type="dxa"/>
            <w:vAlign w:val="center"/>
          </w:tcPr>
          <w:p>
            <w:pPr>
              <w:pStyle w:val="16"/>
            </w:pPr>
            <w:r>
              <w:t>34.99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719.38</w:t>
            </w:r>
          </w:p>
        </w:tc>
        <w:tc>
          <w:tcPr>
            <w:tcW w:w="2551" w:type="dxa"/>
            <w:vAlign w:val="center"/>
          </w:tcPr>
          <w:p>
            <w:pPr>
              <w:pStyle w:val="12"/>
            </w:pPr>
            <w:r>
              <w:t>719.38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303.42</w:t>
            </w:r>
          </w:p>
        </w:tc>
        <w:tc>
          <w:tcPr>
            <w:tcW w:w="2551" w:type="dxa"/>
            <w:vAlign w:val="center"/>
          </w:tcPr>
          <w:p>
            <w:pPr>
              <w:pStyle w:val="12"/>
            </w:pPr>
            <w:r>
              <w:t>303.42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47.52</w:t>
            </w:r>
          </w:p>
        </w:tc>
        <w:tc>
          <w:tcPr>
            <w:tcW w:w="2551" w:type="dxa"/>
            <w:vAlign w:val="center"/>
          </w:tcPr>
          <w:p>
            <w:pPr>
              <w:pStyle w:val="12"/>
            </w:pPr>
            <w:r>
              <w:t>47.52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24.28</w:t>
            </w:r>
          </w:p>
        </w:tc>
        <w:tc>
          <w:tcPr>
            <w:tcW w:w="2551" w:type="dxa"/>
            <w:vAlign w:val="center"/>
          </w:tcPr>
          <w:p>
            <w:pPr>
              <w:pStyle w:val="12"/>
            </w:pPr>
            <w:r>
              <w:t>24.28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175.69</w:t>
            </w:r>
          </w:p>
        </w:tc>
        <w:tc>
          <w:tcPr>
            <w:tcW w:w="2551" w:type="dxa"/>
            <w:vAlign w:val="center"/>
          </w:tcPr>
          <w:p>
            <w:pPr>
              <w:pStyle w:val="12"/>
            </w:pPr>
            <w:r>
              <w:t>175.69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74.77</w:t>
            </w:r>
          </w:p>
        </w:tc>
        <w:tc>
          <w:tcPr>
            <w:tcW w:w="2551" w:type="dxa"/>
            <w:vAlign w:val="center"/>
          </w:tcPr>
          <w:p>
            <w:pPr>
              <w:pStyle w:val="12"/>
            </w:pPr>
            <w:r>
              <w:t>74.77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32.62</w:t>
            </w:r>
          </w:p>
        </w:tc>
        <w:tc>
          <w:tcPr>
            <w:tcW w:w="2551" w:type="dxa"/>
            <w:vAlign w:val="center"/>
          </w:tcPr>
          <w:p>
            <w:pPr>
              <w:pStyle w:val="12"/>
            </w:pPr>
            <w:r>
              <w:t>32.62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61.08</w:t>
            </w:r>
          </w:p>
        </w:tc>
        <w:tc>
          <w:tcPr>
            <w:tcW w:w="2551" w:type="dxa"/>
            <w:vAlign w:val="center"/>
          </w:tcPr>
          <w:p>
            <w:pPr>
              <w:pStyle w:val="12"/>
            </w:pPr>
            <w:r>
              <w:t>61.08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34.99</w:t>
            </w:r>
          </w:p>
        </w:tc>
        <w:tc>
          <w:tcPr>
            <w:tcW w:w="2551" w:type="dxa"/>
            <w:vAlign w:val="center"/>
          </w:tcPr>
          <w:p>
            <w:pPr>
              <w:pStyle w:val="12"/>
            </w:pPr>
          </w:p>
        </w:tc>
        <w:tc>
          <w:tcPr>
            <w:tcW w:w="2551" w:type="dxa"/>
            <w:vAlign w:val="center"/>
          </w:tcPr>
          <w:p>
            <w:pPr>
              <w:pStyle w:val="12"/>
            </w:pPr>
            <w:r>
              <w:t>34.99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5.36</w:t>
            </w:r>
          </w:p>
        </w:tc>
        <w:tc>
          <w:tcPr>
            <w:tcW w:w="2551" w:type="dxa"/>
            <w:vAlign w:val="center"/>
          </w:tcPr>
          <w:p>
            <w:pPr>
              <w:pStyle w:val="12"/>
            </w:pPr>
          </w:p>
        </w:tc>
        <w:tc>
          <w:tcPr>
            <w:tcW w:w="2551" w:type="dxa"/>
            <w:vAlign w:val="center"/>
          </w:tcPr>
          <w:p>
            <w:pPr>
              <w:pStyle w:val="12"/>
            </w:pPr>
            <w:r>
              <w:t>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7.74</w:t>
            </w:r>
          </w:p>
        </w:tc>
        <w:tc>
          <w:tcPr>
            <w:tcW w:w="2551" w:type="dxa"/>
            <w:vAlign w:val="center"/>
          </w:tcPr>
          <w:p>
            <w:pPr>
              <w:pStyle w:val="12"/>
            </w:pPr>
          </w:p>
        </w:tc>
        <w:tc>
          <w:tcPr>
            <w:tcW w:w="2551" w:type="dxa"/>
            <w:vAlign w:val="center"/>
          </w:tcPr>
          <w:p>
            <w:pPr>
              <w:pStyle w:val="12"/>
            </w:pPr>
            <w:r>
              <w:t>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5.25</w:t>
            </w:r>
          </w:p>
        </w:tc>
        <w:tc>
          <w:tcPr>
            <w:tcW w:w="2551" w:type="dxa"/>
            <w:vAlign w:val="center"/>
          </w:tcPr>
          <w:p>
            <w:pPr>
              <w:pStyle w:val="12"/>
            </w:pPr>
          </w:p>
        </w:tc>
        <w:tc>
          <w:tcPr>
            <w:tcW w:w="2551" w:type="dxa"/>
            <w:vAlign w:val="center"/>
          </w:tcPr>
          <w:p>
            <w:pPr>
              <w:pStyle w:val="12"/>
            </w:pPr>
            <w:r>
              <w:t>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6.56</w:t>
            </w:r>
          </w:p>
        </w:tc>
        <w:tc>
          <w:tcPr>
            <w:tcW w:w="2551" w:type="dxa"/>
            <w:vAlign w:val="center"/>
          </w:tcPr>
          <w:p>
            <w:pPr>
              <w:pStyle w:val="12"/>
            </w:pPr>
          </w:p>
        </w:tc>
        <w:tc>
          <w:tcPr>
            <w:tcW w:w="2551" w:type="dxa"/>
            <w:vAlign w:val="center"/>
          </w:tcPr>
          <w:p>
            <w:pPr>
              <w:pStyle w:val="12"/>
            </w:pPr>
            <w:r>
              <w:t>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10.08</w:t>
            </w:r>
          </w:p>
        </w:tc>
        <w:tc>
          <w:tcPr>
            <w:tcW w:w="2551" w:type="dxa"/>
            <w:vAlign w:val="center"/>
          </w:tcPr>
          <w:p>
            <w:pPr>
              <w:pStyle w:val="12"/>
            </w:pPr>
          </w:p>
        </w:tc>
        <w:tc>
          <w:tcPr>
            <w:tcW w:w="2551" w:type="dxa"/>
            <w:vAlign w:val="center"/>
          </w:tcPr>
          <w:p>
            <w:pPr>
              <w:pStyle w:val="12"/>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67.19</w:t>
            </w:r>
          </w:p>
        </w:tc>
        <w:tc>
          <w:tcPr>
            <w:tcW w:w="2551" w:type="dxa"/>
            <w:vAlign w:val="center"/>
          </w:tcPr>
          <w:p>
            <w:pPr>
              <w:pStyle w:val="12"/>
            </w:pPr>
            <w:r>
              <w:t>67.19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63.48</w:t>
            </w:r>
          </w:p>
        </w:tc>
        <w:tc>
          <w:tcPr>
            <w:tcW w:w="2551" w:type="dxa"/>
            <w:vAlign w:val="center"/>
          </w:tcPr>
          <w:p>
            <w:pPr>
              <w:pStyle w:val="12"/>
            </w:pPr>
            <w:r>
              <w:t>63.48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3.71</w:t>
            </w:r>
          </w:p>
        </w:tc>
        <w:tc>
          <w:tcPr>
            <w:tcW w:w="2551" w:type="dxa"/>
            <w:vAlign w:val="center"/>
          </w:tcPr>
          <w:p>
            <w:pPr>
              <w:pStyle w:val="12"/>
            </w:pPr>
            <w:r>
              <w:t>3.71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126沙河市财政局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126沙河市财政局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126沙河市财政局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2.00</w:t>
            </w:r>
          </w:p>
        </w:tc>
        <w:tc>
          <w:tcPr>
            <w:tcW w:w="2381" w:type="dxa"/>
            <w:vAlign w:val="center"/>
          </w:tcPr>
          <w:p>
            <w:pPr>
              <w:pStyle w:val="16"/>
            </w:pPr>
            <w:r>
              <w:t>2.00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沙河市财政局2025年部门预算信息公开情况说明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沙河市财政局2025年部门预算信息公开情况说明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按照《中华人民共和国预算法》、《地方预决算公开操作规程》和《关于进一步推进预算公开工作的实施意见》规定，现将沙河市财政局2025年部门预算公开如下：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（一）贯彻执行国家、省、市财政工作的方针、政策、法律、法规和规章，制定我市相关措施和办法，经市政府批准后组织实施。</w:t>
      </w:r>
    </w:p>
    <w:p>
      <w:pPr>
        <w:pStyle w:val="18"/>
      </w:pPr>
      <w:r>
        <w:t>  （二）拟订财税发展战略、规划、政策和改革方案并组织实施；分析预测宏观经济形势，参与制定各项宏观经济政策，提出运用财税政策实施宏观调控和综合平衡社会财力的建议；拟订国家与地方企业的分配政策，完善鼓励公益事业发展的财税政策。</w:t>
      </w:r>
    </w:p>
    <w:p>
      <w:pPr>
        <w:pStyle w:val="18"/>
      </w:pPr>
      <w:r>
        <w:t>  （三）制定财政、预算、财务、会计管理的有关规章制度并监督实施。</w:t>
      </w:r>
    </w:p>
    <w:p>
      <w:pPr>
        <w:pStyle w:val="18"/>
      </w:pPr>
      <w:r>
        <w:t>  （四）承担财政预算管理的责任。负责编制年度市本级预决算草案并组织执行，汇编全市年度预决算草案；受市政府委托，向市人民代表大会报告全市及市本级预算及其执行情况，向市人大常委会报告决算；组织制定经费开支标准、定额，负责审核批复部门（部门）的年度预决算。</w:t>
      </w:r>
    </w:p>
    <w:p>
      <w:pPr>
        <w:pStyle w:val="18"/>
      </w:pPr>
      <w:r>
        <w:t>  （五）承担财政国库管理的责任。组织制定国库管理制度、国库集中收付制度并组织实施；指导和监督市本级国库业务，按规定开展国库现金管理；负责制定政府采购制度并组织实施和监督管理。</w:t>
      </w:r>
    </w:p>
    <w:p>
      <w:pPr>
        <w:pStyle w:val="18"/>
      </w:pPr>
      <w:r>
        <w:t>  （六）负责政府非税收入和政府性基金管理，按规定管理行政事业性收费；管理财政票据；制定彩票管理政策和有关办法，管理彩票市场，按规定管理彩票资金。</w:t>
      </w:r>
    </w:p>
    <w:p>
      <w:pPr>
        <w:pStyle w:val="18"/>
      </w:pPr>
      <w:r>
        <w:t>  （七）负责组织起草地方性税收实施细则和税收政策调整方案的建议；提出省授权税目税率调整、减免和地方税收政策等重大事项的建议，对地方承担出口退税事务实施监管，监督检查税收政策的执行情况。</w:t>
      </w:r>
    </w:p>
    <w:p>
      <w:pPr>
        <w:pStyle w:val="18"/>
      </w:pPr>
      <w:r>
        <w:t>  （八）负责制定行政事业部门国有资产管理规章制度，以及市委、市政府直属事业部门和市直部门所属事业部门的国有资产监督管理；制定需要全市统一规定的开支标准和支出政策；承担市直机关事业部门公务车辆编制管理职责。</w:t>
      </w:r>
    </w:p>
    <w:p>
      <w:pPr>
        <w:pStyle w:val="18"/>
      </w:pPr>
      <w:r>
        <w:t>  （九）负责审核和汇总编制全市国有资本经营预决算草案，制定国有资本经营预算的制度和办法，收取市本级企业国有资本收益；制定并组织实施企业财务制度；按规定管理地方金融类企业国有资产，参与拟订企业国有资产管理相关制度，按规定管理资产评估。</w:t>
      </w:r>
    </w:p>
    <w:p>
      <w:pPr>
        <w:pStyle w:val="18"/>
      </w:pPr>
      <w:r>
        <w:t>  （十）负责办理和监督市级财政的经济社会发展支出、市投资项目的财政拨款，参与拟订市建设投资的有关政策，制定基本建设财务制度；负责有关政策性补贴和专项储备资金财政管理。</w:t>
      </w:r>
    </w:p>
    <w:p>
      <w:pPr>
        <w:pStyle w:val="18"/>
      </w:pPr>
      <w:r>
        <w:t>  （十一）会同有关部门管理市级财政社会保障和就业及医疗卫生支出，会同有关部门拟订社会保障资金（基金）的财务管理制度，编制市级社会保障预决算草案。</w:t>
      </w:r>
    </w:p>
    <w:p>
      <w:pPr>
        <w:pStyle w:val="18"/>
      </w:pPr>
      <w:r>
        <w:t>  （十二）负责管理市政府的国内外债权、债务。执行国家外债管理的政策，拟订具体实施办法，承担外国政府贷款、国际金融组织贷款的对外谈判与磋商；负责财政预算内行政机构、事业部门和社会团体的非贸易外汇管理；受市政府委托会同有关部门处理涉及财政、债务等方面的涉外事务。</w:t>
      </w:r>
    </w:p>
    <w:p>
      <w:pPr>
        <w:pStyle w:val="18"/>
      </w:pPr>
      <w:r>
        <w:t>  （十三）负责管理全市会计工作，监督和规范会计行为，组织实施国家统一的会计制度，指导和监督注册会计师和会计事务所的业务，指导和管理社会审计。</w:t>
      </w:r>
    </w:p>
    <w:p>
      <w:pPr>
        <w:pStyle w:val="18"/>
      </w:pPr>
      <w:r>
        <w:t>  （十四）监督检查财税法规、政策的执行情况，反映财政收支管理中的重大问题。</w:t>
      </w:r>
    </w:p>
    <w:p>
      <w:pPr>
        <w:pStyle w:val="18"/>
      </w:pPr>
      <w:r>
        <w:t>  （十五）承办市政府交办的其他事项。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沙河市财政局本级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按照预算管理有关规定，目前部门预算的编制实行综合预算管理，即全部收入和支出都反映在预算中。沙河市财政局机关及所属事业单位的收支包含在部门预算中。</w:t>
      </w:r>
    </w:p>
    <w:p>
      <w:pPr>
        <w:pStyle w:val="19"/>
      </w:pPr>
      <w:r>
        <w:t>1、收入说明</w:t>
      </w:r>
    </w:p>
    <w:p>
      <w:pPr>
        <w:pStyle w:val="19"/>
      </w:pPr>
      <w:r>
        <w:t>反映本部门当年全部收入。2025年预算收入911.56万元，其中：一般公共预算收入911.56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沙河市财政局年度部门预算中支出预算的总体情况。2025年支出预算911.56万元，其中基本支出821.56万元，包括人员经费786.57万元和日常公用经费34.99万元；项目支出90.00万元，主要为预算绩效管理37万元、财政一体化信息化建设25万元、财政国库业务28万元。</w:t>
      </w:r>
    </w:p>
    <w:p>
      <w:pPr>
        <w:pStyle w:val="19"/>
      </w:pPr>
      <w:r>
        <w:t>3、比上年增减情况</w:t>
      </w:r>
    </w:p>
    <w:p>
      <w:pPr>
        <w:pStyle w:val="19"/>
      </w:pPr>
      <w:r>
        <w:t>2025年预算收支安排911.56万元，较2024年预算增加22.81万元，其中：基本支出增加22.81万元，主要为按照上级政策要求，对人员工资进行普调。项目支出增加0.00万元，主要为项目支出与上年持平。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2025年，我部门机关运行经费共计安排34.99万元，主要用于日常维修、办公用房水电费、办公用房取暖费、办公用房物业管理费等日常运行支出。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bookmarkStart w:id="13" w:name="_Toc_3_3_0000000014"/>
      <w:r>
        <w:t>2025年，我单位财政拨款“三公”经费预算安排2.00万元，其中因公出国（境）费0.00万元</w:t>
      </w:r>
      <w:r>
        <w:rPr>
          <w:rFonts w:hint="eastAsia"/>
          <w:lang w:eastAsia="zh-CN"/>
        </w:rPr>
        <w:t>，</w:t>
      </w:r>
      <w:r>
        <w:rPr>
          <w:rFonts w:hint="eastAsia"/>
          <w:lang w:val="en-US" w:eastAsia="zh-CN"/>
        </w:rPr>
        <w:t>与上年持平</w:t>
      </w:r>
      <w:r>
        <w:t>；公务用车购置及运维费0.00万元（其中：公务用车购置费为0.00万元，公务用车运维费0.00万元)</w:t>
      </w:r>
      <w:r>
        <w:rPr>
          <w:rFonts w:hint="eastAsia"/>
          <w:lang w:eastAsia="zh-CN"/>
        </w:rPr>
        <w:t>，</w:t>
      </w:r>
      <w:r>
        <w:rPr>
          <w:rFonts w:hint="eastAsia"/>
          <w:lang w:val="en-US" w:eastAsia="zh-CN"/>
        </w:rPr>
        <w:t>与上年持平</w:t>
      </w:r>
      <w:r>
        <w:t>；公务接待费2.00万元</w:t>
      </w:r>
      <w:r>
        <w:rPr>
          <w:rFonts w:hint="eastAsia"/>
          <w:lang w:eastAsia="zh-CN"/>
        </w:rPr>
        <w:t>，</w:t>
      </w:r>
      <w:r>
        <w:t>与2024年相比</w:t>
      </w:r>
      <w:r>
        <w:rPr>
          <w:rFonts w:hint="eastAsia"/>
          <w:lang w:val="en-US" w:eastAsia="zh-CN"/>
        </w:rPr>
        <w:t>减少1</w:t>
      </w:r>
      <w:r>
        <w:t>.00万元，增减变化的主要原因是</w:t>
      </w:r>
      <w:r>
        <w:rPr>
          <w:rFonts w:hint="eastAsia"/>
          <w:lang w:val="en-US" w:eastAsia="zh-CN"/>
        </w:rPr>
        <w:t>坚决落实过紧日子要求，严控三公经费支出</w:t>
      </w:r>
      <w:r>
        <w:t>。</w:t>
      </w:r>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为更好地保障上级和市委决策部署的落实，经过认真研究支出政策，逐项梳理存量项目，预算安排采取调整结构、强化统筹、整合资金、争取支持等多项措施，重点把握以下四个方面：一是保证公教人员工资按时足额发放和党政机关事业单位正常运转需要；二是保证民生支出需要，足额安排社会保障支出，尽全力安排教育、“三农”、医疗卫生、科技等支出；三是保障市委、市政府重大决策部署支出需要；四是严格控制一般性支出，尤其是“三公”经费和会议费、培训费等支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实施积极财政政策，推动经济转型升级。认真落实国家减税降费政策，进一步减轻企业负担，支持实体经济加快发展。紧紧围绕京津冀协调发展、产业结构转型升级、大气污染治理、脱贫攻坚等上级和市委重点部署，积极对接上级政策，精准谋划对接项目，争取上级在转移支付、债券额度、改革试点等方面，加大对我市支持力度。积极创新财政投入方式，通过PPP模式、股权投资、财政金融政策等多种方式，发挥财政资金“四两拨千斤”作用，撬动金融资本、社会资本投入，激发社会投资活力。进一步强化整合统筹，提高资金配置效率，保障市委确定的重点领域、重点产业和重点项目发展，全力推动县域经济转型升级。</w:t>
      </w:r>
    </w:p>
    <w:p>
      <w:pPr>
        <w:pStyle w:val="23"/>
      </w:pPr>
      <w:r>
        <w:t>二、优化财政支出结构，保障改善基本民生。牢固树立过“紧日子”的思想，厉行勤俭节约，认真落实党政机关会议费、公务接待费、差旅费、培训费等管理办法，严格控制一般性支出，全力压减“三公”经费，优化支出结构，在保工资、保运转、保民生的基础上，着力提高基本公共服务均等化水平。创新财政扶贫资金投入方式，强化涉农资金统筹使用，提高资金使用精准度和效益；进一步完善城乡低保、养老保险、医疗保险等基本民生政策，合理提高财政补助标准，强化基本民生保障，增强民生政策可持续性；扎实做好基本民生兜底相关工作，抓好民生政策落实“最后一公里”，让人民群众有更多获得感。</w:t>
      </w:r>
    </w:p>
    <w:p>
      <w:pPr>
        <w:pStyle w:val="23"/>
      </w:pPr>
      <w:r>
        <w:t>三、深化财政体制改革，提升财政管理效能。按照预算法要求，强化全口径预算管理，加大政府性基金预算与一般公共预算的统筹力度，切实增加地方财政可用财力。完善全过程绩效预算管理机制，发挥绩效预算管理信息系统作用，真正将绩效管理贯穿预算编制、执行、监督全过程。创新行政事业单位国有资产管理，规范资产配置标准和流程，提高国有资产使用效率。积极争取政府新增债券和置换债券，优化地方政府债务结构，保障财政平稳健康运行。通过开展预算安排审查、预算执行监督、预算绩效评价、财政投资评审、财务会计检查等多环节监管，把财政监督嵌入财政运行的全过程，确保财政资金安全高效使用。进一步加强预决算信息公开，主动接受人大和社会监督，提高财政政策资金使用管理透明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全力以赴保增长。按照“以旬保月、以月保季、以季保年”要求，科学筹划，全力推动收入目标完成。充分发挥综合治税作用，以优化环境、促进市场公平为着眼点，积极开展专项税收清理；强化对重点税源行业、企业的监控，优化财政收入结构，确保应收尽收，尤其是一般公共预算收入，切实增加地方可用财力。具体到当前，要加强与国、地税沟通联系，创新思路，主动作为，扎实开展组织收入工作，努力提高财政收入质量，确保完成全年收入目标任务。</w:t>
      </w:r>
    </w:p>
    <w:p>
      <w:pPr>
        <w:pStyle w:val="24"/>
      </w:pPr>
      <w:r>
        <w:t>二、抢抓机遇争支持。抓住京津冀协同发展历史机遇，加强单位协调配合，谋划承接平台和抓手，积极争取上级政策、资金支持。在政府债务限额内，积极争取上级增加我市政府债券规模，为发展腾挪空间。置换债券用于到期高息债务，缓解即期偿债压力，降低资金使用成本；新增债券用于重点民生项目建设，支持地方经济发展。同时，主动与国家开发银行、农业发展银行等政策性银行加强联系，解放思想，创新手段，争取其在新型城镇化、美丽乡村、产业结构调整、大气污染治理、脱贫攻坚等方面给予我市融资支持。</w:t>
      </w:r>
    </w:p>
    <w:p>
      <w:pPr>
        <w:pStyle w:val="24"/>
      </w:pPr>
      <w:r>
        <w:t>三、改革创新引资金。树立新发展理念，充分用好政策、资金等财政工具，创新制度、机制、技术等管理方式，释放改革红利，激发发展动力。围绕推进新型城镇化建设和提高公共服务水平，在大沙河综合治理、城市地下管网等公共基础设施建设运营领域推广运用PPP模式，调动民间资本及金融机构参与地方经济发展的积极性。创新财政资金投入方式，通过股权投资引导基金、撬动金融保险资本等方式，变直接投入为间接投入、变无偿投入为引导撬动，放大财政资金作用，支持产业结构升级和企业技术创新，涵养财源，做大做强财政“蛋糕”。</w:t>
      </w:r>
    </w:p>
    <w:p>
      <w:pPr>
        <w:pStyle w:val="24"/>
      </w:pPr>
      <w:r>
        <w:t>四、盘活资产求效益。创新国有资产管理，在实现国有资产保值、增值的基础上，最大程度地发挥国有资产在融资担保方面的效用。在摸清行政事业单位资产底数的基础上，对行政事业单位资产实行统一管理、优化配置、合理整合，切实降低行政成本。对于闲置的土地、房屋建筑物等资产，依据国有资产管理办法，按照程序通过出租、出让、拍卖等方式实施盘活、变现，处置收入全部上缴国库，缓解财政压力。同时，按照盘活财政存量资金的有关规定，对于执行进度较慢的项目预算，以及未按规定及时分解下达或者闲置沉淀的财政资金，及时收回统筹用于经济社会发展急需资金支持的领域，充分发挥存量资金效益。</w:t>
      </w:r>
    </w:p>
    <w:p>
      <w:pPr>
        <w:pStyle w:val="24"/>
        <w:sectPr>
          <w:pgSz w:w="16840" w:h="11900" w:orient="landscape"/>
          <w:pgMar w:top="1361" w:right="1020" w:bottom="1361" w:left="1020" w:header="720" w:footer="720" w:gutter="0"/>
        </w:sectPr>
      </w:pPr>
      <w:r>
        <w:t>五、严控支出保平衡。认真贯彻落实中央“八项规定”，继续牢固树立“过紧日子”的思想，按照“保工资、保民生、保运转、控一般”的原则，严格控制会议费、差旅费、“三公”经费等一般性支出，切实降低行政运行成本，统筹调度资金，全力保障公教人员工资按时足额发放、机关事业单位正常运转和各项社会事业发展需要。进一步加大非税收入调控力度，行政事业性收费和罚没收入超出年初预算安排部分，一律用于平衡预算，确保全市预算收支平衡。</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1、财政国库业务绩效目标表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13058225P00001010067U</w:t>
            </w:r>
          </w:p>
        </w:tc>
        <w:tc>
          <w:tcPr>
            <w:tcW w:w="2835" w:type="dxa"/>
            <w:vAlign w:val="center"/>
          </w:tcPr>
          <w:p>
            <w:pPr>
              <w:pStyle w:val="11"/>
            </w:pPr>
            <w:r>
              <w:t>项目名称</w:t>
            </w:r>
          </w:p>
        </w:tc>
        <w:tc>
          <w:tcPr>
            <w:tcW w:w="6095" w:type="dxa"/>
            <w:gridSpan w:val="3"/>
            <w:vAlign w:val="center"/>
          </w:tcPr>
          <w:p>
            <w:pPr>
              <w:pStyle w:val="13"/>
            </w:pPr>
            <w:r>
              <w:t>财政国库业务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财政国库业务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7.00</w:t>
            </w:r>
          </w:p>
        </w:tc>
        <w:tc>
          <w:tcPr>
            <w:tcW w:w="2835" w:type="dxa"/>
            <w:vAlign w:val="center"/>
          </w:tcPr>
          <w:p>
            <w:pPr>
              <w:pStyle w:val="14"/>
            </w:pPr>
            <w:r>
              <w:t>14.00</w:t>
            </w:r>
          </w:p>
        </w:tc>
        <w:tc>
          <w:tcPr>
            <w:tcW w:w="2551" w:type="dxa"/>
            <w:vAlign w:val="center"/>
          </w:tcPr>
          <w:p>
            <w:pPr>
              <w:pStyle w:val="14"/>
            </w:pPr>
            <w:r>
              <w:t>21.00</w:t>
            </w:r>
          </w:p>
        </w:tc>
        <w:tc>
          <w:tcPr>
            <w:tcW w:w="3544" w:type="dxa"/>
            <w:gridSpan w:val="2"/>
            <w:vAlign w:val="center"/>
          </w:tcPr>
          <w:p>
            <w:pPr>
              <w:pStyle w:val="14"/>
            </w:pPr>
            <w:r>
              <w:t>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制定账册</w:t>
            </w:r>
          </w:p>
        </w:tc>
        <w:tc>
          <w:tcPr>
            <w:tcW w:w="5386" w:type="dxa"/>
            <w:vAlign w:val="center"/>
          </w:tcPr>
          <w:p>
            <w:pPr>
              <w:pStyle w:val="13"/>
            </w:pPr>
            <w:r>
              <w:t>装订账务凭证</w:t>
            </w:r>
          </w:p>
        </w:tc>
        <w:tc>
          <w:tcPr>
            <w:tcW w:w="2268" w:type="dxa"/>
            <w:vAlign w:val="center"/>
          </w:tcPr>
          <w:p>
            <w:pPr>
              <w:pStyle w:val="13"/>
            </w:pPr>
            <w:r>
              <w:t>≥15本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财政国库业务基本保障水平</w:t>
            </w:r>
          </w:p>
        </w:tc>
        <w:tc>
          <w:tcPr>
            <w:tcW w:w="5386" w:type="dxa"/>
            <w:vAlign w:val="center"/>
          </w:tcPr>
          <w:p>
            <w:pPr>
              <w:pStyle w:val="13"/>
            </w:pPr>
            <w:r>
              <w:t>实际保障工作量与工作计划工作的比率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各项工作按时完成率</w:t>
            </w:r>
          </w:p>
        </w:tc>
        <w:tc>
          <w:tcPr>
            <w:tcW w:w="5386" w:type="dxa"/>
            <w:vAlign w:val="center"/>
          </w:tcPr>
          <w:p>
            <w:pPr>
              <w:pStyle w:val="13"/>
            </w:pPr>
            <w:r>
              <w:t>实际完成时间与预期时间比较</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财政国库业务运行费用</w:t>
            </w:r>
          </w:p>
        </w:tc>
        <w:tc>
          <w:tcPr>
            <w:tcW w:w="5386" w:type="dxa"/>
            <w:vAlign w:val="center"/>
          </w:tcPr>
          <w:p>
            <w:pPr>
              <w:pStyle w:val="13"/>
            </w:pPr>
            <w:r>
              <w:t>保障机关基本办公要求</w:t>
            </w:r>
          </w:p>
        </w:tc>
        <w:tc>
          <w:tcPr>
            <w:tcW w:w="2268" w:type="dxa"/>
            <w:vAlign w:val="center"/>
          </w:tcPr>
          <w:p>
            <w:pPr>
              <w:pStyle w:val="13"/>
            </w:pPr>
            <w:r>
              <w:t>≤28万元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国库业务执行</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2、财政一体化信息化建设绩效目标表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13058225P00001010068F</w:t>
            </w:r>
          </w:p>
        </w:tc>
        <w:tc>
          <w:tcPr>
            <w:tcW w:w="2835" w:type="dxa"/>
            <w:vAlign w:val="center"/>
          </w:tcPr>
          <w:p>
            <w:pPr>
              <w:pStyle w:val="11"/>
            </w:pPr>
            <w:r>
              <w:t>项目名称</w:t>
            </w:r>
          </w:p>
        </w:tc>
        <w:tc>
          <w:tcPr>
            <w:tcW w:w="6095" w:type="dxa"/>
            <w:gridSpan w:val="3"/>
            <w:vAlign w:val="center"/>
          </w:tcPr>
          <w:p>
            <w:pPr>
              <w:pStyle w:val="13"/>
            </w:pPr>
            <w:r>
              <w:t>财政一体化信息化建设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财政一体化信息化建设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6.25</w:t>
            </w:r>
          </w:p>
        </w:tc>
        <w:tc>
          <w:tcPr>
            <w:tcW w:w="2835" w:type="dxa"/>
            <w:vAlign w:val="center"/>
          </w:tcPr>
          <w:p>
            <w:pPr>
              <w:pStyle w:val="14"/>
            </w:pPr>
            <w:r>
              <w:t>12.50</w:t>
            </w:r>
          </w:p>
        </w:tc>
        <w:tc>
          <w:tcPr>
            <w:tcW w:w="2551" w:type="dxa"/>
            <w:vAlign w:val="center"/>
          </w:tcPr>
          <w:p>
            <w:pPr>
              <w:pStyle w:val="14"/>
            </w:pPr>
            <w:r>
              <w:t>18.75</w:t>
            </w:r>
          </w:p>
        </w:tc>
        <w:tc>
          <w:tcPr>
            <w:tcW w:w="3544" w:type="dxa"/>
            <w:gridSpan w:val="2"/>
            <w:vAlign w:val="center"/>
          </w:tcPr>
          <w:p>
            <w:pPr>
              <w:pStyle w:val="14"/>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广域网线路数量</w:t>
            </w:r>
          </w:p>
        </w:tc>
        <w:tc>
          <w:tcPr>
            <w:tcW w:w="5386" w:type="dxa"/>
            <w:vAlign w:val="center"/>
          </w:tcPr>
          <w:p>
            <w:pPr>
              <w:pStyle w:val="13"/>
            </w:pPr>
            <w:r>
              <w:t>局内广电、电线线路条数</w:t>
            </w:r>
          </w:p>
        </w:tc>
        <w:tc>
          <w:tcPr>
            <w:tcW w:w="2268" w:type="dxa"/>
            <w:vAlign w:val="center"/>
          </w:tcPr>
          <w:p>
            <w:pPr>
              <w:pStyle w:val="13"/>
            </w:pPr>
            <w:r>
              <w:t>≥5条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线路带宽</w:t>
            </w:r>
          </w:p>
        </w:tc>
        <w:tc>
          <w:tcPr>
            <w:tcW w:w="5386" w:type="dxa"/>
            <w:vAlign w:val="center"/>
          </w:tcPr>
          <w:p>
            <w:pPr>
              <w:pStyle w:val="13"/>
            </w:pPr>
            <w:r>
              <w:t>确保各线路传输带宽达到20M</w:t>
            </w:r>
          </w:p>
        </w:tc>
        <w:tc>
          <w:tcPr>
            <w:tcW w:w="2268" w:type="dxa"/>
            <w:vAlign w:val="center"/>
          </w:tcPr>
          <w:p>
            <w:pPr>
              <w:pStyle w:val="13"/>
            </w:pPr>
            <w:r>
              <w:t>≥20兆</w:t>
            </w:r>
          </w:p>
        </w:tc>
        <w:tc>
          <w:tcPr>
            <w:tcW w:w="1276" w:type="dxa"/>
            <w:vAlign w:val="center"/>
          </w:tcPr>
          <w:p>
            <w:pPr>
              <w:pStyle w:val="13"/>
            </w:pPr>
            <w:r>
              <w:t>实际线路带宽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线路畅通时效</w:t>
            </w:r>
          </w:p>
        </w:tc>
        <w:tc>
          <w:tcPr>
            <w:tcW w:w="5386" w:type="dxa"/>
            <w:vAlign w:val="center"/>
          </w:tcPr>
          <w:p>
            <w:pPr>
              <w:pStyle w:val="13"/>
            </w:pPr>
            <w:r>
              <w:t>广域网各线路畅通、网络正常运行时间</w:t>
            </w:r>
          </w:p>
        </w:tc>
        <w:tc>
          <w:tcPr>
            <w:tcW w:w="2268" w:type="dxa"/>
            <w:vAlign w:val="center"/>
          </w:tcPr>
          <w:p>
            <w:pPr>
              <w:pStyle w:val="13"/>
            </w:pPr>
            <w:r>
              <w:t>≤24小时</w:t>
            </w:r>
          </w:p>
        </w:tc>
        <w:tc>
          <w:tcPr>
            <w:tcW w:w="1276" w:type="dxa"/>
            <w:vAlign w:val="center"/>
          </w:tcPr>
          <w:p>
            <w:pPr>
              <w:pStyle w:val="13"/>
            </w:pPr>
            <w:r>
              <w:t>线路和网络实际运行情况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运维服务成本</w:t>
            </w:r>
          </w:p>
        </w:tc>
        <w:tc>
          <w:tcPr>
            <w:tcW w:w="5386" w:type="dxa"/>
            <w:vAlign w:val="center"/>
          </w:tcPr>
          <w:p>
            <w:pPr>
              <w:pStyle w:val="13"/>
            </w:pPr>
            <w:r>
              <w:t>服务费</w:t>
            </w:r>
          </w:p>
        </w:tc>
        <w:tc>
          <w:tcPr>
            <w:tcW w:w="2268" w:type="dxa"/>
            <w:vAlign w:val="center"/>
          </w:tcPr>
          <w:p>
            <w:pPr>
              <w:pStyle w:val="13"/>
            </w:pPr>
            <w:r>
              <w:t>≥25万元/年</w:t>
            </w:r>
          </w:p>
        </w:tc>
        <w:tc>
          <w:tcPr>
            <w:tcW w:w="1276" w:type="dxa"/>
            <w:vAlign w:val="center"/>
          </w:tcPr>
          <w:p>
            <w:pPr>
              <w:pStyle w:val="13"/>
            </w:pPr>
            <w:r>
              <w:t>实际运维成本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局内各办公设备及网络正常运行</w:t>
            </w:r>
          </w:p>
        </w:tc>
        <w:tc>
          <w:tcPr>
            <w:tcW w:w="5386" w:type="dxa"/>
            <w:vAlign w:val="center"/>
          </w:tcPr>
          <w:p>
            <w:pPr>
              <w:pStyle w:val="13"/>
            </w:pPr>
            <w:r>
              <w:t>正常运行天数</w:t>
            </w:r>
          </w:p>
        </w:tc>
        <w:tc>
          <w:tcPr>
            <w:tcW w:w="2268" w:type="dxa"/>
            <w:vAlign w:val="center"/>
          </w:tcPr>
          <w:p>
            <w:pPr>
              <w:pStyle w:val="13"/>
            </w:pPr>
            <w:r>
              <w:t>≥365天</w:t>
            </w:r>
          </w:p>
        </w:tc>
        <w:tc>
          <w:tcPr>
            <w:tcW w:w="1276" w:type="dxa"/>
            <w:vAlign w:val="center"/>
          </w:tcPr>
          <w:p>
            <w:pPr>
              <w:pStyle w:val="13"/>
            </w:pPr>
            <w:r>
              <w:t>实际运行情况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机房机器运行正常率</w:t>
            </w:r>
          </w:p>
        </w:tc>
        <w:tc>
          <w:tcPr>
            <w:tcW w:w="5386" w:type="dxa"/>
            <w:vAlign w:val="center"/>
          </w:tcPr>
          <w:p>
            <w:pPr>
              <w:pStyle w:val="13"/>
            </w:pPr>
            <w:r>
              <w:t>正常运行天数</w:t>
            </w:r>
          </w:p>
        </w:tc>
        <w:tc>
          <w:tcPr>
            <w:tcW w:w="2268" w:type="dxa"/>
            <w:vAlign w:val="center"/>
          </w:tcPr>
          <w:p>
            <w:pPr>
              <w:pStyle w:val="13"/>
            </w:pPr>
            <w:r>
              <w:t>≥365天</w:t>
            </w:r>
          </w:p>
        </w:tc>
        <w:tc>
          <w:tcPr>
            <w:tcW w:w="1276" w:type="dxa"/>
            <w:vAlign w:val="center"/>
          </w:tcPr>
          <w:p>
            <w:pPr>
              <w:pStyle w:val="13"/>
            </w:pPr>
            <w:r>
              <w:t>实际运行情况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单位满意度</w:t>
            </w:r>
          </w:p>
        </w:tc>
        <w:tc>
          <w:tcPr>
            <w:tcW w:w="5386" w:type="dxa"/>
            <w:vAlign w:val="center"/>
          </w:tcPr>
          <w:p>
            <w:pPr>
              <w:pStyle w:val="13"/>
            </w:pPr>
            <w:r>
              <w:t>网络正常运行满意度</w:t>
            </w:r>
          </w:p>
        </w:tc>
        <w:tc>
          <w:tcPr>
            <w:tcW w:w="2268" w:type="dxa"/>
            <w:vAlign w:val="center"/>
          </w:tcPr>
          <w:p>
            <w:pPr>
              <w:pStyle w:val="13"/>
            </w:pPr>
            <w:r>
              <w:t>≥95%</w:t>
            </w:r>
          </w:p>
        </w:tc>
        <w:tc>
          <w:tcPr>
            <w:tcW w:w="1276" w:type="dxa"/>
            <w:vAlign w:val="center"/>
          </w:tcPr>
          <w:p>
            <w:pPr>
              <w:pStyle w:val="13"/>
            </w:pPr>
            <w:r>
              <w:t>服务对象满意情况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3、预算绩效管理绩效目标表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13058225P00F00X10003A</w:t>
            </w:r>
          </w:p>
        </w:tc>
        <w:tc>
          <w:tcPr>
            <w:tcW w:w="2835" w:type="dxa"/>
            <w:vAlign w:val="center"/>
          </w:tcPr>
          <w:p>
            <w:pPr>
              <w:pStyle w:val="11"/>
            </w:pPr>
            <w:r>
              <w:t>项目名称</w:t>
            </w:r>
          </w:p>
        </w:tc>
        <w:tc>
          <w:tcPr>
            <w:tcW w:w="6095" w:type="dxa"/>
            <w:gridSpan w:val="3"/>
            <w:vAlign w:val="center"/>
          </w:tcPr>
          <w:p>
            <w:pPr>
              <w:pStyle w:val="13"/>
            </w:pPr>
            <w:r>
              <w:t>预算绩效管理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37.00</w:t>
            </w:r>
          </w:p>
        </w:tc>
        <w:tc>
          <w:tcPr>
            <w:tcW w:w="2835" w:type="dxa"/>
            <w:vAlign w:val="center"/>
          </w:tcPr>
          <w:p>
            <w:pPr>
              <w:pStyle w:val="11"/>
            </w:pPr>
            <w:r>
              <w:t>其中：财政    资金</w:t>
            </w:r>
          </w:p>
        </w:tc>
        <w:tc>
          <w:tcPr>
            <w:tcW w:w="2551" w:type="dxa"/>
            <w:vAlign w:val="center"/>
          </w:tcPr>
          <w:p>
            <w:pPr>
              <w:pStyle w:val="13"/>
            </w:pPr>
            <w:r>
              <w:t>37.00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预算绩效管理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9.25</w:t>
            </w:r>
          </w:p>
        </w:tc>
        <w:tc>
          <w:tcPr>
            <w:tcW w:w="2835" w:type="dxa"/>
            <w:vAlign w:val="center"/>
          </w:tcPr>
          <w:p>
            <w:pPr>
              <w:pStyle w:val="14"/>
            </w:pPr>
            <w:r>
              <w:t>18.50</w:t>
            </w:r>
          </w:p>
        </w:tc>
        <w:tc>
          <w:tcPr>
            <w:tcW w:w="2551" w:type="dxa"/>
            <w:vAlign w:val="center"/>
          </w:tcPr>
          <w:p>
            <w:pPr>
              <w:pStyle w:val="14"/>
            </w:pPr>
            <w:r>
              <w:t>27.75</w:t>
            </w:r>
          </w:p>
        </w:tc>
        <w:tc>
          <w:tcPr>
            <w:tcW w:w="3544" w:type="dxa"/>
            <w:gridSpan w:val="2"/>
            <w:vAlign w:val="center"/>
          </w:tcPr>
          <w:p>
            <w:pPr>
              <w:pStyle w:val="14"/>
            </w:pPr>
            <w:r>
              <w:t>37.00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开展绩效管理</w:t>
            </w:r>
          </w:p>
        </w:tc>
        <w:tc>
          <w:tcPr>
            <w:tcW w:w="5386" w:type="dxa"/>
            <w:vAlign w:val="center"/>
          </w:tcPr>
          <w:p>
            <w:pPr>
              <w:pStyle w:val="13"/>
            </w:pPr>
            <w:r>
              <w:t>开展绩效管理的部门数量</w:t>
            </w:r>
          </w:p>
        </w:tc>
        <w:tc>
          <w:tcPr>
            <w:tcW w:w="2268" w:type="dxa"/>
            <w:vAlign w:val="center"/>
          </w:tcPr>
          <w:p>
            <w:pPr>
              <w:pStyle w:val="13"/>
            </w:pPr>
            <w:r>
              <w:t>≥67个</w:t>
            </w:r>
          </w:p>
        </w:tc>
        <w:tc>
          <w:tcPr>
            <w:tcW w:w="1276" w:type="dxa"/>
            <w:vAlign w:val="center"/>
          </w:tcPr>
          <w:p>
            <w:pPr>
              <w:pStyle w:val="13"/>
            </w:pPr>
            <w:r>
              <w:t>实际开展预算绩效管理部门数量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绩效信息填报</w:t>
            </w:r>
          </w:p>
        </w:tc>
        <w:tc>
          <w:tcPr>
            <w:tcW w:w="5386" w:type="dxa"/>
            <w:vAlign w:val="center"/>
          </w:tcPr>
          <w:p>
            <w:pPr>
              <w:pStyle w:val="13"/>
            </w:pPr>
            <w:r>
              <w:t>用一体化系统报送绩效信息合格率</w:t>
            </w:r>
          </w:p>
        </w:tc>
        <w:tc>
          <w:tcPr>
            <w:tcW w:w="2268" w:type="dxa"/>
            <w:vAlign w:val="center"/>
          </w:tcPr>
          <w:p>
            <w:pPr>
              <w:pStyle w:val="13"/>
            </w:pPr>
            <w:r>
              <w:t>≥90%</w:t>
            </w:r>
          </w:p>
        </w:tc>
        <w:tc>
          <w:tcPr>
            <w:tcW w:w="1276" w:type="dxa"/>
            <w:vAlign w:val="center"/>
          </w:tcPr>
          <w:p>
            <w:pPr>
              <w:pStyle w:val="13"/>
            </w:pPr>
            <w:r>
              <w:t>绩效信息填报质量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工作完成及时率</w:t>
            </w:r>
          </w:p>
        </w:tc>
        <w:tc>
          <w:tcPr>
            <w:tcW w:w="5386" w:type="dxa"/>
            <w:vAlign w:val="center"/>
          </w:tcPr>
          <w:p>
            <w:pPr>
              <w:pStyle w:val="13"/>
            </w:pPr>
            <w:r>
              <w:t>实际完成时间与预期时间相比较</w:t>
            </w:r>
          </w:p>
        </w:tc>
        <w:tc>
          <w:tcPr>
            <w:tcW w:w="2268" w:type="dxa"/>
            <w:vAlign w:val="center"/>
          </w:tcPr>
          <w:p>
            <w:pPr>
              <w:pStyle w:val="13"/>
            </w:pPr>
            <w:r>
              <w:t>≥95%</w:t>
            </w:r>
          </w:p>
        </w:tc>
        <w:tc>
          <w:tcPr>
            <w:tcW w:w="1276" w:type="dxa"/>
            <w:vAlign w:val="center"/>
          </w:tcPr>
          <w:p>
            <w:pPr>
              <w:pStyle w:val="13"/>
            </w:pPr>
            <w:r>
              <w:t>是否按时完成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预算成本</w:t>
            </w:r>
          </w:p>
        </w:tc>
        <w:tc>
          <w:tcPr>
            <w:tcW w:w="5386" w:type="dxa"/>
            <w:vAlign w:val="center"/>
          </w:tcPr>
          <w:p>
            <w:pPr>
              <w:pStyle w:val="13"/>
            </w:pPr>
            <w:r>
              <w:t>保障预算项目基本运行</w:t>
            </w:r>
          </w:p>
        </w:tc>
        <w:tc>
          <w:tcPr>
            <w:tcW w:w="2268" w:type="dxa"/>
            <w:vAlign w:val="center"/>
          </w:tcPr>
          <w:p>
            <w:pPr>
              <w:pStyle w:val="13"/>
            </w:pPr>
            <w:r>
              <w:t>≤37万元</w:t>
            </w:r>
          </w:p>
        </w:tc>
        <w:tc>
          <w:tcPr>
            <w:tcW w:w="1276" w:type="dxa"/>
            <w:vAlign w:val="center"/>
          </w:tcPr>
          <w:p>
            <w:pPr>
              <w:pStyle w:val="13"/>
            </w:pPr>
            <w:r>
              <w:t>实际运行成本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预算绩效管理完成率</w:t>
            </w:r>
          </w:p>
        </w:tc>
        <w:tc>
          <w:tcPr>
            <w:tcW w:w="5386" w:type="dxa"/>
            <w:vAlign w:val="center"/>
          </w:tcPr>
          <w:p>
            <w:pPr>
              <w:pStyle w:val="13"/>
            </w:pPr>
            <w:r>
              <w:t>预算绩效管理的部门完成率</w:t>
            </w:r>
          </w:p>
        </w:tc>
        <w:tc>
          <w:tcPr>
            <w:tcW w:w="2268" w:type="dxa"/>
            <w:vAlign w:val="center"/>
          </w:tcPr>
          <w:p>
            <w:pPr>
              <w:pStyle w:val="13"/>
            </w:pPr>
            <w:r>
              <w:t>≥95%</w:t>
            </w:r>
          </w:p>
        </w:tc>
        <w:tc>
          <w:tcPr>
            <w:tcW w:w="1276" w:type="dxa"/>
            <w:vAlign w:val="center"/>
          </w:tcPr>
          <w:p>
            <w:pPr>
              <w:pStyle w:val="13"/>
            </w:pPr>
            <w:r>
              <w:t>预算绩效管理完成情况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服务对象满意情况</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126沙河市财政局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沙河市财政局（含所属单位）上年末固定资产金额为</w:t>
      </w:r>
      <w:r>
        <w:rPr>
          <w:rFonts w:hint="eastAsia" w:eastAsia="方正仿宋_GBK" w:cs="Times New Roman"/>
          <w:b w:val="0"/>
          <w:color w:val="000000"/>
          <w:sz w:val="28"/>
          <w:lang w:val="en-US" w:eastAsia="zh-CN"/>
        </w:rPr>
        <w:t>746.57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126沙河市财政局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eastAsia" w:eastAsia="方正书宋_GBK"/>
                <w:lang w:val="en-US" w:eastAsia="zh-CN"/>
              </w:rPr>
            </w:pPr>
            <w:r>
              <w:rPr>
                <w:rFonts w:hint="eastAsia"/>
                <w:lang w:val="en-US" w:eastAsia="zh-CN"/>
              </w:rPr>
              <w:t>746.57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3605</w:t>
            </w:r>
          </w:p>
        </w:tc>
        <w:tc>
          <w:tcPr>
            <w:tcW w:w="2835" w:type="dxa"/>
            <w:vAlign w:val="center"/>
          </w:tcPr>
          <w:p>
            <w:pPr>
              <w:pStyle w:val="12"/>
              <w:rPr>
                <w:rFonts w:hint="eastAsia" w:eastAsia="方正书宋_GBK"/>
                <w:lang w:val="en-US" w:eastAsia="zh-CN"/>
              </w:rPr>
            </w:pPr>
            <w:r>
              <w:rPr>
                <w:rFonts w:hint="eastAsia"/>
                <w:lang w:val="en-US" w:eastAsia="zh-CN"/>
              </w:rPr>
              <w:t>513.97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3605</w:t>
            </w:r>
          </w:p>
        </w:tc>
        <w:tc>
          <w:tcPr>
            <w:tcW w:w="2835" w:type="dxa"/>
            <w:vAlign w:val="center"/>
          </w:tcPr>
          <w:p>
            <w:pPr>
              <w:pStyle w:val="12"/>
              <w:rPr>
                <w:rFonts w:hint="eastAsia" w:eastAsia="方正书宋_GBK"/>
                <w:lang w:val="en-US" w:eastAsia="zh-CN"/>
              </w:rPr>
            </w:pPr>
            <w:r>
              <w:rPr>
                <w:rFonts w:hint="eastAsia"/>
                <w:lang w:val="en-US" w:eastAsia="zh-CN"/>
              </w:rPr>
              <w:t>513.97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w:t>
            </w:r>
          </w:p>
        </w:tc>
        <w:tc>
          <w:tcPr>
            <w:tcW w:w="2835" w:type="dxa"/>
            <w:vAlign w:val="center"/>
          </w:tcPr>
          <w:p>
            <w:pPr>
              <w:pStyle w:val="12"/>
              <w:rPr>
                <w:rFonts w:hint="eastAsia" w:eastAsia="方正书宋_GBK"/>
                <w:lang w:val="en-US" w:eastAsia="zh-CN"/>
              </w:rPr>
            </w:pPr>
            <w:r>
              <w:rPr>
                <w:rFonts w:hint="eastAsia"/>
              </w:rPr>
              <w:t>232.</w:t>
            </w:r>
            <w:r>
              <w:rPr>
                <w:rFonts w:hint="eastAsia"/>
                <w:lang w:val="en-US" w:eastAsia="zh-CN"/>
              </w:rPr>
              <w:t>60</w:t>
            </w:r>
            <w:bookmarkStart w:id="20" w:name="_GoBack"/>
            <w:bookmarkEnd w:id="20"/>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222609A"/>
    <w:rsid w:val="1EF90997"/>
    <w:rsid w:val="2CCE5983"/>
    <w:rsid w:val="32EF715C"/>
    <w:rsid w:val="470637AF"/>
    <w:rsid w:val="58D2170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TotalTime>11</TotalTime>
  <ScaleCrop>false</ScaleCrop>
  <LinksUpToDate>false</LinksUpToDate>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2025-02-14T09:17:00Z</dcterms:created>
  <dc:creator>Lenovo</dc:creator>
  <cp:lastModifiedBy>Administrator</cp:lastModifiedBy>
  <dcterms:modified xsi:type="dcterms:W3CDTF">2025-02-24T01:22:27Z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