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126001沙河市财政局本级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911.56</w:t>
            </w:r>
          </w:p>
        </w:tc>
        <w:tc>
          <w:tcPr>
            <w:tcW w:w="4535" w:type="dxa"/>
            <w:vAlign w:val="center"/>
          </w:tcPr>
          <w:p>
            <w:pPr>
              <w:pStyle w:val="12"/>
            </w:pPr>
            <w:r>
              <w:t>一、一般公共服务支出</w:t>
            </w:r>
          </w:p>
        </w:tc>
        <w:tc>
          <w:tcPr>
            <w:tcW w:w="2126" w:type="dxa"/>
            <w:vAlign w:val="center"/>
          </w:tcPr>
          <w:p>
            <w:pPr>
              <w:pStyle w:val="11"/>
            </w:pPr>
            <w:r>
              <w:t>743.09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911.56</w:t>
            </w:r>
          </w:p>
        </w:tc>
        <w:tc>
          <w:tcPr>
            <w:tcW w:w="4535" w:type="dxa"/>
            <w:vAlign w:val="center"/>
          </w:tcPr>
          <w:p>
            <w:pPr>
              <w:pStyle w:val="14"/>
            </w:pPr>
            <w:r>
              <w:t>本年支出合计</w:t>
            </w:r>
          </w:p>
        </w:tc>
        <w:tc>
          <w:tcPr>
            <w:tcW w:w="2126" w:type="dxa"/>
            <w:vAlign w:val="center"/>
          </w:tcPr>
          <w:p>
            <w:pPr>
              <w:pStyle w:val="15"/>
            </w:pPr>
            <w:r>
              <w:t>911.56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911.56</w:t>
            </w:r>
          </w:p>
        </w:tc>
        <w:tc>
          <w:tcPr>
            <w:tcW w:w="4535" w:type="dxa"/>
            <w:vAlign w:val="center"/>
          </w:tcPr>
          <w:p>
            <w:pPr>
              <w:pStyle w:val="14"/>
            </w:pPr>
            <w:r>
              <w:t>支出总计</w:t>
            </w:r>
          </w:p>
        </w:tc>
        <w:tc>
          <w:tcPr>
            <w:tcW w:w="2126" w:type="dxa"/>
            <w:vAlign w:val="center"/>
          </w:tcPr>
          <w:p>
            <w:pPr>
              <w:pStyle w:val="15"/>
            </w:pPr>
            <w:r>
              <w:t>911.56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126001沙河市财政局本级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911.56</w:t>
            </w:r>
          </w:p>
        </w:tc>
        <w:tc>
          <w:tcPr>
            <w:tcW w:w="1134" w:type="dxa"/>
            <w:vAlign w:val="center"/>
          </w:tcPr>
          <w:p>
            <w:pPr>
              <w:pStyle w:val="15"/>
            </w:pPr>
            <w:r>
              <w:t>911.56</w:t>
            </w:r>
          </w:p>
        </w:tc>
        <w:tc>
          <w:tcPr>
            <w:tcW w:w="1134" w:type="dxa"/>
            <w:vAlign w:val="center"/>
          </w:tcPr>
          <w:p>
            <w:pPr>
              <w:pStyle w:val="15"/>
            </w:pPr>
            <w:r>
              <w:t>911.56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743.09</w:t>
            </w:r>
          </w:p>
        </w:tc>
        <w:tc>
          <w:tcPr>
            <w:tcW w:w="1134" w:type="dxa"/>
            <w:vAlign w:val="center"/>
          </w:tcPr>
          <w:p>
            <w:pPr>
              <w:pStyle w:val="11"/>
            </w:pPr>
            <w:r>
              <w:t>743.09</w:t>
            </w:r>
          </w:p>
        </w:tc>
        <w:tc>
          <w:tcPr>
            <w:tcW w:w="1134" w:type="dxa"/>
            <w:vAlign w:val="center"/>
          </w:tcPr>
          <w:p>
            <w:pPr>
              <w:pStyle w:val="11"/>
            </w:pPr>
            <w:r>
              <w:t>743.09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743.09</w:t>
            </w:r>
          </w:p>
        </w:tc>
        <w:tc>
          <w:tcPr>
            <w:tcW w:w="1134" w:type="dxa"/>
            <w:vAlign w:val="center"/>
          </w:tcPr>
          <w:p>
            <w:pPr>
              <w:pStyle w:val="11"/>
            </w:pPr>
            <w:r>
              <w:t>743.09</w:t>
            </w:r>
          </w:p>
        </w:tc>
        <w:tc>
          <w:tcPr>
            <w:tcW w:w="1134" w:type="dxa"/>
            <w:vAlign w:val="center"/>
          </w:tcPr>
          <w:p>
            <w:pPr>
              <w:pStyle w:val="11"/>
            </w:pPr>
            <w:r>
              <w:t>743.09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653.09</w:t>
            </w:r>
          </w:p>
        </w:tc>
        <w:tc>
          <w:tcPr>
            <w:tcW w:w="1134" w:type="dxa"/>
            <w:vAlign w:val="center"/>
          </w:tcPr>
          <w:p>
            <w:pPr>
              <w:pStyle w:val="11"/>
            </w:pPr>
            <w:r>
              <w:t>653.09</w:t>
            </w:r>
          </w:p>
        </w:tc>
        <w:tc>
          <w:tcPr>
            <w:tcW w:w="1134" w:type="dxa"/>
            <w:vAlign w:val="center"/>
          </w:tcPr>
          <w:p>
            <w:pPr>
              <w:pStyle w:val="11"/>
            </w:pPr>
            <w:r>
              <w:t>653.09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2010604</w:t>
            </w:r>
          </w:p>
        </w:tc>
        <w:tc>
          <w:tcPr>
            <w:tcW w:w="1559" w:type="dxa"/>
            <w:vAlign w:val="center"/>
          </w:tcPr>
          <w:p>
            <w:pPr>
              <w:pStyle w:val="12"/>
            </w:pPr>
            <w:r>
              <w:t>预算改革业务</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2010605</w:t>
            </w:r>
          </w:p>
        </w:tc>
        <w:tc>
          <w:tcPr>
            <w:tcW w:w="1559" w:type="dxa"/>
            <w:vAlign w:val="center"/>
          </w:tcPr>
          <w:p>
            <w:pPr>
              <w:pStyle w:val="12"/>
            </w:pPr>
            <w:r>
              <w:t>财政国库业务</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r>
              <w:t>74.77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r>
              <w:t>32.62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911.56</w:t>
            </w:r>
          </w:p>
        </w:tc>
        <w:tc>
          <w:tcPr>
            <w:tcW w:w="1361" w:type="dxa"/>
            <w:vAlign w:val="center"/>
          </w:tcPr>
          <w:p>
            <w:pPr>
              <w:pStyle w:val="15"/>
            </w:pPr>
            <w:r>
              <w:t>821.56</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743.09</w:t>
            </w:r>
          </w:p>
        </w:tc>
        <w:tc>
          <w:tcPr>
            <w:tcW w:w="1361" w:type="dxa"/>
            <w:vAlign w:val="center"/>
          </w:tcPr>
          <w:p>
            <w:pPr>
              <w:pStyle w:val="11"/>
            </w:pPr>
            <w:r>
              <w:t>653.09</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743.09</w:t>
            </w:r>
          </w:p>
        </w:tc>
        <w:tc>
          <w:tcPr>
            <w:tcW w:w="1361" w:type="dxa"/>
            <w:vAlign w:val="center"/>
          </w:tcPr>
          <w:p>
            <w:pPr>
              <w:pStyle w:val="11"/>
            </w:pPr>
            <w:r>
              <w:t>653.09</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653.09</w:t>
            </w:r>
          </w:p>
        </w:tc>
        <w:tc>
          <w:tcPr>
            <w:tcW w:w="1361" w:type="dxa"/>
            <w:vAlign w:val="center"/>
          </w:tcPr>
          <w:p>
            <w:pPr>
              <w:pStyle w:val="11"/>
            </w:pPr>
            <w:r>
              <w:t>653.09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2010604</w:t>
            </w:r>
          </w:p>
        </w:tc>
        <w:tc>
          <w:tcPr>
            <w:tcW w:w="4535" w:type="dxa"/>
            <w:vAlign w:val="center"/>
          </w:tcPr>
          <w:p>
            <w:pPr>
              <w:pStyle w:val="12"/>
            </w:pPr>
            <w:r>
              <w:t>预算改革业务</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2010605</w:t>
            </w:r>
          </w:p>
        </w:tc>
        <w:tc>
          <w:tcPr>
            <w:tcW w:w="4535" w:type="dxa"/>
            <w:vAlign w:val="center"/>
          </w:tcPr>
          <w:p>
            <w:pPr>
              <w:pStyle w:val="12"/>
            </w:pPr>
            <w:r>
              <w:t>财政国库业务</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74.77</w:t>
            </w:r>
          </w:p>
        </w:tc>
        <w:tc>
          <w:tcPr>
            <w:tcW w:w="1361" w:type="dxa"/>
            <w:vAlign w:val="center"/>
          </w:tcPr>
          <w:p>
            <w:pPr>
              <w:pStyle w:val="11"/>
            </w:pPr>
            <w:r>
              <w:t>74.77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74.77</w:t>
            </w:r>
          </w:p>
        </w:tc>
        <w:tc>
          <w:tcPr>
            <w:tcW w:w="1361" w:type="dxa"/>
            <w:vAlign w:val="center"/>
          </w:tcPr>
          <w:p>
            <w:pPr>
              <w:pStyle w:val="11"/>
            </w:pPr>
            <w:r>
              <w:t>74.77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74.77</w:t>
            </w:r>
          </w:p>
        </w:tc>
        <w:tc>
          <w:tcPr>
            <w:tcW w:w="1361" w:type="dxa"/>
            <w:vAlign w:val="center"/>
          </w:tcPr>
          <w:p>
            <w:pPr>
              <w:pStyle w:val="11"/>
            </w:pPr>
            <w:r>
              <w:t>74.77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32.62</w:t>
            </w:r>
          </w:p>
        </w:tc>
        <w:tc>
          <w:tcPr>
            <w:tcW w:w="1361" w:type="dxa"/>
            <w:vAlign w:val="center"/>
          </w:tcPr>
          <w:p>
            <w:pPr>
              <w:pStyle w:val="11"/>
            </w:pPr>
            <w:r>
              <w:t>32.62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32.62</w:t>
            </w:r>
          </w:p>
        </w:tc>
        <w:tc>
          <w:tcPr>
            <w:tcW w:w="1361" w:type="dxa"/>
            <w:vAlign w:val="center"/>
          </w:tcPr>
          <w:p>
            <w:pPr>
              <w:pStyle w:val="11"/>
            </w:pPr>
            <w:r>
              <w:t>32.62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32.62</w:t>
            </w:r>
          </w:p>
        </w:tc>
        <w:tc>
          <w:tcPr>
            <w:tcW w:w="1361" w:type="dxa"/>
            <w:vAlign w:val="center"/>
          </w:tcPr>
          <w:p>
            <w:pPr>
              <w:pStyle w:val="11"/>
            </w:pPr>
            <w:r>
              <w:t>32.62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911.56</w:t>
            </w:r>
          </w:p>
        </w:tc>
        <w:tc>
          <w:tcPr>
            <w:tcW w:w="3402" w:type="dxa"/>
            <w:vAlign w:val="center"/>
          </w:tcPr>
          <w:p>
            <w:pPr>
              <w:pStyle w:val="12"/>
            </w:pPr>
            <w:r>
              <w:t>一、一般公共服务支出</w:t>
            </w:r>
          </w:p>
        </w:tc>
        <w:tc>
          <w:tcPr>
            <w:tcW w:w="1474" w:type="dxa"/>
            <w:vAlign w:val="center"/>
          </w:tcPr>
          <w:p>
            <w:pPr>
              <w:pStyle w:val="11"/>
            </w:pPr>
            <w:r>
              <w:t>743.09</w:t>
            </w:r>
          </w:p>
        </w:tc>
        <w:tc>
          <w:tcPr>
            <w:tcW w:w="1474" w:type="dxa"/>
            <w:vAlign w:val="center"/>
          </w:tcPr>
          <w:p>
            <w:pPr>
              <w:pStyle w:val="11"/>
            </w:pPr>
            <w:r>
              <w:t>743.09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74.77</w:t>
            </w:r>
          </w:p>
        </w:tc>
        <w:tc>
          <w:tcPr>
            <w:tcW w:w="1474" w:type="dxa"/>
            <w:vAlign w:val="center"/>
          </w:tcPr>
          <w:p>
            <w:pPr>
              <w:pStyle w:val="11"/>
            </w:pPr>
            <w:r>
              <w:t>74.77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32.62</w:t>
            </w:r>
          </w:p>
        </w:tc>
        <w:tc>
          <w:tcPr>
            <w:tcW w:w="1474" w:type="dxa"/>
            <w:vAlign w:val="center"/>
          </w:tcPr>
          <w:p>
            <w:pPr>
              <w:pStyle w:val="11"/>
            </w:pPr>
            <w:r>
              <w:t>32.62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61.08</w:t>
            </w:r>
          </w:p>
        </w:tc>
        <w:tc>
          <w:tcPr>
            <w:tcW w:w="1474" w:type="dxa"/>
            <w:vAlign w:val="center"/>
          </w:tcPr>
          <w:p>
            <w:pPr>
              <w:pStyle w:val="11"/>
            </w:pPr>
            <w:r>
              <w:t>61.08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911.56</w:t>
            </w:r>
          </w:p>
        </w:tc>
        <w:tc>
          <w:tcPr>
            <w:tcW w:w="3402" w:type="dxa"/>
            <w:vAlign w:val="center"/>
          </w:tcPr>
          <w:p>
            <w:pPr>
              <w:pStyle w:val="14"/>
            </w:pPr>
            <w:r>
              <w:t>本年支出合计</w:t>
            </w:r>
          </w:p>
        </w:tc>
        <w:tc>
          <w:tcPr>
            <w:tcW w:w="1474" w:type="dxa"/>
            <w:vAlign w:val="center"/>
          </w:tcPr>
          <w:p>
            <w:pPr>
              <w:pStyle w:val="15"/>
            </w:pPr>
            <w:r>
              <w:t>911.56</w:t>
            </w:r>
          </w:p>
        </w:tc>
        <w:tc>
          <w:tcPr>
            <w:tcW w:w="1474" w:type="dxa"/>
            <w:vAlign w:val="center"/>
          </w:tcPr>
          <w:p>
            <w:pPr>
              <w:pStyle w:val="15"/>
            </w:pPr>
            <w:r>
              <w:t>911.56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911.56</w:t>
            </w:r>
          </w:p>
        </w:tc>
        <w:tc>
          <w:tcPr>
            <w:tcW w:w="3402" w:type="dxa"/>
            <w:vAlign w:val="center"/>
          </w:tcPr>
          <w:p>
            <w:pPr>
              <w:pStyle w:val="14"/>
            </w:pPr>
            <w:r>
              <w:t>支出总计</w:t>
            </w:r>
          </w:p>
        </w:tc>
        <w:tc>
          <w:tcPr>
            <w:tcW w:w="1474" w:type="dxa"/>
            <w:vAlign w:val="center"/>
          </w:tcPr>
          <w:p>
            <w:pPr>
              <w:pStyle w:val="15"/>
            </w:pPr>
            <w:r>
              <w:t>911.56</w:t>
            </w:r>
          </w:p>
        </w:tc>
        <w:tc>
          <w:tcPr>
            <w:tcW w:w="1474" w:type="dxa"/>
            <w:vAlign w:val="center"/>
          </w:tcPr>
          <w:p>
            <w:pPr>
              <w:pStyle w:val="15"/>
            </w:pPr>
            <w:r>
              <w:t>911.56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911.56</w:t>
            </w:r>
          </w:p>
        </w:tc>
        <w:tc>
          <w:tcPr>
            <w:tcW w:w="2551" w:type="dxa"/>
            <w:vAlign w:val="center"/>
          </w:tcPr>
          <w:p>
            <w:pPr>
              <w:pStyle w:val="15"/>
            </w:pPr>
            <w:r>
              <w:t>821.56</w:t>
            </w:r>
          </w:p>
        </w:tc>
        <w:tc>
          <w:tcPr>
            <w:tcW w:w="2551" w:type="dxa"/>
            <w:vAlign w:val="center"/>
          </w:tcPr>
          <w:p>
            <w:pPr>
              <w:pStyle w:val="15"/>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743.09</w:t>
            </w:r>
          </w:p>
        </w:tc>
        <w:tc>
          <w:tcPr>
            <w:tcW w:w="2551" w:type="dxa"/>
            <w:vAlign w:val="center"/>
          </w:tcPr>
          <w:p>
            <w:pPr>
              <w:pStyle w:val="11"/>
            </w:pPr>
            <w:r>
              <w:t>653.09</w:t>
            </w: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743.09</w:t>
            </w:r>
          </w:p>
        </w:tc>
        <w:tc>
          <w:tcPr>
            <w:tcW w:w="2551" w:type="dxa"/>
            <w:vAlign w:val="center"/>
          </w:tcPr>
          <w:p>
            <w:pPr>
              <w:pStyle w:val="11"/>
            </w:pPr>
            <w:r>
              <w:t>653.09</w:t>
            </w: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653.09</w:t>
            </w:r>
          </w:p>
        </w:tc>
        <w:tc>
          <w:tcPr>
            <w:tcW w:w="2551" w:type="dxa"/>
            <w:vAlign w:val="center"/>
          </w:tcPr>
          <w:p>
            <w:pPr>
              <w:pStyle w:val="11"/>
            </w:pPr>
            <w:r>
              <w:t>653.09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2010604</w:t>
            </w:r>
          </w:p>
        </w:tc>
        <w:tc>
          <w:tcPr>
            <w:tcW w:w="4535" w:type="dxa"/>
            <w:vAlign w:val="center"/>
          </w:tcPr>
          <w:p>
            <w:pPr>
              <w:pStyle w:val="12"/>
            </w:pPr>
            <w:r>
              <w:t>预算改革业务</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2010605</w:t>
            </w:r>
          </w:p>
        </w:tc>
        <w:tc>
          <w:tcPr>
            <w:tcW w:w="4535" w:type="dxa"/>
            <w:vAlign w:val="center"/>
          </w:tcPr>
          <w:p>
            <w:pPr>
              <w:pStyle w:val="12"/>
            </w:pPr>
            <w:r>
              <w:t>财政国库业务</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74.77</w:t>
            </w:r>
          </w:p>
        </w:tc>
        <w:tc>
          <w:tcPr>
            <w:tcW w:w="2551" w:type="dxa"/>
            <w:vAlign w:val="center"/>
          </w:tcPr>
          <w:p>
            <w:pPr>
              <w:pStyle w:val="11"/>
            </w:pPr>
            <w:r>
              <w:t>74.77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74.77</w:t>
            </w:r>
          </w:p>
        </w:tc>
        <w:tc>
          <w:tcPr>
            <w:tcW w:w="2551" w:type="dxa"/>
            <w:vAlign w:val="center"/>
          </w:tcPr>
          <w:p>
            <w:pPr>
              <w:pStyle w:val="11"/>
            </w:pPr>
            <w:r>
              <w:t>74.77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74.77</w:t>
            </w:r>
          </w:p>
        </w:tc>
        <w:tc>
          <w:tcPr>
            <w:tcW w:w="2551" w:type="dxa"/>
            <w:vAlign w:val="center"/>
          </w:tcPr>
          <w:p>
            <w:pPr>
              <w:pStyle w:val="11"/>
            </w:pPr>
            <w:r>
              <w:t>74.77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32.62</w:t>
            </w:r>
          </w:p>
        </w:tc>
        <w:tc>
          <w:tcPr>
            <w:tcW w:w="2551" w:type="dxa"/>
            <w:vAlign w:val="center"/>
          </w:tcPr>
          <w:p>
            <w:pPr>
              <w:pStyle w:val="11"/>
            </w:pPr>
            <w:r>
              <w:t>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32.62</w:t>
            </w:r>
          </w:p>
        </w:tc>
        <w:tc>
          <w:tcPr>
            <w:tcW w:w="2551" w:type="dxa"/>
            <w:vAlign w:val="center"/>
          </w:tcPr>
          <w:p>
            <w:pPr>
              <w:pStyle w:val="11"/>
            </w:pPr>
            <w:r>
              <w:t>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32.62</w:t>
            </w:r>
          </w:p>
        </w:tc>
        <w:tc>
          <w:tcPr>
            <w:tcW w:w="2551" w:type="dxa"/>
            <w:vAlign w:val="center"/>
          </w:tcPr>
          <w:p>
            <w:pPr>
              <w:pStyle w:val="11"/>
            </w:pPr>
            <w:r>
              <w:t>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821.56</w:t>
            </w:r>
          </w:p>
        </w:tc>
        <w:tc>
          <w:tcPr>
            <w:tcW w:w="2551" w:type="dxa"/>
            <w:vAlign w:val="center"/>
          </w:tcPr>
          <w:p>
            <w:pPr>
              <w:pStyle w:val="15"/>
            </w:pPr>
            <w:r>
              <w:t>786.57</w:t>
            </w:r>
          </w:p>
        </w:tc>
        <w:tc>
          <w:tcPr>
            <w:tcW w:w="2551" w:type="dxa"/>
            <w:vAlign w:val="center"/>
          </w:tcPr>
          <w:p>
            <w:pPr>
              <w:pStyle w:val="15"/>
            </w:pPr>
            <w:r>
              <w:t>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719.38</w:t>
            </w:r>
          </w:p>
        </w:tc>
        <w:tc>
          <w:tcPr>
            <w:tcW w:w="2551" w:type="dxa"/>
            <w:vAlign w:val="center"/>
          </w:tcPr>
          <w:p>
            <w:pPr>
              <w:pStyle w:val="11"/>
            </w:pPr>
            <w:r>
              <w:t>719.38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303.42</w:t>
            </w:r>
          </w:p>
        </w:tc>
        <w:tc>
          <w:tcPr>
            <w:tcW w:w="2551" w:type="dxa"/>
            <w:vAlign w:val="center"/>
          </w:tcPr>
          <w:p>
            <w:pPr>
              <w:pStyle w:val="11"/>
            </w:pPr>
            <w:r>
              <w:t>303.42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47.52</w:t>
            </w:r>
          </w:p>
        </w:tc>
        <w:tc>
          <w:tcPr>
            <w:tcW w:w="2551" w:type="dxa"/>
            <w:vAlign w:val="center"/>
          </w:tcPr>
          <w:p>
            <w:pPr>
              <w:pStyle w:val="11"/>
            </w:pPr>
            <w:r>
              <w:t>47.52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24.28</w:t>
            </w:r>
          </w:p>
        </w:tc>
        <w:tc>
          <w:tcPr>
            <w:tcW w:w="2551" w:type="dxa"/>
            <w:vAlign w:val="center"/>
          </w:tcPr>
          <w:p>
            <w:pPr>
              <w:pStyle w:val="11"/>
            </w:pPr>
            <w:r>
              <w:t>24.28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175.69</w:t>
            </w:r>
          </w:p>
        </w:tc>
        <w:tc>
          <w:tcPr>
            <w:tcW w:w="2551" w:type="dxa"/>
            <w:vAlign w:val="center"/>
          </w:tcPr>
          <w:p>
            <w:pPr>
              <w:pStyle w:val="11"/>
            </w:pPr>
            <w:r>
              <w:t>175.69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74.77</w:t>
            </w:r>
          </w:p>
        </w:tc>
        <w:tc>
          <w:tcPr>
            <w:tcW w:w="2551" w:type="dxa"/>
            <w:vAlign w:val="center"/>
          </w:tcPr>
          <w:p>
            <w:pPr>
              <w:pStyle w:val="11"/>
            </w:pPr>
            <w:r>
              <w:t>74.77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32.62</w:t>
            </w:r>
          </w:p>
        </w:tc>
        <w:tc>
          <w:tcPr>
            <w:tcW w:w="2551" w:type="dxa"/>
            <w:vAlign w:val="center"/>
          </w:tcPr>
          <w:p>
            <w:pPr>
              <w:pStyle w:val="11"/>
            </w:pPr>
            <w:r>
              <w:t>32.62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34.99</w:t>
            </w:r>
          </w:p>
        </w:tc>
        <w:tc>
          <w:tcPr>
            <w:tcW w:w="2551" w:type="dxa"/>
            <w:vAlign w:val="center"/>
          </w:tcPr>
          <w:p>
            <w:pPr>
              <w:pStyle w:val="11"/>
            </w:pPr>
          </w:p>
        </w:tc>
        <w:tc>
          <w:tcPr>
            <w:tcW w:w="2551" w:type="dxa"/>
            <w:vAlign w:val="center"/>
          </w:tcPr>
          <w:p>
            <w:pPr>
              <w:pStyle w:val="11"/>
            </w:pPr>
            <w:r>
              <w:t>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5.36</w:t>
            </w:r>
          </w:p>
        </w:tc>
        <w:tc>
          <w:tcPr>
            <w:tcW w:w="2551" w:type="dxa"/>
            <w:vAlign w:val="center"/>
          </w:tcPr>
          <w:p>
            <w:pPr>
              <w:pStyle w:val="11"/>
            </w:pPr>
          </w:p>
        </w:tc>
        <w:tc>
          <w:tcPr>
            <w:tcW w:w="2551" w:type="dxa"/>
            <w:vAlign w:val="center"/>
          </w:tcPr>
          <w:p>
            <w:pPr>
              <w:pStyle w:val="11"/>
            </w:pPr>
            <w:r>
              <w:t>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7.74</w:t>
            </w:r>
          </w:p>
        </w:tc>
        <w:tc>
          <w:tcPr>
            <w:tcW w:w="2551" w:type="dxa"/>
            <w:vAlign w:val="center"/>
          </w:tcPr>
          <w:p>
            <w:pPr>
              <w:pStyle w:val="11"/>
            </w:pPr>
          </w:p>
        </w:tc>
        <w:tc>
          <w:tcPr>
            <w:tcW w:w="2551" w:type="dxa"/>
            <w:vAlign w:val="center"/>
          </w:tcPr>
          <w:p>
            <w:pPr>
              <w:pStyle w:val="11"/>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5.25</w:t>
            </w:r>
          </w:p>
        </w:tc>
        <w:tc>
          <w:tcPr>
            <w:tcW w:w="2551" w:type="dxa"/>
            <w:vAlign w:val="center"/>
          </w:tcPr>
          <w:p>
            <w:pPr>
              <w:pStyle w:val="11"/>
            </w:pPr>
          </w:p>
        </w:tc>
        <w:tc>
          <w:tcPr>
            <w:tcW w:w="2551" w:type="dxa"/>
            <w:vAlign w:val="center"/>
          </w:tcPr>
          <w:p>
            <w:pPr>
              <w:pStyle w:val="11"/>
            </w:pPr>
            <w:r>
              <w:t>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6.56</w:t>
            </w:r>
          </w:p>
        </w:tc>
        <w:tc>
          <w:tcPr>
            <w:tcW w:w="2551" w:type="dxa"/>
            <w:vAlign w:val="center"/>
          </w:tcPr>
          <w:p>
            <w:pPr>
              <w:pStyle w:val="11"/>
            </w:pPr>
          </w:p>
        </w:tc>
        <w:tc>
          <w:tcPr>
            <w:tcW w:w="2551" w:type="dxa"/>
            <w:vAlign w:val="center"/>
          </w:tcPr>
          <w:p>
            <w:pPr>
              <w:pStyle w:val="11"/>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67.19</w:t>
            </w:r>
          </w:p>
        </w:tc>
        <w:tc>
          <w:tcPr>
            <w:tcW w:w="2551" w:type="dxa"/>
            <w:vAlign w:val="center"/>
          </w:tcPr>
          <w:p>
            <w:pPr>
              <w:pStyle w:val="11"/>
            </w:pPr>
            <w:r>
              <w:t>67.19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63.48</w:t>
            </w:r>
          </w:p>
        </w:tc>
        <w:tc>
          <w:tcPr>
            <w:tcW w:w="2551" w:type="dxa"/>
            <w:vAlign w:val="center"/>
          </w:tcPr>
          <w:p>
            <w:pPr>
              <w:pStyle w:val="11"/>
            </w:pPr>
            <w:r>
              <w:t>63.48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126001沙河市财政局本级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（一）贯彻执行国家、省、市财政工作的方针、政策、法律、法规和规章，制定我市相关措施和办法，经市政府批准后组织实施。</w:t>
      </w:r>
    </w:p>
    <w:p>
      <w:pPr>
        <w:pStyle w:val="17"/>
      </w:pPr>
      <w:r>
        <w:t>  （二）拟订财税发展战略、规划、政策和改革方案并组织实施；分析预测宏观经济形势，参与制定各项宏观经济政策，提出运用财税政策实施宏观调控和综合平衡社会财力的建议；拟订国家与地方企业的分配政策，完善鼓励公益事业发展的财税政策。</w:t>
      </w:r>
    </w:p>
    <w:p>
      <w:pPr>
        <w:pStyle w:val="17"/>
      </w:pPr>
      <w:r>
        <w:t>  （三）制定财政、预算、财务、会计管理的有关规章制度并监督实施。</w:t>
      </w:r>
    </w:p>
    <w:p>
      <w:pPr>
        <w:pStyle w:val="17"/>
      </w:pPr>
      <w:r>
        <w:t>  （四）承担财政预算管理的责任。负责编制年度市本级预决算草案并组织执行，汇编全市年度预决算草案；受市政府委托，向市人民代表大会报告全市及市本级预算及其执行情况，向市人大常委会报告决算；组织制定经费开支标准、定额，负责审核批复单位（单位）的年度预决算。</w:t>
      </w:r>
    </w:p>
    <w:p>
      <w:pPr>
        <w:pStyle w:val="17"/>
      </w:pPr>
      <w:r>
        <w:t>  （五）承担财政国库管理的责任。组织制定国库管理制度、国库集中收付制度并组织实施；指导和监督市本级国库业务，按规定开展国库现金管理；负责制定政府采购制度并组织实施和监督管理。</w:t>
      </w:r>
    </w:p>
    <w:p>
      <w:pPr>
        <w:pStyle w:val="17"/>
      </w:pPr>
      <w:r>
        <w:t>  （六）负责政府非税收入和政府性基金管理，按规定管理行政事业性收费；管理财政票据；制定彩票管理政策和有关办法，管理彩票市场，按规定管理彩票资金。</w:t>
      </w:r>
    </w:p>
    <w:p>
      <w:pPr>
        <w:pStyle w:val="17"/>
      </w:pPr>
      <w:r>
        <w:t>  （七）负责组织起草地方性税收实施细则和税收政策调整方案的建议；提出省授权税目税率调整、减免和地方税收政策等重大事项的建议，对地方承担出口退税事务实施监管，监督检查税收政策的执行情况。</w:t>
      </w:r>
    </w:p>
    <w:p>
      <w:pPr>
        <w:pStyle w:val="17"/>
      </w:pPr>
      <w:r>
        <w:t>  （八）负责制定行政事业单位国有资产管理规章制度，以及市委、市政府直属事业单位和市直单位所属事业单位的国有资产监督管理；制定需要全市统一规定的开支标准和支出政策；承担市直机关事业单位公务车辆编制管理职责。</w:t>
      </w:r>
    </w:p>
    <w:p>
      <w:pPr>
        <w:pStyle w:val="17"/>
      </w:pPr>
      <w:r>
        <w:t>  （九）负责审核和汇总编制全市国有资本经营预决算草案，制定国有资本经营预算的制度和办法，收取市本级企业国有资本收益；制定并组织实施企业财务制度；按规定管理地方金融类企业国有资产，参与拟订企业国有资产管理相关制度，按规定管理资产评估。</w:t>
      </w:r>
    </w:p>
    <w:p>
      <w:pPr>
        <w:pStyle w:val="17"/>
      </w:pPr>
      <w:r>
        <w:t>  （十）负责办理和监督市级财政的经济社会发展支出、市投资项目的财政拨款，参与拟订市建设投资的有关政策，制定基本建设财务制度；负责有关政策性补贴和专项储备资金财政管理。</w:t>
      </w:r>
    </w:p>
    <w:p>
      <w:pPr>
        <w:pStyle w:val="17"/>
      </w:pPr>
      <w:r>
        <w:t>  （十一）会同有关单位管理市级财政社会保障和就业及医疗卫生支出，会同有关单位拟订社会保障资金（基金）的财务管理制度，编制市级社会保障预决算草案。</w:t>
      </w:r>
    </w:p>
    <w:p>
      <w:pPr>
        <w:pStyle w:val="17"/>
      </w:pPr>
      <w:r>
        <w:t>  （十二）负责管理市政府的国内外债权、债务。执行国家外债管理的政策，拟订具体实施办法，承担外国政府贷款、国际金融组织贷款的对外谈判与磋商；负责财政预算内行政机构、事业单位和社会团体的非贸易外汇管理；受市政府委托会同有关单位处理涉及财政、债务等方面的涉外事务。</w:t>
      </w:r>
    </w:p>
    <w:p>
      <w:pPr>
        <w:pStyle w:val="17"/>
      </w:pPr>
      <w:r>
        <w:t>  （十三）负责管理全市会计工作，监督和规范会计行为，组织实施国家统一的会计制度，指导和监督注册会计师和会计事务所的业务，指导和管理社会审计。</w:t>
      </w:r>
    </w:p>
    <w:p>
      <w:pPr>
        <w:pStyle w:val="17"/>
      </w:pPr>
      <w:r>
        <w:t>  （十四）监督检查财税法规、政策的执行情况，反映财政收支管理中的重大问题。</w:t>
      </w:r>
    </w:p>
    <w:p>
      <w:pPr>
        <w:pStyle w:val="17"/>
      </w:pPr>
      <w:r>
        <w:t>  （十五）承办市政府交办的其他事项。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911.56万元，其中：一般公共预算收入911.56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财政局本级年度单位预算中支出预算的总体情况。2025年支出预算911.56万元，其中基本支出821.56万元，包括人员经费786.57万元和日常公用经费34.99万元；项目支出90.00万元，主要为预算绩效管理37万元、财政一体化信息化建设25万元、财政国库业务28万元。</w:t>
      </w:r>
    </w:p>
    <w:p>
      <w:pPr>
        <w:pStyle w:val="18"/>
      </w:pPr>
      <w:r>
        <w:t>3、比上年增减情况</w:t>
      </w:r>
    </w:p>
    <w:p>
      <w:pPr>
        <w:pStyle w:val="18"/>
      </w:pPr>
      <w:r>
        <w:t>2025年预算收支安排911.56万元，较2024年预算增加22.81万元，其中：基本支出增加22.81万元，主要为按照上级政策要求，对人员工资进行普调。项目支出增加0.00万元，主要为项目支出与上年持平。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2025年，我单位机关运行经费共计安排34.99万元，主要用于日常维修、办公用房水电费、办公用房取暖费、办公用房物业管理费等日常运行支出。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2025年，我单位财政拨款“三公”经费预算安排2.00万元，其中因公出国（境）费0.00万元</w:t>
      </w:r>
      <w:r>
        <w:rPr>
          <w:rFonts w:hint="eastAsia"/>
          <w:lang w:eastAsia="zh-CN"/>
        </w:rPr>
        <w:t>，</w:t>
      </w:r>
      <w:r>
        <w:rPr>
          <w:rFonts w:hint="eastAsia"/>
          <w:lang w:val="en-US" w:eastAsia="zh-CN"/>
        </w:rPr>
        <w:t>与上年持平</w:t>
      </w:r>
      <w:r>
        <w:t>；公务用车购置及运维费0.00万元（其中：公务用车购置费为0.00万元，公务用车运维费0.00万元)</w:t>
      </w:r>
      <w:r>
        <w:rPr>
          <w:rFonts w:hint="eastAsia"/>
          <w:lang w:eastAsia="zh-CN"/>
        </w:rPr>
        <w:t>，</w:t>
      </w:r>
      <w:r>
        <w:rPr>
          <w:rFonts w:hint="eastAsia"/>
          <w:lang w:val="en-US" w:eastAsia="zh-CN"/>
        </w:rPr>
        <w:t>与上年持平</w:t>
      </w:r>
      <w:r>
        <w:t>；公务接待费2.00万元</w:t>
      </w:r>
      <w:r>
        <w:rPr>
          <w:rFonts w:hint="eastAsia"/>
          <w:lang w:eastAsia="zh-CN"/>
        </w:rPr>
        <w:t>，</w:t>
      </w:r>
      <w:r>
        <w:t>与2024年相比</w:t>
      </w:r>
      <w:r>
        <w:rPr>
          <w:rFonts w:hint="eastAsia"/>
          <w:lang w:val="en-US" w:eastAsia="zh-CN"/>
        </w:rPr>
        <w:t>减少1</w:t>
      </w:r>
      <w:r>
        <w:t>.00万元，增减变化的主要原因是</w:t>
      </w:r>
      <w:r>
        <w:rPr>
          <w:rFonts w:hint="eastAsia"/>
          <w:lang w:val="en-US" w:eastAsia="zh-CN"/>
        </w:rPr>
        <w:t>坚决落实过紧日子要求，严控三公经费支出</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1、财政国库业务绩效目标表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13058225P00001010067U</w:t>
            </w:r>
          </w:p>
        </w:tc>
        <w:tc>
          <w:tcPr>
            <w:tcW w:w="2835" w:type="dxa"/>
            <w:vAlign w:val="center"/>
          </w:tcPr>
          <w:p>
            <w:pPr>
              <w:pStyle w:val="10"/>
            </w:pPr>
            <w:r>
              <w:t>项目名称</w:t>
            </w:r>
          </w:p>
        </w:tc>
        <w:tc>
          <w:tcPr>
            <w:tcW w:w="6095" w:type="dxa"/>
            <w:gridSpan w:val="3"/>
            <w:vAlign w:val="center"/>
          </w:tcPr>
          <w:p>
            <w:pPr>
              <w:pStyle w:val="12"/>
            </w:pPr>
            <w:r>
              <w:t>财政国库业务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财政国库业务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4" w:type="dxa"/>
            <w:gridSpan w:val="2"/>
            <w:vAlign w:val="center"/>
          </w:tcPr>
          <w:p>
            <w:pPr>
              <w:pStyle w:val="13"/>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制定账册</w:t>
            </w:r>
          </w:p>
        </w:tc>
        <w:tc>
          <w:tcPr>
            <w:tcW w:w="5386" w:type="dxa"/>
            <w:vAlign w:val="center"/>
          </w:tcPr>
          <w:p>
            <w:pPr>
              <w:pStyle w:val="12"/>
            </w:pPr>
            <w:r>
              <w:t>装订账务凭证</w:t>
            </w:r>
          </w:p>
        </w:tc>
        <w:tc>
          <w:tcPr>
            <w:tcW w:w="2268" w:type="dxa"/>
            <w:vAlign w:val="center"/>
          </w:tcPr>
          <w:p>
            <w:pPr>
              <w:pStyle w:val="12"/>
            </w:pPr>
            <w:r>
              <w:t>≥15本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财政国库业务基本保障水平</w:t>
            </w:r>
          </w:p>
        </w:tc>
        <w:tc>
          <w:tcPr>
            <w:tcW w:w="5386" w:type="dxa"/>
            <w:vAlign w:val="center"/>
          </w:tcPr>
          <w:p>
            <w:pPr>
              <w:pStyle w:val="12"/>
            </w:pPr>
            <w:r>
              <w:t>实际保障工作量与工作计划工作的比率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各项工作按时完成率</w:t>
            </w:r>
          </w:p>
        </w:tc>
        <w:tc>
          <w:tcPr>
            <w:tcW w:w="5386" w:type="dxa"/>
            <w:vAlign w:val="center"/>
          </w:tcPr>
          <w:p>
            <w:pPr>
              <w:pStyle w:val="12"/>
            </w:pPr>
            <w:r>
              <w:t>实际完成时间与预期时间比较</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财政国库业务运行费用</w:t>
            </w:r>
          </w:p>
        </w:tc>
        <w:tc>
          <w:tcPr>
            <w:tcW w:w="5386" w:type="dxa"/>
            <w:vAlign w:val="center"/>
          </w:tcPr>
          <w:p>
            <w:pPr>
              <w:pStyle w:val="12"/>
            </w:pPr>
            <w:r>
              <w:t>保障机关基本办公要求</w:t>
            </w:r>
          </w:p>
        </w:tc>
        <w:tc>
          <w:tcPr>
            <w:tcW w:w="2268" w:type="dxa"/>
            <w:vAlign w:val="center"/>
          </w:tcPr>
          <w:p>
            <w:pPr>
              <w:pStyle w:val="12"/>
            </w:pPr>
            <w:r>
              <w:t>≤28万元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国库业务执行</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2、财政一体化信息化建设绩效目标表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13058225P00001010068F</w:t>
            </w:r>
          </w:p>
        </w:tc>
        <w:tc>
          <w:tcPr>
            <w:tcW w:w="2835" w:type="dxa"/>
            <w:vAlign w:val="center"/>
          </w:tcPr>
          <w:p>
            <w:pPr>
              <w:pStyle w:val="10"/>
            </w:pPr>
            <w:r>
              <w:t>项目名称</w:t>
            </w:r>
          </w:p>
        </w:tc>
        <w:tc>
          <w:tcPr>
            <w:tcW w:w="6095" w:type="dxa"/>
            <w:gridSpan w:val="3"/>
            <w:vAlign w:val="center"/>
          </w:tcPr>
          <w:p>
            <w:pPr>
              <w:pStyle w:val="12"/>
            </w:pPr>
            <w:r>
              <w:t>财政一体化信息化建设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财政一体化信息化建设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广域网线路数量</w:t>
            </w:r>
          </w:p>
        </w:tc>
        <w:tc>
          <w:tcPr>
            <w:tcW w:w="5386" w:type="dxa"/>
            <w:vAlign w:val="center"/>
          </w:tcPr>
          <w:p>
            <w:pPr>
              <w:pStyle w:val="12"/>
            </w:pPr>
            <w:r>
              <w:t>局内广电、电线线路条数</w:t>
            </w:r>
          </w:p>
        </w:tc>
        <w:tc>
          <w:tcPr>
            <w:tcW w:w="2268" w:type="dxa"/>
            <w:vAlign w:val="center"/>
          </w:tcPr>
          <w:p>
            <w:pPr>
              <w:pStyle w:val="12"/>
            </w:pPr>
            <w:r>
              <w:t>≥5条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线路带宽</w:t>
            </w:r>
          </w:p>
        </w:tc>
        <w:tc>
          <w:tcPr>
            <w:tcW w:w="5386" w:type="dxa"/>
            <w:vAlign w:val="center"/>
          </w:tcPr>
          <w:p>
            <w:pPr>
              <w:pStyle w:val="12"/>
            </w:pPr>
            <w:r>
              <w:t>确保各线路传输带宽达到20M</w:t>
            </w:r>
          </w:p>
        </w:tc>
        <w:tc>
          <w:tcPr>
            <w:tcW w:w="2268" w:type="dxa"/>
            <w:vAlign w:val="center"/>
          </w:tcPr>
          <w:p>
            <w:pPr>
              <w:pStyle w:val="12"/>
            </w:pPr>
            <w:r>
              <w:t>≥20兆</w:t>
            </w:r>
          </w:p>
        </w:tc>
        <w:tc>
          <w:tcPr>
            <w:tcW w:w="1276" w:type="dxa"/>
            <w:vAlign w:val="center"/>
          </w:tcPr>
          <w:p>
            <w:pPr>
              <w:pStyle w:val="12"/>
            </w:pPr>
            <w:r>
              <w:t>实际线路带宽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线路畅通时效</w:t>
            </w:r>
          </w:p>
        </w:tc>
        <w:tc>
          <w:tcPr>
            <w:tcW w:w="5386" w:type="dxa"/>
            <w:vAlign w:val="center"/>
          </w:tcPr>
          <w:p>
            <w:pPr>
              <w:pStyle w:val="12"/>
            </w:pPr>
            <w:r>
              <w:t>广域网各线路畅通、网络正常运行时间</w:t>
            </w:r>
          </w:p>
        </w:tc>
        <w:tc>
          <w:tcPr>
            <w:tcW w:w="2268" w:type="dxa"/>
            <w:vAlign w:val="center"/>
          </w:tcPr>
          <w:p>
            <w:pPr>
              <w:pStyle w:val="12"/>
            </w:pPr>
            <w:r>
              <w:t>≤24小时</w:t>
            </w:r>
          </w:p>
        </w:tc>
        <w:tc>
          <w:tcPr>
            <w:tcW w:w="1276" w:type="dxa"/>
            <w:vAlign w:val="center"/>
          </w:tcPr>
          <w:p>
            <w:pPr>
              <w:pStyle w:val="12"/>
            </w:pPr>
            <w:r>
              <w:t>线路和网络实际运行情况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运维服务成本</w:t>
            </w:r>
          </w:p>
        </w:tc>
        <w:tc>
          <w:tcPr>
            <w:tcW w:w="5386" w:type="dxa"/>
            <w:vAlign w:val="center"/>
          </w:tcPr>
          <w:p>
            <w:pPr>
              <w:pStyle w:val="12"/>
            </w:pPr>
            <w:r>
              <w:t>服务费</w:t>
            </w:r>
          </w:p>
        </w:tc>
        <w:tc>
          <w:tcPr>
            <w:tcW w:w="2268" w:type="dxa"/>
            <w:vAlign w:val="center"/>
          </w:tcPr>
          <w:p>
            <w:pPr>
              <w:pStyle w:val="12"/>
            </w:pPr>
            <w:r>
              <w:t>≥25万元/年</w:t>
            </w:r>
          </w:p>
        </w:tc>
        <w:tc>
          <w:tcPr>
            <w:tcW w:w="1276" w:type="dxa"/>
            <w:vAlign w:val="center"/>
          </w:tcPr>
          <w:p>
            <w:pPr>
              <w:pStyle w:val="12"/>
            </w:pPr>
            <w:r>
              <w:t>实际运维成本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局内各办公设备及网络正常运行</w:t>
            </w:r>
          </w:p>
        </w:tc>
        <w:tc>
          <w:tcPr>
            <w:tcW w:w="5386" w:type="dxa"/>
            <w:vAlign w:val="center"/>
          </w:tcPr>
          <w:p>
            <w:pPr>
              <w:pStyle w:val="12"/>
            </w:pPr>
            <w:r>
              <w:t>正常运行天数</w:t>
            </w:r>
          </w:p>
        </w:tc>
        <w:tc>
          <w:tcPr>
            <w:tcW w:w="2268" w:type="dxa"/>
            <w:vAlign w:val="center"/>
          </w:tcPr>
          <w:p>
            <w:pPr>
              <w:pStyle w:val="12"/>
            </w:pPr>
            <w:r>
              <w:t>≥365天</w:t>
            </w:r>
          </w:p>
        </w:tc>
        <w:tc>
          <w:tcPr>
            <w:tcW w:w="1276" w:type="dxa"/>
            <w:vAlign w:val="center"/>
          </w:tcPr>
          <w:p>
            <w:pPr>
              <w:pStyle w:val="12"/>
            </w:pPr>
            <w:r>
              <w:t>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机房机器运行正常率</w:t>
            </w:r>
          </w:p>
        </w:tc>
        <w:tc>
          <w:tcPr>
            <w:tcW w:w="5386" w:type="dxa"/>
            <w:vAlign w:val="center"/>
          </w:tcPr>
          <w:p>
            <w:pPr>
              <w:pStyle w:val="12"/>
            </w:pPr>
            <w:r>
              <w:t>正常运行天数</w:t>
            </w:r>
          </w:p>
        </w:tc>
        <w:tc>
          <w:tcPr>
            <w:tcW w:w="2268" w:type="dxa"/>
            <w:vAlign w:val="center"/>
          </w:tcPr>
          <w:p>
            <w:pPr>
              <w:pStyle w:val="12"/>
            </w:pPr>
            <w:r>
              <w:t>≥365天</w:t>
            </w:r>
          </w:p>
        </w:tc>
        <w:tc>
          <w:tcPr>
            <w:tcW w:w="1276" w:type="dxa"/>
            <w:vAlign w:val="center"/>
          </w:tcPr>
          <w:p>
            <w:pPr>
              <w:pStyle w:val="12"/>
            </w:pPr>
            <w:r>
              <w:t>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网络正常运行满意度</w:t>
            </w:r>
          </w:p>
        </w:tc>
        <w:tc>
          <w:tcPr>
            <w:tcW w:w="2268" w:type="dxa"/>
            <w:vAlign w:val="center"/>
          </w:tcPr>
          <w:p>
            <w:pPr>
              <w:pStyle w:val="12"/>
            </w:pPr>
            <w:r>
              <w:t>≥95%</w:t>
            </w:r>
          </w:p>
        </w:tc>
        <w:tc>
          <w:tcPr>
            <w:tcW w:w="1276" w:type="dxa"/>
            <w:vAlign w:val="center"/>
          </w:tcPr>
          <w:p>
            <w:pPr>
              <w:pStyle w:val="12"/>
            </w:pPr>
            <w:r>
              <w:t>服务对象满意情况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3、预算绩效管理绩效目标表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13058225P00F00X10003A</w:t>
            </w:r>
          </w:p>
        </w:tc>
        <w:tc>
          <w:tcPr>
            <w:tcW w:w="2835" w:type="dxa"/>
            <w:vAlign w:val="center"/>
          </w:tcPr>
          <w:p>
            <w:pPr>
              <w:pStyle w:val="10"/>
            </w:pPr>
            <w:r>
              <w:t>项目名称</w:t>
            </w:r>
          </w:p>
        </w:tc>
        <w:tc>
          <w:tcPr>
            <w:tcW w:w="6095" w:type="dxa"/>
            <w:gridSpan w:val="3"/>
            <w:vAlign w:val="center"/>
          </w:tcPr>
          <w:p>
            <w:pPr>
              <w:pStyle w:val="12"/>
            </w:pPr>
            <w:r>
              <w:t>预算绩效管理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预算绩效管理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9.25</w:t>
            </w:r>
          </w:p>
        </w:tc>
        <w:tc>
          <w:tcPr>
            <w:tcW w:w="2835" w:type="dxa"/>
            <w:vAlign w:val="center"/>
          </w:tcPr>
          <w:p>
            <w:pPr>
              <w:pStyle w:val="13"/>
            </w:pPr>
            <w:r>
              <w:t>18.50</w:t>
            </w:r>
          </w:p>
        </w:tc>
        <w:tc>
          <w:tcPr>
            <w:tcW w:w="2551" w:type="dxa"/>
            <w:vAlign w:val="center"/>
          </w:tcPr>
          <w:p>
            <w:pPr>
              <w:pStyle w:val="13"/>
            </w:pPr>
            <w:r>
              <w:t>27.75</w:t>
            </w:r>
          </w:p>
        </w:tc>
        <w:tc>
          <w:tcPr>
            <w:tcW w:w="3544" w:type="dxa"/>
            <w:gridSpan w:val="2"/>
            <w:vAlign w:val="center"/>
          </w:tcPr>
          <w:p>
            <w:pPr>
              <w:pStyle w:val="13"/>
            </w:pPr>
            <w:r>
              <w:t>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开展绩效管理</w:t>
            </w:r>
          </w:p>
        </w:tc>
        <w:tc>
          <w:tcPr>
            <w:tcW w:w="5386" w:type="dxa"/>
            <w:vAlign w:val="center"/>
          </w:tcPr>
          <w:p>
            <w:pPr>
              <w:pStyle w:val="12"/>
            </w:pPr>
            <w:r>
              <w:t>开展绩效管理的部门数量</w:t>
            </w:r>
          </w:p>
        </w:tc>
        <w:tc>
          <w:tcPr>
            <w:tcW w:w="2268" w:type="dxa"/>
            <w:vAlign w:val="center"/>
          </w:tcPr>
          <w:p>
            <w:pPr>
              <w:pStyle w:val="12"/>
            </w:pPr>
            <w:r>
              <w:t>≥67个</w:t>
            </w:r>
          </w:p>
        </w:tc>
        <w:tc>
          <w:tcPr>
            <w:tcW w:w="1276" w:type="dxa"/>
            <w:vAlign w:val="center"/>
          </w:tcPr>
          <w:p>
            <w:pPr>
              <w:pStyle w:val="12"/>
            </w:pPr>
            <w:r>
              <w:t>实际开展预算绩效管理部门数量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绩效信息填报</w:t>
            </w:r>
          </w:p>
        </w:tc>
        <w:tc>
          <w:tcPr>
            <w:tcW w:w="5386" w:type="dxa"/>
            <w:vAlign w:val="center"/>
          </w:tcPr>
          <w:p>
            <w:pPr>
              <w:pStyle w:val="12"/>
            </w:pPr>
            <w:r>
              <w:t>用一体化系统报送绩效信息合格率</w:t>
            </w:r>
          </w:p>
        </w:tc>
        <w:tc>
          <w:tcPr>
            <w:tcW w:w="2268" w:type="dxa"/>
            <w:vAlign w:val="center"/>
          </w:tcPr>
          <w:p>
            <w:pPr>
              <w:pStyle w:val="12"/>
            </w:pPr>
            <w:r>
              <w:t>≥90%</w:t>
            </w:r>
          </w:p>
        </w:tc>
        <w:tc>
          <w:tcPr>
            <w:tcW w:w="1276" w:type="dxa"/>
            <w:vAlign w:val="center"/>
          </w:tcPr>
          <w:p>
            <w:pPr>
              <w:pStyle w:val="12"/>
            </w:pPr>
            <w:r>
              <w:t>绩效信息填报质量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工作完成及时率</w:t>
            </w:r>
          </w:p>
        </w:tc>
        <w:tc>
          <w:tcPr>
            <w:tcW w:w="5386" w:type="dxa"/>
            <w:vAlign w:val="center"/>
          </w:tcPr>
          <w:p>
            <w:pPr>
              <w:pStyle w:val="12"/>
            </w:pPr>
            <w:r>
              <w:t>实际完成时间与预期时间相比较</w:t>
            </w:r>
          </w:p>
        </w:tc>
        <w:tc>
          <w:tcPr>
            <w:tcW w:w="2268" w:type="dxa"/>
            <w:vAlign w:val="center"/>
          </w:tcPr>
          <w:p>
            <w:pPr>
              <w:pStyle w:val="12"/>
            </w:pPr>
            <w:r>
              <w:t>≥95%</w:t>
            </w:r>
          </w:p>
        </w:tc>
        <w:tc>
          <w:tcPr>
            <w:tcW w:w="1276" w:type="dxa"/>
            <w:vAlign w:val="center"/>
          </w:tcPr>
          <w:p>
            <w:pPr>
              <w:pStyle w:val="12"/>
            </w:pPr>
            <w:r>
              <w:t>是否按时完成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预算成本</w:t>
            </w:r>
          </w:p>
        </w:tc>
        <w:tc>
          <w:tcPr>
            <w:tcW w:w="5386" w:type="dxa"/>
            <w:vAlign w:val="center"/>
          </w:tcPr>
          <w:p>
            <w:pPr>
              <w:pStyle w:val="12"/>
            </w:pPr>
            <w:r>
              <w:t>保障预算项目基本运行</w:t>
            </w:r>
          </w:p>
        </w:tc>
        <w:tc>
          <w:tcPr>
            <w:tcW w:w="2268" w:type="dxa"/>
            <w:vAlign w:val="center"/>
          </w:tcPr>
          <w:p>
            <w:pPr>
              <w:pStyle w:val="12"/>
            </w:pPr>
            <w:r>
              <w:t>≤37万元</w:t>
            </w:r>
          </w:p>
        </w:tc>
        <w:tc>
          <w:tcPr>
            <w:tcW w:w="1276" w:type="dxa"/>
            <w:vAlign w:val="center"/>
          </w:tcPr>
          <w:p>
            <w:pPr>
              <w:pStyle w:val="12"/>
            </w:pPr>
            <w:r>
              <w:t>实际运行成本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预算绩效管理完成率</w:t>
            </w:r>
          </w:p>
        </w:tc>
        <w:tc>
          <w:tcPr>
            <w:tcW w:w="5386" w:type="dxa"/>
            <w:vAlign w:val="center"/>
          </w:tcPr>
          <w:p>
            <w:pPr>
              <w:pStyle w:val="12"/>
            </w:pPr>
            <w:r>
              <w:t>预算绩效管理的部门完成率</w:t>
            </w:r>
          </w:p>
        </w:tc>
        <w:tc>
          <w:tcPr>
            <w:tcW w:w="2268" w:type="dxa"/>
            <w:vAlign w:val="center"/>
          </w:tcPr>
          <w:p>
            <w:pPr>
              <w:pStyle w:val="12"/>
            </w:pPr>
            <w:r>
              <w:t>≥95%</w:t>
            </w:r>
          </w:p>
        </w:tc>
        <w:tc>
          <w:tcPr>
            <w:tcW w:w="1276" w:type="dxa"/>
            <w:vAlign w:val="center"/>
          </w:tcPr>
          <w:p>
            <w:pPr>
              <w:pStyle w:val="12"/>
            </w:pPr>
            <w:r>
              <w:t>预算绩效管理完成情况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服务对象满意情况</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126001沙河市财政局本级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沙河市财政局本级上年末固定资产金额为</w:t>
      </w:r>
      <w:r>
        <w:rPr>
          <w:rFonts w:hint="eastAsia" w:eastAsia="方正仿宋_GBK" w:cs="Times New Roman"/>
          <w:b w:val="0"/>
          <w:color w:val="000000"/>
          <w:sz w:val="28"/>
          <w:lang w:val="en-US" w:eastAsia="zh-CN"/>
        </w:rPr>
        <w:t>746.57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126001沙河市财政局本级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ind w:firstLine="0" w:firstLineChars="0"/>
              <w:rPr>
                <w:rFonts w:hint="eastAsia" w:eastAsia="方正书宋_GBK"/>
                <w:lang w:val="en-US" w:eastAsia="zh-CN"/>
              </w:rPr>
            </w:pPr>
            <w:r>
              <w:rPr>
                <w:rFonts w:hint="eastAsia"/>
                <w:lang w:val="en-US" w:eastAsia="zh-CN"/>
              </w:rPr>
              <w:t>746.57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3605</w:t>
            </w:r>
          </w:p>
        </w:tc>
        <w:tc>
          <w:tcPr>
            <w:tcW w:w="2835" w:type="dxa"/>
            <w:vAlign w:val="center"/>
          </w:tcPr>
          <w:p>
            <w:pPr>
              <w:pStyle w:val="11"/>
              <w:ind w:firstLine="0" w:firstLineChars="0"/>
              <w:rPr>
                <w:rFonts w:hint="eastAsia" w:eastAsia="方正书宋_GBK"/>
                <w:lang w:val="en-US" w:eastAsia="zh-CN"/>
              </w:rPr>
            </w:pPr>
            <w:r>
              <w:rPr>
                <w:rFonts w:hint="eastAsia"/>
                <w:lang w:val="en-US" w:eastAsia="zh-CN"/>
              </w:rPr>
              <w:t>513.97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3605</w:t>
            </w:r>
          </w:p>
        </w:tc>
        <w:tc>
          <w:tcPr>
            <w:tcW w:w="2835" w:type="dxa"/>
            <w:vAlign w:val="center"/>
          </w:tcPr>
          <w:p>
            <w:pPr>
              <w:pStyle w:val="11"/>
              <w:ind w:firstLine="0" w:firstLineChars="0"/>
              <w:rPr>
                <w:rFonts w:hint="eastAsia" w:eastAsia="方正书宋_GBK"/>
                <w:lang w:val="en-US" w:eastAsia="zh-CN"/>
              </w:rPr>
            </w:pPr>
            <w:r>
              <w:rPr>
                <w:rFonts w:hint="eastAsia"/>
                <w:lang w:val="en-US" w:eastAsia="zh-CN"/>
              </w:rPr>
              <w:t>513.97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rPr>
                <w:lang w:val="en-US"/>
              </w:rPr>
            </w:pPr>
            <w:r>
              <w:rPr>
                <w:rFonts w:hint="eastAsia"/>
              </w:rPr>
              <w:t>232.</w:t>
            </w:r>
            <w:r>
              <w:rPr>
                <w:rFonts w:hint="eastAsia"/>
                <w:lang w:val="en-US" w:eastAsia="zh-CN"/>
              </w:rPr>
              <w:t>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D8E1044"/>
    <w:rsid w:val="332706C1"/>
    <w:rsid w:val="66C54B5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2025-02-14T09:24:00Z</dcterms:created>
  <dc:creator>Lenovo</dc:creator>
  <cp:lastModifiedBy>Administrator</cp:lastModifiedBy>
  <dcterms:modified xsi:type="dcterms:W3CDTF">2025-02-24T01:22:34Z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