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2204F">
      <w:pPr>
        <w:jc w:val="center"/>
        <w:rPr>
          <w:rFonts w:hint="eastAsia" w:ascii="Times New Roman" w:hAnsi="Times New Roman" w:eastAsia="方正小标宋_GBK" w:cs="Times New Roman"/>
          <w:color w:val="auto"/>
          <w:sz w:val="44"/>
          <w:szCs w:val="44"/>
          <w:lang w:val="en-US" w:eastAsia="zh-CN"/>
        </w:rPr>
      </w:pPr>
      <w:bookmarkStart w:id="1" w:name="_GoBack"/>
      <w:bookmarkEnd w:id="1"/>
      <w:r>
        <w:rPr>
          <w:rFonts w:hint="eastAsia" w:ascii="Times New Roman" w:hAnsi="Times New Roman" w:eastAsia="方正小标宋_GBK" w:cs="Times New Roman"/>
          <w:color w:val="auto"/>
          <w:sz w:val="44"/>
          <w:szCs w:val="44"/>
          <w:lang w:val="en-US" w:eastAsia="zh-CN"/>
        </w:rPr>
        <w:t>沙河市地方志办公室</w:t>
      </w:r>
    </w:p>
    <w:p w14:paraId="35054D2A">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8</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lang w:val="en-US" w:eastAsia="zh-CN"/>
        </w:rPr>
        <w:t>情况说明</w:t>
      </w:r>
    </w:p>
    <w:p w14:paraId="3224582E">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中华人民共和国</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，现将201</w:t>
      </w:r>
      <w:r>
        <w:rPr>
          <w:rFonts w:hint="eastAsia" w:ascii="仿宋" w:hAnsi="仿宋" w:eastAsia="仿宋" w:cs="Times New Roman"/>
          <w:sz w:val="32"/>
          <w:szCs w:val="32"/>
        </w:rPr>
        <w:t>8</w:t>
      </w:r>
      <w:r>
        <w:rPr>
          <w:rFonts w:ascii="仿宋" w:hAnsi="仿宋" w:eastAsia="仿宋" w:cs="Times New Roman"/>
          <w:sz w:val="32"/>
          <w:szCs w:val="32"/>
        </w:rPr>
        <w:t>年部门预算公开如下：</w:t>
      </w:r>
    </w:p>
    <w:p w14:paraId="196C9DA4">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206FEE80">
      <w:pPr>
        <w:widowControl/>
        <w:spacing w:line="580" w:lineRule="exact"/>
        <w:ind w:firstLine="643" w:firstLineChars="200"/>
        <w:jc w:val="left"/>
        <w:rPr>
          <w:rFonts w:ascii="仿宋" w:hAnsi="仿宋"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组织、指导、督促和检查地方志工作；拟定地方志工作规划和编纂方案；组织编纂地方志书、地方综合年鉴；搜集、保存地方志文献和资料，组织整理旧志，推动方志理论研究；组织开发利用地方志资源。</w:t>
      </w:r>
    </w:p>
    <w:p w14:paraId="57E6651B">
      <w:pPr>
        <w:ind w:firstLine="643" w:firstLineChars="200"/>
        <w:rPr>
          <w:rFonts w:hint="eastAsia" w:ascii="仿宋" w:hAnsi="仿宋" w:eastAsia="仿宋" w:cs="Times New Roman"/>
          <w:b/>
          <w:sz w:val="32"/>
          <w:szCs w:val="32"/>
        </w:rPr>
      </w:pPr>
      <w:r>
        <w:rPr>
          <w:rFonts w:hint="eastAsia" w:ascii="仿宋" w:hAnsi="仿宋" w:eastAsia="仿宋" w:cs="Times New Roman"/>
          <w:b/>
          <w:sz w:val="32"/>
          <w:szCs w:val="32"/>
        </w:rPr>
        <w:t>机构设置：</w:t>
      </w:r>
    </w:p>
    <w:tbl>
      <w:tblPr>
        <w:tblStyle w:val="6"/>
        <w:tblW w:w="9096" w:type="dxa"/>
        <w:tblInd w:w="0" w:type="dxa"/>
        <w:tblLayout w:type="fixed"/>
        <w:tblCellMar>
          <w:top w:w="0" w:type="dxa"/>
          <w:left w:w="0" w:type="dxa"/>
          <w:bottom w:w="0" w:type="dxa"/>
          <w:right w:w="0" w:type="dxa"/>
        </w:tblCellMar>
      </w:tblPr>
      <w:tblGrid>
        <w:gridCol w:w="2962"/>
        <w:gridCol w:w="1667"/>
        <w:gridCol w:w="1845"/>
        <w:gridCol w:w="2622"/>
      </w:tblGrid>
      <w:tr w14:paraId="6F0E2F89">
        <w:tblPrEx>
          <w:tblCellMar>
            <w:top w:w="0" w:type="dxa"/>
            <w:left w:w="0" w:type="dxa"/>
            <w:bottom w:w="0" w:type="dxa"/>
            <w:right w:w="0" w:type="dxa"/>
          </w:tblCellMar>
        </w:tblPrEx>
        <w:trPr>
          <w:trHeight w:val="642" w:hRule="atLeast"/>
        </w:trPr>
        <w:tc>
          <w:tcPr>
            <w:tcW w:w="296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73AB34E">
            <w:pPr>
              <w:keepNext w:val="0"/>
              <w:keepLines w:val="0"/>
              <w:widowControl/>
              <w:suppressLineNumbers w:val="0"/>
              <w:jc w:val="center"/>
              <w:textAlignment w:val="center"/>
              <w:rPr>
                <w:rFonts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单位名称</w:t>
            </w:r>
          </w:p>
        </w:tc>
        <w:tc>
          <w:tcPr>
            <w:tcW w:w="1667" w:type="dxa"/>
            <w:tcBorders>
              <w:top w:val="single" w:color="auto" w:sz="4" w:space="0"/>
              <w:left w:val="nil"/>
              <w:bottom w:val="single" w:color="auto" w:sz="4" w:space="0"/>
              <w:right w:val="single" w:color="auto" w:sz="4" w:space="0"/>
            </w:tcBorders>
            <w:tcMar>
              <w:top w:w="12" w:type="dxa"/>
              <w:left w:w="12" w:type="dxa"/>
              <w:right w:w="12" w:type="dxa"/>
            </w:tcMar>
            <w:vAlign w:val="center"/>
          </w:tcPr>
          <w:p w14:paraId="66F8D809">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单位性质</w:t>
            </w:r>
          </w:p>
        </w:tc>
        <w:tc>
          <w:tcPr>
            <w:tcW w:w="1845" w:type="dxa"/>
            <w:tcBorders>
              <w:top w:val="single" w:color="auto" w:sz="4" w:space="0"/>
              <w:left w:val="nil"/>
              <w:bottom w:val="single" w:color="auto" w:sz="4" w:space="0"/>
              <w:right w:val="single" w:color="auto" w:sz="4" w:space="0"/>
            </w:tcBorders>
            <w:tcMar>
              <w:top w:w="12" w:type="dxa"/>
              <w:left w:w="12" w:type="dxa"/>
              <w:right w:w="12" w:type="dxa"/>
            </w:tcMar>
            <w:vAlign w:val="center"/>
          </w:tcPr>
          <w:p w14:paraId="38C7D392">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单位规格</w:t>
            </w:r>
          </w:p>
        </w:tc>
        <w:tc>
          <w:tcPr>
            <w:tcW w:w="2622" w:type="dxa"/>
            <w:tcBorders>
              <w:top w:val="single" w:color="auto" w:sz="4" w:space="0"/>
              <w:left w:val="nil"/>
              <w:bottom w:val="single" w:color="auto" w:sz="4" w:space="0"/>
              <w:right w:val="single" w:color="auto" w:sz="4" w:space="0"/>
            </w:tcBorders>
            <w:tcMar>
              <w:top w:w="12" w:type="dxa"/>
              <w:left w:w="12" w:type="dxa"/>
              <w:right w:w="12" w:type="dxa"/>
            </w:tcMar>
            <w:vAlign w:val="center"/>
          </w:tcPr>
          <w:p w14:paraId="39A39E98">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经费保障形式</w:t>
            </w:r>
          </w:p>
        </w:tc>
      </w:tr>
      <w:tr w14:paraId="58D9BE36">
        <w:tblPrEx>
          <w:tblCellMar>
            <w:top w:w="0" w:type="dxa"/>
            <w:left w:w="0" w:type="dxa"/>
            <w:bottom w:w="0" w:type="dxa"/>
            <w:right w:w="0" w:type="dxa"/>
          </w:tblCellMar>
        </w:tblPrEx>
        <w:trPr>
          <w:trHeight w:val="642" w:hRule="atLeast"/>
        </w:trPr>
        <w:tc>
          <w:tcPr>
            <w:tcW w:w="2962" w:type="dxa"/>
            <w:tcBorders>
              <w:top w:val="nil"/>
              <w:left w:val="single" w:color="auto" w:sz="4" w:space="0"/>
              <w:bottom w:val="single" w:color="auto" w:sz="4" w:space="0"/>
              <w:right w:val="single" w:color="auto" w:sz="4" w:space="0"/>
            </w:tcBorders>
            <w:tcMar>
              <w:top w:w="12" w:type="dxa"/>
              <w:left w:w="12" w:type="dxa"/>
              <w:right w:w="12" w:type="dxa"/>
            </w:tcMar>
            <w:vAlign w:val="center"/>
          </w:tcPr>
          <w:p w14:paraId="140C12BD">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沙河市地方志办公室</w:t>
            </w:r>
          </w:p>
        </w:tc>
        <w:tc>
          <w:tcPr>
            <w:tcW w:w="1667" w:type="dxa"/>
            <w:tcBorders>
              <w:top w:val="nil"/>
              <w:left w:val="nil"/>
              <w:bottom w:val="single" w:color="auto" w:sz="4" w:space="0"/>
              <w:right w:val="single" w:color="auto" w:sz="4" w:space="0"/>
            </w:tcBorders>
            <w:tcMar>
              <w:top w:w="12" w:type="dxa"/>
              <w:left w:w="12" w:type="dxa"/>
              <w:right w:w="12" w:type="dxa"/>
            </w:tcMar>
            <w:vAlign w:val="center"/>
          </w:tcPr>
          <w:p w14:paraId="7D327243">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参公事业</w:t>
            </w:r>
          </w:p>
        </w:tc>
        <w:tc>
          <w:tcPr>
            <w:tcW w:w="1845" w:type="dxa"/>
            <w:tcBorders>
              <w:top w:val="nil"/>
              <w:left w:val="nil"/>
              <w:bottom w:val="single" w:color="auto" w:sz="4" w:space="0"/>
              <w:right w:val="single" w:color="auto" w:sz="4" w:space="0"/>
            </w:tcBorders>
            <w:tcMar>
              <w:top w:w="12" w:type="dxa"/>
              <w:left w:w="12" w:type="dxa"/>
              <w:right w:w="12" w:type="dxa"/>
            </w:tcMar>
            <w:vAlign w:val="center"/>
          </w:tcPr>
          <w:p w14:paraId="6CB95F0E">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正科级</w:t>
            </w:r>
          </w:p>
        </w:tc>
        <w:tc>
          <w:tcPr>
            <w:tcW w:w="2622" w:type="dxa"/>
            <w:tcBorders>
              <w:top w:val="nil"/>
              <w:left w:val="nil"/>
              <w:bottom w:val="single" w:color="auto" w:sz="4" w:space="0"/>
              <w:right w:val="single" w:color="auto" w:sz="4" w:space="0"/>
            </w:tcBorders>
            <w:tcMar>
              <w:top w:w="12" w:type="dxa"/>
              <w:left w:w="12" w:type="dxa"/>
              <w:right w:w="12" w:type="dxa"/>
            </w:tcMar>
            <w:vAlign w:val="center"/>
          </w:tcPr>
          <w:p w14:paraId="1BA0AB5E">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财政拨款</w:t>
            </w:r>
          </w:p>
        </w:tc>
      </w:tr>
    </w:tbl>
    <w:p w14:paraId="2C21D8DC">
      <w:pPr>
        <w:ind w:firstLine="640"/>
        <w:rPr>
          <w:rFonts w:hint="eastAsia" w:ascii="黑体" w:hAnsi="黑体" w:eastAsia="黑体" w:cs="Times New Roman"/>
          <w:sz w:val="32"/>
          <w:szCs w:val="32"/>
        </w:rPr>
      </w:pPr>
    </w:p>
    <w:p w14:paraId="317617E3">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1BE3CC20">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val="en-US" w:eastAsia="zh-CN"/>
        </w:rPr>
        <w:t>市</w:t>
      </w:r>
      <w:r>
        <w:rPr>
          <w:rFonts w:ascii="Times New Roman" w:hAnsi="Times New Roman" w:eastAsia="仿宋" w:cs="Times New Roman"/>
          <w:sz w:val="32"/>
          <w:szCs w:val="32"/>
        </w:rPr>
        <w:t>部门预算的编制实行综合预算制度，即全部收入和支出都反映的预算中</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单位的收支包含在部门预算中。</w:t>
      </w:r>
    </w:p>
    <w:p w14:paraId="56EB9FF3">
      <w:pPr>
        <w:numPr>
          <w:ilvl w:val="0"/>
          <w:numId w:val="1"/>
        </w:numPr>
        <w:ind w:firstLine="640"/>
        <w:rPr>
          <w:rFonts w:ascii="Times New Roman" w:hAnsi="Times New Roman" w:eastAsia="仿宋" w:cs="Times New Roman"/>
          <w:sz w:val="32"/>
          <w:szCs w:val="32"/>
        </w:rPr>
      </w:pPr>
      <w:r>
        <w:rPr>
          <w:rFonts w:ascii="Times New Roman" w:hAnsi="Times New Roman" w:eastAsia="仿宋" w:cs="Times New Roman"/>
          <w:sz w:val="32"/>
          <w:szCs w:val="32"/>
        </w:rPr>
        <w:t>收入说明</w:t>
      </w:r>
    </w:p>
    <w:p w14:paraId="0F07B098">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反映本部门当年全部收入。2018年预算收入64.46万元，其中：一般公共预算收入64.46万元，基金预算拨款0元。</w:t>
      </w:r>
    </w:p>
    <w:p w14:paraId="23E7A57F">
      <w:pPr>
        <w:numPr>
          <w:ilvl w:val="0"/>
          <w:numId w:val="0"/>
        </w:numPr>
        <w:rPr>
          <w:rFonts w:ascii="Times New Roman" w:hAnsi="Times New Roman" w:eastAsia="仿宋" w:cs="Times New Roman"/>
          <w:sz w:val="32"/>
          <w:szCs w:val="32"/>
        </w:rPr>
      </w:pPr>
    </w:p>
    <w:p w14:paraId="0038B21D">
      <w:pPr>
        <w:numPr>
          <w:ilvl w:val="0"/>
          <w:numId w:val="1"/>
        </w:numPr>
        <w:ind w:left="0" w:leftChars="0" w:firstLine="640" w:firstLineChars="0"/>
        <w:rPr>
          <w:rFonts w:ascii="Times New Roman" w:hAnsi="Times New Roman" w:eastAsia="仿宋" w:cs="Times New Roman"/>
          <w:sz w:val="32"/>
          <w:szCs w:val="32"/>
        </w:rPr>
      </w:pPr>
      <w:r>
        <w:rPr>
          <w:rFonts w:ascii="Times New Roman" w:hAnsi="Times New Roman" w:eastAsia="仿宋" w:cs="Times New Roman"/>
          <w:sz w:val="32"/>
          <w:szCs w:val="32"/>
        </w:rPr>
        <w:t>支出说明</w:t>
      </w:r>
    </w:p>
    <w:p w14:paraId="1C3C7BEC">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ascii="Times New Roman" w:hAnsi="Times New Roman" w:eastAsia="仿宋" w:cs="Times New Roman"/>
          <w:sz w:val="32"/>
          <w:szCs w:val="32"/>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沙河市地方志办公室2018年度部门预算中支出预算的总体情况。2018年支出预算64.46万元，其中基本支出64.46万元，包括人员经费49.82万元，日常公用经费4.64万元，项目支出10万元，全部为本级支出的地方志工作运转经费。</w:t>
      </w:r>
    </w:p>
    <w:p w14:paraId="0A882A6F">
      <w:pPr>
        <w:numPr>
          <w:ilvl w:val="0"/>
          <w:numId w:val="1"/>
        </w:numPr>
        <w:ind w:left="0" w:leftChars="0" w:firstLine="640" w:firstLineChars="0"/>
        <w:rPr>
          <w:rFonts w:ascii="Times New Roman" w:hAnsi="Times New Roman" w:eastAsia="仿宋" w:cs="Times New Roman"/>
          <w:sz w:val="32"/>
          <w:szCs w:val="32"/>
        </w:rPr>
      </w:pPr>
      <w:r>
        <w:rPr>
          <w:rFonts w:ascii="Times New Roman" w:hAnsi="Times New Roman" w:eastAsia="仿宋" w:cs="Times New Roman"/>
          <w:sz w:val="32"/>
          <w:szCs w:val="32"/>
        </w:rPr>
        <w:t>比上年增减情况</w:t>
      </w:r>
    </w:p>
    <w:p w14:paraId="70E44296">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ascii="Times New Roman" w:hAnsi="Times New Roman" w:eastAsia="仿宋" w:cs="Times New Roman"/>
          <w:sz w:val="32"/>
          <w:szCs w:val="32"/>
        </w:rPr>
      </w:pPr>
      <w:r>
        <w:rPr>
          <w:rFonts w:hint="eastAsia" w:ascii="仿宋_GB2312" w:hAnsi="仿宋_GB2312" w:eastAsia="仿宋_GB2312" w:cs="仿宋_GB2312"/>
          <w:sz w:val="32"/>
          <w:szCs w:val="32"/>
          <w:lang w:val="en-US" w:eastAsia="zh-CN"/>
        </w:rPr>
        <w:t>2018年预算收支安排64.46万元，较2017年预算减少12.68万元，其中基本支出减少12.68万元，主要为退休人员经费支出减少；正常公用经费和项目支出较2017年预算不变。</w:t>
      </w:r>
    </w:p>
    <w:p w14:paraId="1CBED0CD">
      <w:pPr>
        <w:numPr>
          <w:ilvl w:val="0"/>
          <w:numId w:val="2"/>
        </w:numPr>
        <w:ind w:left="800" w:leftChars="0" w:firstLine="0" w:firstLineChars="0"/>
        <w:rPr>
          <w:rFonts w:hint="eastAsia" w:ascii="黑体" w:hAnsi="黑体" w:eastAsia="黑体" w:cs="Times New Roman"/>
          <w:sz w:val="32"/>
          <w:szCs w:val="32"/>
        </w:rPr>
      </w:pPr>
      <w:r>
        <w:rPr>
          <w:rFonts w:hint="eastAsia" w:ascii="黑体" w:hAnsi="黑体" w:eastAsia="黑体" w:cs="Times New Roman"/>
          <w:sz w:val="32"/>
          <w:szCs w:val="32"/>
        </w:rPr>
        <w:t>机关运行经费安排情况</w:t>
      </w:r>
    </w:p>
    <w:p w14:paraId="0A6898F5">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Times New Roman"/>
          <w:sz w:val="32"/>
          <w:szCs w:val="32"/>
        </w:rPr>
      </w:pPr>
      <w:r>
        <w:rPr>
          <w:rFonts w:hint="eastAsia" w:ascii="仿宋_GB2312" w:hAnsi="仿宋_GB2312" w:eastAsia="仿宋_GB2312" w:cs="仿宋_GB2312"/>
          <w:sz w:val="32"/>
          <w:szCs w:val="32"/>
          <w:lang w:val="en-US" w:eastAsia="zh-CN"/>
        </w:rPr>
        <w:t>机关运行经费安排4.64万元，主要用于机关正常运转、交通补贴等日常运行支出。</w:t>
      </w:r>
    </w:p>
    <w:p w14:paraId="6D8A10E7">
      <w:pPr>
        <w:numPr>
          <w:ilvl w:val="0"/>
          <w:numId w:val="2"/>
        </w:numPr>
        <w:autoSpaceDE w:val="0"/>
        <w:autoSpaceDN w:val="0"/>
        <w:adjustRightInd w:val="0"/>
        <w:ind w:left="800" w:leftChars="0" w:firstLine="0" w:firstLineChars="0"/>
        <w:jc w:val="left"/>
        <w:rPr>
          <w:rFonts w:hint="eastAsia" w:ascii="黑体" w:hAnsi="黑体" w:eastAsia="黑体" w:cs="Times New Roman"/>
          <w:sz w:val="32"/>
          <w:szCs w:val="32"/>
        </w:rPr>
      </w:pPr>
      <w:r>
        <w:rPr>
          <w:rFonts w:hint="eastAsia" w:ascii="黑体" w:hAnsi="黑体" w:eastAsia="黑体" w:cs="Times New Roman"/>
          <w:sz w:val="32"/>
          <w:szCs w:val="32"/>
        </w:rPr>
        <w:t>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28A6140B">
      <w:pPr>
        <w:numPr>
          <w:ilvl w:val="0"/>
          <w:numId w:val="0"/>
        </w:numPr>
        <w:autoSpaceDE w:val="0"/>
        <w:autoSpaceDN w:val="0"/>
        <w:adjustRightInd w:val="0"/>
        <w:ind w:firstLine="640" w:firstLineChars="200"/>
        <w:jc w:val="left"/>
        <w:rPr>
          <w:rFonts w:hint="eastAsia" w:ascii="黑体" w:hAnsi="黑体" w:eastAsia="黑体" w:cs="Times New Roman"/>
          <w:sz w:val="32"/>
          <w:szCs w:val="32"/>
        </w:rPr>
      </w:pPr>
      <w:r>
        <w:rPr>
          <w:rFonts w:hint="eastAsia" w:ascii="仿宋_GB2312" w:hAnsi="仿宋_GB2312" w:eastAsia="仿宋_GB2312" w:cs="仿宋_GB2312"/>
          <w:sz w:val="32"/>
          <w:szCs w:val="32"/>
          <w:lang w:val="en-US" w:eastAsia="zh-CN"/>
        </w:rPr>
        <w:t>2018年，我部门“三公”经费预算安排0万元，其中因公出国（境）费0元；公务用车购置及运维费0万元；公务接待费0万元，与2017年相比减少0.25万元。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14:paraId="79193671">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14:paraId="232CEBE1">
      <w:pPr>
        <w:autoSpaceDE w:val="0"/>
        <w:autoSpaceDN w:val="0"/>
        <w:adjustRightInd w:val="0"/>
        <w:ind w:firstLine="643" w:firstLineChars="200"/>
        <w:jc w:val="left"/>
        <w:rPr>
          <w:rFonts w:ascii="Times New Roman" w:hAnsi="Times New Roman" w:eastAsia="仿宋" w:cs="Times New Roman"/>
          <w:b/>
          <w:sz w:val="32"/>
          <w:szCs w:val="32"/>
        </w:rPr>
      </w:pPr>
      <w:bookmarkStart w:id="0" w:name="_Toc471398463"/>
      <w:r>
        <w:rPr>
          <w:rFonts w:ascii="Times New Roman" w:hAnsi="Times New Roman" w:eastAsia="仿宋" w:cs="Times New Roman"/>
          <w:b/>
          <w:sz w:val="32"/>
          <w:szCs w:val="32"/>
        </w:rPr>
        <w:t>总体绩效目标：</w:t>
      </w:r>
      <w:r>
        <w:rPr>
          <w:rFonts w:hint="eastAsia" w:ascii="仿宋_GB2312" w:hAnsi="仿宋_GB2312" w:eastAsia="仿宋_GB2312" w:cs="仿宋_GB2312"/>
          <w:sz w:val="32"/>
          <w:szCs w:val="32"/>
          <w:lang w:val="en-US" w:eastAsia="zh-CN"/>
        </w:rPr>
        <w:t>2018年，我办在沙河市委、市政府的正确领导下，在省、市方志办的具体指导下，以邓小平理论和“三个代表”重要思想为指导，高举中国特色社会主义伟大旗帜，积极组织“走新路、有作为、创亮点、守底线”学习研讨活动，全面实施国务院《地方志工作条例》,紧紧围绕年初制定的工作目标，开拓创新求突破，凝心聚力抓落实。</w:t>
      </w:r>
    </w:p>
    <w:p w14:paraId="1EC443D9">
      <w:pPr>
        <w:autoSpaceDE w:val="0"/>
        <w:autoSpaceDN w:val="0"/>
        <w:adjustRightInd w:val="0"/>
        <w:ind w:left="198" w:firstLine="643" w:firstLineChars="200"/>
        <w:jc w:val="left"/>
        <w:rPr>
          <w:rFonts w:ascii="Times New Roman" w:hAnsi="Times New Roman" w:eastAsia="仿宋" w:cs="Times New Roman"/>
          <w:b w:val="0"/>
          <w:bCs/>
          <w:sz w:val="32"/>
          <w:szCs w:val="32"/>
        </w:rPr>
      </w:pPr>
      <w:r>
        <w:rPr>
          <w:rFonts w:hint="eastAsia" w:ascii="Times New Roman" w:hAnsi="Times New Roman" w:eastAsia="仿宋" w:cs="Times New Roman"/>
          <w:b/>
          <w:sz w:val="32"/>
          <w:szCs w:val="32"/>
        </w:rPr>
        <w:t>职责分类绩效目标：</w:t>
      </w:r>
      <w:r>
        <w:rPr>
          <w:rFonts w:hint="eastAsia" w:ascii="Times New Roman" w:hAnsi="Times New Roman" w:eastAsia="仿宋" w:cs="Times New Roman"/>
          <w:b w:val="0"/>
          <w:bCs/>
          <w:sz w:val="32"/>
          <w:szCs w:val="32"/>
          <w:lang w:val="en-US" w:eastAsia="zh-CN"/>
        </w:rPr>
        <w:t>组织编纂《沙河年鉴2018》和《沙河市志（1991-2015）》。</w:t>
      </w:r>
    </w:p>
    <w:p w14:paraId="6B9D320B">
      <w:pPr>
        <w:autoSpaceDE w:val="0"/>
        <w:autoSpaceDN w:val="0"/>
        <w:adjustRightInd w:val="0"/>
        <w:ind w:left="198" w:firstLine="643" w:firstLineChars="200"/>
        <w:jc w:val="left"/>
        <w:rPr>
          <w:rFonts w:hint="eastAsia"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tbl>
      <w:tblPr>
        <w:tblStyle w:val="6"/>
        <w:tblW w:w="9091" w:type="dxa"/>
        <w:tblInd w:w="0" w:type="dxa"/>
        <w:tblLayout w:type="fixed"/>
        <w:tblCellMar>
          <w:top w:w="0" w:type="dxa"/>
          <w:left w:w="0" w:type="dxa"/>
          <w:bottom w:w="0" w:type="dxa"/>
          <w:right w:w="0" w:type="dxa"/>
        </w:tblCellMar>
      </w:tblPr>
      <w:tblGrid>
        <w:gridCol w:w="1285"/>
        <w:gridCol w:w="802"/>
        <w:gridCol w:w="1354"/>
        <w:gridCol w:w="1731"/>
        <w:gridCol w:w="1353"/>
        <w:gridCol w:w="708"/>
        <w:gridCol w:w="619"/>
        <w:gridCol w:w="620"/>
        <w:gridCol w:w="619"/>
      </w:tblGrid>
      <w:tr w14:paraId="4B8AA500">
        <w:tblPrEx>
          <w:tblCellMar>
            <w:top w:w="0" w:type="dxa"/>
            <w:left w:w="0" w:type="dxa"/>
            <w:bottom w:w="0" w:type="dxa"/>
            <w:right w:w="0" w:type="dxa"/>
          </w:tblCellMar>
        </w:tblPrEx>
        <w:trPr>
          <w:trHeight w:val="480" w:hRule="atLeast"/>
        </w:trPr>
        <w:tc>
          <w:tcPr>
            <w:tcW w:w="1285"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9559CE3">
            <w:pPr>
              <w:keepNext w:val="0"/>
              <w:keepLines w:val="0"/>
              <w:widowControl/>
              <w:suppressLineNumbers w:val="0"/>
              <w:jc w:val="center"/>
              <w:textAlignment w:val="center"/>
              <w:rPr>
                <w:rFonts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职责活动</w:t>
            </w:r>
          </w:p>
        </w:tc>
        <w:tc>
          <w:tcPr>
            <w:tcW w:w="802"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B74318D">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年度预算数</w:t>
            </w:r>
          </w:p>
        </w:tc>
        <w:tc>
          <w:tcPr>
            <w:tcW w:w="135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51738A0">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内容描述</w:t>
            </w:r>
          </w:p>
        </w:tc>
        <w:tc>
          <w:tcPr>
            <w:tcW w:w="1731"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12D9F11">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绩效目标</w:t>
            </w:r>
          </w:p>
        </w:tc>
        <w:tc>
          <w:tcPr>
            <w:tcW w:w="1353"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4DF0825">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绩效指标</w:t>
            </w:r>
          </w:p>
        </w:tc>
        <w:tc>
          <w:tcPr>
            <w:tcW w:w="2566" w:type="dxa"/>
            <w:gridSpan w:val="4"/>
            <w:tcBorders>
              <w:top w:val="single" w:color="auto" w:sz="4" w:space="0"/>
              <w:left w:val="nil"/>
              <w:bottom w:val="single" w:color="auto" w:sz="4" w:space="0"/>
              <w:right w:val="single" w:color="auto" w:sz="4" w:space="0"/>
            </w:tcBorders>
            <w:tcMar>
              <w:top w:w="12" w:type="dxa"/>
              <w:left w:w="12" w:type="dxa"/>
              <w:right w:w="12" w:type="dxa"/>
            </w:tcMar>
            <w:vAlign w:val="center"/>
          </w:tcPr>
          <w:p w14:paraId="7EC49C35">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评价标准</w:t>
            </w:r>
          </w:p>
        </w:tc>
      </w:tr>
      <w:tr w14:paraId="5D20800C">
        <w:tblPrEx>
          <w:tblCellMar>
            <w:top w:w="0" w:type="dxa"/>
            <w:left w:w="0" w:type="dxa"/>
            <w:bottom w:w="0" w:type="dxa"/>
            <w:right w:w="0" w:type="dxa"/>
          </w:tblCellMar>
        </w:tblPrEx>
        <w:trPr>
          <w:trHeight w:val="420" w:hRule="atLeast"/>
        </w:trPr>
        <w:tc>
          <w:tcPr>
            <w:tcW w:w="1285"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BF8DD92">
            <w:pPr>
              <w:jc w:val="center"/>
              <w:rPr>
                <w:rFonts w:hint="eastAsia" w:ascii="仿宋_GB2312" w:hAnsi="宋体" w:eastAsia="仿宋_GB2312" w:cs="仿宋_GB2312"/>
                <w:b/>
                <w:i w:val="0"/>
                <w:color w:val="auto"/>
                <w:sz w:val="24"/>
                <w:szCs w:val="24"/>
                <w:u w:val="none"/>
              </w:rPr>
            </w:pPr>
          </w:p>
        </w:tc>
        <w:tc>
          <w:tcPr>
            <w:tcW w:w="802"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BBCD02F">
            <w:pPr>
              <w:jc w:val="center"/>
              <w:rPr>
                <w:rFonts w:hint="eastAsia" w:ascii="仿宋_GB2312" w:hAnsi="宋体" w:eastAsia="仿宋_GB2312" w:cs="仿宋_GB2312"/>
                <w:b/>
                <w:i w:val="0"/>
                <w:color w:val="auto"/>
                <w:sz w:val="24"/>
                <w:szCs w:val="24"/>
                <w:u w:val="none"/>
              </w:rPr>
            </w:pPr>
          </w:p>
        </w:tc>
        <w:tc>
          <w:tcPr>
            <w:tcW w:w="135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F4B4847">
            <w:pPr>
              <w:jc w:val="center"/>
              <w:rPr>
                <w:rFonts w:hint="eastAsia" w:ascii="仿宋_GB2312" w:hAnsi="宋体" w:eastAsia="仿宋_GB2312" w:cs="仿宋_GB2312"/>
                <w:b/>
                <w:i w:val="0"/>
                <w:color w:val="auto"/>
                <w:sz w:val="24"/>
                <w:szCs w:val="24"/>
                <w:u w:val="none"/>
              </w:rPr>
            </w:pPr>
          </w:p>
        </w:tc>
        <w:tc>
          <w:tcPr>
            <w:tcW w:w="1731"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0987D78">
            <w:pPr>
              <w:jc w:val="center"/>
              <w:rPr>
                <w:rFonts w:hint="eastAsia" w:ascii="仿宋_GB2312" w:hAnsi="宋体" w:eastAsia="仿宋_GB2312" w:cs="仿宋_GB2312"/>
                <w:b/>
                <w:i w:val="0"/>
                <w:color w:val="auto"/>
                <w:sz w:val="24"/>
                <w:szCs w:val="24"/>
                <w:u w:val="none"/>
              </w:rPr>
            </w:pPr>
          </w:p>
        </w:tc>
        <w:tc>
          <w:tcPr>
            <w:tcW w:w="1353"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C07E4E1">
            <w:pPr>
              <w:jc w:val="center"/>
              <w:rPr>
                <w:rFonts w:hint="eastAsia" w:ascii="仿宋_GB2312" w:hAnsi="宋体" w:eastAsia="仿宋_GB2312" w:cs="仿宋_GB2312"/>
                <w:b/>
                <w:i w:val="0"/>
                <w:color w:val="auto"/>
                <w:sz w:val="24"/>
                <w:szCs w:val="24"/>
                <w:u w:val="none"/>
              </w:rPr>
            </w:pPr>
          </w:p>
        </w:tc>
        <w:tc>
          <w:tcPr>
            <w:tcW w:w="708" w:type="dxa"/>
            <w:tcBorders>
              <w:top w:val="nil"/>
              <w:left w:val="nil"/>
              <w:bottom w:val="single" w:color="auto" w:sz="4" w:space="0"/>
              <w:right w:val="single" w:color="auto" w:sz="4" w:space="0"/>
            </w:tcBorders>
            <w:tcMar>
              <w:top w:w="12" w:type="dxa"/>
              <w:left w:w="12" w:type="dxa"/>
              <w:right w:w="12" w:type="dxa"/>
            </w:tcMar>
            <w:vAlign w:val="center"/>
          </w:tcPr>
          <w:p w14:paraId="0641C9F0">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优</w:t>
            </w:r>
          </w:p>
        </w:tc>
        <w:tc>
          <w:tcPr>
            <w:tcW w:w="619" w:type="dxa"/>
            <w:tcBorders>
              <w:top w:val="nil"/>
              <w:left w:val="nil"/>
              <w:bottom w:val="single" w:color="auto" w:sz="4" w:space="0"/>
              <w:right w:val="single" w:color="auto" w:sz="4" w:space="0"/>
            </w:tcBorders>
            <w:tcMar>
              <w:top w:w="12" w:type="dxa"/>
              <w:left w:w="12" w:type="dxa"/>
              <w:right w:w="12" w:type="dxa"/>
            </w:tcMar>
            <w:vAlign w:val="center"/>
          </w:tcPr>
          <w:p w14:paraId="09EB3B97">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良</w:t>
            </w:r>
          </w:p>
        </w:tc>
        <w:tc>
          <w:tcPr>
            <w:tcW w:w="620" w:type="dxa"/>
            <w:tcBorders>
              <w:top w:val="nil"/>
              <w:left w:val="nil"/>
              <w:bottom w:val="single" w:color="auto" w:sz="4" w:space="0"/>
              <w:right w:val="single" w:color="auto" w:sz="4" w:space="0"/>
            </w:tcBorders>
            <w:tcMar>
              <w:top w:w="12" w:type="dxa"/>
              <w:left w:w="12" w:type="dxa"/>
              <w:right w:w="12" w:type="dxa"/>
            </w:tcMar>
            <w:vAlign w:val="center"/>
          </w:tcPr>
          <w:p w14:paraId="20F4459C">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中</w:t>
            </w:r>
          </w:p>
        </w:tc>
        <w:tc>
          <w:tcPr>
            <w:tcW w:w="619" w:type="dxa"/>
            <w:tcBorders>
              <w:top w:val="nil"/>
              <w:left w:val="nil"/>
              <w:bottom w:val="single" w:color="auto" w:sz="4" w:space="0"/>
              <w:right w:val="single" w:color="auto" w:sz="4" w:space="0"/>
            </w:tcBorders>
            <w:tcMar>
              <w:top w:w="12" w:type="dxa"/>
              <w:left w:w="12" w:type="dxa"/>
              <w:right w:w="12" w:type="dxa"/>
            </w:tcMar>
            <w:vAlign w:val="center"/>
          </w:tcPr>
          <w:p w14:paraId="461CA576">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差</w:t>
            </w:r>
          </w:p>
        </w:tc>
      </w:tr>
      <w:tr w14:paraId="52BA8DCD">
        <w:tblPrEx>
          <w:tblCellMar>
            <w:top w:w="0" w:type="dxa"/>
            <w:left w:w="0" w:type="dxa"/>
            <w:bottom w:w="0" w:type="dxa"/>
            <w:right w:w="0" w:type="dxa"/>
          </w:tblCellMar>
        </w:tblPrEx>
        <w:trPr>
          <w:trHeight w:val="4938" w:hRule="atLeast"/>
        </w:trPr>
        <w:tc>
          <w:tcPr>
            <w:tcW w:w="1285" w:type="dxa"/>
            <w:tcBorders>
              <w:top w:val="nil"/>
              <w:left w:val="single" w:color="auto" w:sz="4" w:space="0"/>
              <w:bottom w:val="single" w:color="auto" w:sz="4" w:space="0"/>
              <w:right w:val="single" w:color="auto" w:sz="4" w:space="0"/>
            </w:tcBorders>
            <w:tcMar>
              <w:top w:w="12" w:type="dxa"/>
              <w:left w:w="12" w:type="dxa"/>
              <w:right w:w="12" w:type="dxa"/>
            </w:tcMar>
            <w:vAlign w:val="center"/>
          </w:tcPr>
          <w:p w14:paraId="473B8414">
            <w:pPr>
              <w:keepNext w:val="0"/>
              <w:keepLines w:val="0"/>
              <w:widowControl/>
              <w:suppressLineNumbers w:val="0"/>
              <w:jc w:val="left"/>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全市地方志事务管理</w:t>
            </w:r>
          </w:p>
        </w:tc>
        <w:tc>
          <w:tcPr>
            <w:tcW w:w="802" w:type="dxa"/>
            <w:tcBorders>
              <w:top w:val="nil"/>
              <w:left w:val="nil"/>
              <w:bottom w:val="single" w:color="auto" w:sz="4" w:space="0"/>
              <w:right w:val="single" w:color="auto" w:sz="4" w:space="0"/>
            </w:tcBorders>
            <w:tcMar>
              <w:top w:w="12" w:type="dxa"/>
              <w:left w:w="12" w:type="dxa"/>
              <w:right w:w="12" w:type="dxa"/>
            </w:tcMar>
            <w:vAlign w:val="center"/>
          </w:tcPr>
          <w:p w14:paraId="5644922D">
            <w:pPr>
              <w:keepNext w:val="0"/>
              <w:keepLines w:val="0"/>
              <w:widowControl/>
              <w:suppressLineNumbers w:val="0"/>
              <w:jc w:val="righ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10</w:t>
            </w:r>
          </w:p>
        </w:tc>
        <w:tc>
          <w:tcPr>
            <w:tcW w:w="1354" w:type="dxa"/>
            <w:tcBorders>
              <w:top w:val="nil"/>
              <w:left w:val="nil"/>
              <w:bottom w:val="single" w:color="auto" w:sz="4" w:space="0"/>
              <w:right w:val="single" w:color="auto" w:sz="4" w:space="0"/>
            </w:tcBorders>
            <w:tcMar>
              <w:top w:w="12" w:type="dxa"/>
              <w:left w:w="12" w:type="dxa"/>
              <w:right w:w="12" w:type="dxa"/>
            </w:tcMar>
            <w:vAlign w:val="center"/>
          </w:tcPr>
          <w:p w14:paraId="3195DFE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组织、指导、督促和检查地方志工作；拟定地方志工作规划和编纂方案；组织编纂地方志书、地方综合年鉴；搜集、保存地方志文献和资料，组织整理旧志，推动方志理论研究；组织开发利用地方志资源。</w:t>
            </w:r>
          </w:p>
        </w:tc>
        <w:tc>
          <w:tcPr>
            <w:tcW w:w="1731" w:type="dxa"/>
            <w:tcBorders>
              <w:top w:val="nil"/>
              <w:left w:val="nil"/>
              <w:bottom w:val="single" w:color="auto" w:sz="4" w:space="0"/>
              <w:right w:val="single" w:color="auto" w:sz="4" w:space="0"/>
            </w:tcBorders>
            <w:tcMar>
              <w:top w:w="12" w:type="dxa"/>
              <w:left w:w="12" w:type="dxa"/>
              <w:right w:w="12" w:type="dxa"/>
            </w:tcMar>
            <w:vAlign w:val="center"/>
          </w:tcPr>
          <w:p w14:paraId="6281D44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组织编纂《沙河年鉴2018》和《沙河市志（1991-2015）》</w:t>
            </w:r>
          </w:p>
        </w:tc>
        <w:tc>
          <w:tcPr>
            <w:tcW w:w="1353" w:type="dxa"/>
            <w:tcBorders>
              <w:top w:val="nil"/>
              <w:left w:val="nil"/>
              <w:bottom w:val="single" w:color="auto" w:sz="4" w:space="0"/>
              <w:right w:val="single" w:color="auto" w:sz="4" w:space="0"/>
            </w:tcBorders>
            <w:tcMar>
              <w:top w:w="12" w:type="dxa"/>
              <w:left w:w="12" w:type="dxa"/>
              <w:right w:w="12" w:type="dxa"/>
            </w:tcMar>
            <w:vAlign w:val="center"/>
          </w:tcPr>
          <w:p w14:paraId="52D46C2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编印出错率</w:t>
            </w:r>
          </w:p>
        </w:tc>
        <w:tc>
          <w:tcPr>
            <w:tcW w:w="708" w:type="dxa"/>
            <w:tcBorders>
              <w:top w:val="nil"/>
              <w:left w:val="nil"/>
              <w:bottom w:val="single" w:color="auto" w:sz="4" w:space="0"/>
              <w:right w:val="single" w:color="auto" w:sz="4" w:space="0"/>
            </w:tcBorders>
            <w:tcMar>
              <w:top w:w="12" w:type="dxa"/>
              <w:left w:w="12" w:type="dxa"/>
              <w:right w:w="12" w:type="dxa"/>
            </w:tcMar>
            <w:vAlign w:val="center"/>
          </w:tcPr>
          <w:p w14:paraId="59109B6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≥99%</w:t>
            </w:r>
          </w:p>
        </w:tc>
        <w:tc>
          <w:tcPr>
            <w:tcW w:w="619" w:type="dxa"/>
            <w:tcBorders>
              <w:top w:val="nil"/>
              <w:left w:val="nil"/>
              <w:bottom w:val="single" w:color="auto" w:sz="4" w:space="0"/>
              <w:right w:val="single" w:color="auto" w:sz="4" w:space="0"/>
            </w:tcBorders>
            <w:tcMar>
              <w:top w:w="12" w:type="dxa"/>
              <w:left w:w="12" w:type="dxa"/>
              <w:right w:w="12" w:type="dxa"/>
            </w:tcMar>
            <w:vAlign w:val="center"/>
          </w:tcPr>
          <w:p w14:paraId="224B548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≥98%</w:t>
            </w:r>
          </w:p>
        </w:tc>
        <w:tc>
          <w:tcPr>
            <w:tcW w:w="620" w:type="dxa"/>
            <w:tcBorders>
              <w:top w:val="nil"/>
              <w:left w:val="nil"/>
              <w:bottom w:val="single" w:color="auto" w:sz="4" w:space="0"/>
              <w:right w:val="single" w:color="auto" w:sz="4" w:space="0"/>
            </w:tcBorders>
            <w:tcMar>
              <w:top w:w="12" w:type="dxa"/>
              <w:left w:w="12" w:type="dxa"/>
              <w:right w:w="12" w:type="dxa"/>
            </w:tcMar>
            <w:vAlign w:val="center"/>
          </w:tcPr>
          <w:p w14:paraId="2A2581B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≥97%</w:t>
            </w:r>
          </w:p>
        </w:tc>
        <w:tc>
          <w:tcPr>
            <w:tcW w:w="619" w:type="dxa"/>
            <w:tcBorders>
              <w:top w:val="nil"/>
              <w:left w:val="nil"/>
              <w:bottom w:val="single" w:color="auto" w:sz="4" w:space="0"/>
              <w:right w:val="single" w:color="auto" w:sz="4" w:space="0"/>
            </w:tcBorders>
            <w:tcMar>
              <w:top w:w="12" w:type="dxa"/>
              <w:left w:w="12" w:type="dxa"/>
              <w:right w:w="12" w:type="dxa"/>
            </w:tcMar>
            <w:vAlign w:val="center"/>
          </w:tcPr>
          <w:p w14:paraId="14CA604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&lt;97%</w:t>
            </w:r>
          </w:p>
        </w:tc>
      </w:tr>
      <w:tr w14:paraId="0B7EA9B9">
        <w:tblPrEx>
          <w:tblCellMar>
            <w:top w:w="0" w:type="dxa"/>
            <w:left w:w="0" w:type="dxa"/>
            <w:bottom w:w="0" w:type="dxa"/>
            <w:right w:w="0" w:type="dxa"/>
          </w:tblCellMar>
        </w:tblPrEx>
        <w:trPr>
          <w:trHeight w:val="2160" w:hRule="atLeast"/>
        </w:trPr>
        <w:tc>
          <w:tcPr>
            <w:tcW w:w="1285" w:type="dxa"/>
            <w:tcBorders>
              <w:top w:val="nil"/>
              <w:left w:val="single" w:color="auto" w:sz="4" w:space="0"/>
              <w:bottom w:val="single" w:color="auto" w:sz="4" w:space="0"/>
              <w:right w:val="single" w:color="auto" w:sz="4" w:space="0"/>
            </w:tcBorders>
            <w:tcMar>
              <w:top w:w="12" w:type="dxa"/>
              <w:left w:w="12" w:type="dxa"/>
              <w:right w:w="12" w:type="dxa"/>
            </w:tcMar>
            <w:vAlign w:val="center"/>
          </w:tcPr>
          <w:p w14:paraId="17CF66F2">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综合事务管理</w:t>
            </w:r>
          </w:p>
        </w:tc>
        <w:tc>
          <w:tcPr>
            <w:tcW w:w="802" w:type="dxa"/>
            <w:tcBorders>
              <w:top w:val="nil"/>
              <w:left w:val="nil"/>
              <w:bottom w:val="single" w:color="auto" w:sz="4" w:space="0"/>
              <w:right w:val="single" w:color="auto" w:sz="4" w:space="0"/>
            </w:tcBorders>
            <w:tcMar>
              <w:top w:w="12" w:type="dxa"/>
              <w:left w:w="12" w:type="dxa"/>
              <w:right w:w="12" w:type="dxa"/>
            </w:tcMar>
            <w:vAlign w:val="center"/>
          </w:tcPr>
          <w:p w14:paraId="7BF7BF35">
            <w:pPr>
              <w:keepNext w:val="0"/>
              <w:keepLines w:val="0"/>
              <w:widowControl/>
              <w:suppressLineNumbers w:val="0"/>
              <w:jc w:val="righ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4.64</w:t>
            </w:r>
          </w:p>
        </w:tc>
        <w:tc>
          <w:tcPr>
            <w:tcW w:w="1354" w:type="dxa"/>
            <w:tcBorders>
              <w:top w:val="nil"/>
              <w:left w:val="nil"/>
              <w:bottom w:val="single" w:color="auto" w:sz="4" w:space="0"/>
              <w:right w:val="single" w:color="auto" w:sz="4" w:space="0"/>
            </w:tcBorders>
            <w:tcMar>
              <w:top w:w="12" w:type="dxa"/>
              <w:left w:w="12" w:type="dxa"/>
              <w:right w:w="12" w:type="dxa"/>
            </w:tcMar>
            <w:vAlign w:val="center"/>
          </w:tcPr>
          <w:p w14:paraId="6E38F5E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确保机关正常运转，各项业务顺利推进，适应方志事业发展需要</w:t>
            </w:r>
          </w:p>
        </w:tc>
        <w:tc>
          <w:tcPr>
            <w:tcW w:w="1731" w:type="dxa"/>
            <w:tcBorders>
              <w:top w:val="nil"/>
              <w:left w:val="nil"/>
              <w:bottom w:val="single" w:color="auto" w:sz="4" w:space="0"/>
              <w:right w:val="single" w:color="auto" w:sz="4" w:space="0"/>
            </w:tcBorders>
            <w:tcMar>
              <w:top w:w="12" w:type="dxa"/>
              <w:left w:w="12" w:type="dxa"/>
              <w:right w:w="12" w:type="dxa"/>
            </w:tcMar>
            <w:vAlign w:val="center"/>
          </w:tcPr>
          <w:p w14:paraId="0232AA4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保障机关工作正常高效运转。</w:t>
            </w:r>
          </w:p>
        </w:tc>
        <w:tc>
          <w:tcPr>
            <w:tcW w:w="1353" w:type="dxa"/>
            <w:tcBorders>
              <w:top w:val="nil"/>
              <w:left w:val="nil"/>
              <w:bottom w:val="single" w:color="auto" w:sz="4" w:space="0"/>
              <w:right w:val="single" w:color="auto" w:sz="4" w:space="0"/>
            </w:tcBorders>
            <w:tcMar>
              <w:top w:w="12" w:type="dxa"/>
              <w:left w:w="12" w:type="dxa"/>
              <w:right w:w="12" w:type="dxa"/>
            </w:tcMar>
            <w:vAlign w:val="center"/>
          </w:tcPr>
          <w:p w14:paraId="4B5ED20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综合事务管理完成率</w:t>
            </w:r>
          </w:p>
        </w:tc>
        <w:tc>
          <w:tcPr>
            <w:tcW w:w="708" w:type="dxa"/>
            <w:tcBorders>
              <w:top w:val="nil"/>
              <w:left w:val="nil"/>
              <w:bottom w:val="single" w:color="auto" w:sz="4" w:space="0"/>
              <w:right w:val="single" w:color="auto" w:sz="4" w:space="0"/>
            </w:tcBorders>
            <w:tcMar>
              <w:top w:w="12" w:type="dxa"/>
              <w:left w:w="12" w:type="dxa"/>
              <w:right w:w="12" w:type="dxa"/>
            </w:tcMar>
            <w:vAlign w:val="center"/>
          </w:tcPr>
          <w:p w14:paraId="3220132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≥100%</w:t>
            </w:r>
          </w:p>
        </w:tc>
        <w:tc>
          <w:tcPr>
            <w:tcW w:w="619" w:type="dxa"/>
            <w:tcBorders>
              <w:top w:val="nil"/>
              <w:left w:val="nil"/>
              <w:bottom w:val="single" w:color="auto" w:sz="4" w:space="0"/>
              <w:right w:val="single" w:color="auto" w:sz="4" w:space="0"/>
            </w:tcBorders>
            <w:tcMar>
              <w:top w:w="12" w:type="dxa"/>
              <w:left w:w="12" w:type="dxa"/>
              <w:right w:w="12" w:type="dxa"/>
            </w:tcMar>
            <w:vAlign w:val="center"/>
          </w:tcPr>
          <w:p w14:paraId="448D3FF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≥95%</w:t>
            </w:r>
          </w:p>
        </w:tc>
        <w:tc>
          <w:tcPr>
            <w:tcW w:w="620" w:type="dxa"/>
            <w:tcBorders>
              <w:top w:val="nil"/>
              <w:left w:val="nil"/>
              <w:bottom w:val="single" w:color="auto" w:sz="4" w:space="0"/>
              <w:right w:val="single" w:color="auto" w:sz="4" w:space="0"/>
            </w:tcBorders>
            <w:tcMar>
              <w:top w:w="12" w:type="dxa"/>
              <w:left w:w="12" w:type="dxa"/>
              <w:right w:w="12" w:type="dxa"/>
            </w:tcMar>
            <w:vAlign w:val="center"/>
          </w:tcPr>
          <w:p w14:paraId="21C7FA6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≥90%</w:t>
            </w:r>
          </w:p>
        </w:tc>
        <w:tc>
          <w:tcPr>
            <w:tcW w:w="619" w:type="dxa"/>
            <w:tcBorders>
              <w:top w:val="nil"/>
              <w:left w:val="nil"/>
              <w:bottom w:val="single" w:color="auto" w:sz="4" w:space="0"/>
              <w:right w:val="single" w:color="auto" w:sz="4" w:space="0"/>
            </w:tcBorders>
            <w:tcMar>
              <w:top w:w="12" w:type="dxa"/>
              <w:left w:w="12" w:type="dxa"/>
              <w:right w:w="12" w:type="dxa"/>
            </w:tcMar>
            <w:vAlign w:val="center"/>
          </w:tcPr>
          <w:p w14:paraId="46F62DA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&lt;90%</w:t>
            </w:r>
          </w:p>
        </w:tc>
      </w:tr>
    </w:tbl>
    <w:p w14:paraId="7C278BFD">
      <w:pPr>
        <w:numPr>
          <w:ilvl w:val="0"/>
          <w:numId w:val="0"/>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政府采购预算情况</w:t>
      </w:r>
    </w:p>
    <w:p w14:paraId="2086038A">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ascii="黑体" w:hAnsi="黑体" w:eastAsia="黑体" w:cs="Times New Roman"/>
          <w:sz w:val="32"/>
          <w:szCs w:val="32"/>
        </w:rPr>
      </w:pPr>
      <w:r>
        <w:rPr>
          <w:rFonts w:hint="eastAsia" w:ascii="仿宋_GB2312" w:hAnsi="仿宋_GB2312" w:eastAsia="仿宋_GB2312" w:cs="仿宋_GB2312"/>
          <w:sz w:val="32"/>
          <w:szCs w:val="32"/>
          <w:lang w:val="en-US" w:eastAsia="zh-CN"/>
        </w:rPr>
        <w:t>2018年，我部门未安排政府采购预算。</w:t>
      </w:r>
    </w:p>
    <w:p w14:paraId="464F642C">
      <w:pPr>
        <w:numPr>
          <w:ilvl w:val="0"/>
          <w:numId w:val="0"/>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eastAsia="zh-CN"/>
        </w:rPr>
        <w:t>七、</w:t>
      </w:r>
      <w:r>
        <w:rPr>
          <w:rFonts w:hint="eastAsia" w:ascii="黑体" w:hAnsi="黑体" w:eastAsia="黑体" w:cs="Times New Roman"/>
          <w:sz w:val="32"/>
          <w:szCs w:val="32"/>
        </w:rPr>
        <w:t>国有资产信息</w:t>
      </w:r>
    </w:p>
    <w:p w14:paraId="087E8939">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沙河市地方志办公室上年末固定资产金额为0.1万元，</w:t>
      </w:r>
      <w:r>
        <w:rPr>
          <w:rFonts w:hint="eastAsia" w:ascii="仿宋_GB2312" w:hAnsi="仿宋_GB2312" w:eastAsia="仿宋_GB2312" w:cs="仿宋_GB2312"/>
          <w:kern w:val="2"/>
          <w:sz w:val="32"/>
          <w:szCs w:val="32"/>
          <w:lang w:val="en-US" w:eastAsia="zh-CN" w:bidi="ar"/>
        </w:rPr>
        <w:t>其中房屋面积0平方米，价值0万元；车辆0辆，价值0万元，其他固定资产价值0.1万元。</w:t>
      </w:r>
    </w:p>
    <w:p w14:paraId="4D51EC66">
      <w:pPr>
        <w:numPr>
          <w:ilvl w:val="0"/>
          <w:numId w:val="0"/>
        </w:numPr>
        <w:autoSpaceDE w:val="0"/>
        <w:autoSpaceDN w:val="0"/>
        <w:adjustRightInd w:val="0"/>
        <w:ind w:leftChars="200"/>
        <w:jc w:val="left"/>
        <w:rPr>
          <w:rFonts w:ascii="黑体" w:hAnsi="黑体" w:eastAsia="黑体" w:cs="Times New Roman"/>
          <w:sz w:val="32"/>
          <w:szCs w:val="32"/>
        </w:rPr>
      </w:pPr>
      <w:r>
        <w:rPr>
          <w:rFonts w:hint="eastAsia" w:ascii="仿宋_GB2312" w:hAnsi="仿宋_GB2312" w:eastAsia="仿宋_GB2312" w:cs="仿宋_GB2312"/>
          <w:sz w:val="32"/>
          <w:szCs w:val="32"/>
          <w:lang w:val="en-US" w:eastAsia="zh-CN"/>
        </w:rPr>
        <w:t>本年度无拟购置固定资产。</w:t>
      </w:r>
    </w:p>
    <w:p w14:paraId="1FF54AAC">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八、名词解释</w:t>
      </w:r>
    </w:p>
    <w:p w14:paraId="42EC6ED1">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财政拨款收入：</w:t>
      </w:r>
      <w:r>
        <w:rPr>
          <w:rFonts w:hint="eastAsia" w:ascii="仿宋_GB2312" w:hAnsi="仿宋_GB2312" w:eastAsia="仿宋_GB2312" w:cs="仿宋_GB2312"/>
          <w:sz w:val="32"/>
          <w:szCs w:val="32"/>
          <w:lang w:val="en-US" w:eastAsia="zh-CN"/>
        </w:rPr>
        <w:t xml:space="preserve">指从本级财政当年拨付给部门的资金。 </w:t>
      </w:r>
    </w:p>
    <w:p w14:paraId="6849914A">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基本支出：</w:t>
      </w:r>
      <w:r>
        <w:rPr>
          <w:rFonts w:hint="eastAsia" w:ascii="仿宋_GB2312" w:hAnsi="仿宋_GB2312" w:eastAsia="仿宋_GB2312" w:cs="仿宋_GB2312"/>
          <w:sz w:val="32"/>
          <w:szCs w:val="32"/>
          <w:lang w:val="en-US" w:eastAsia="zh-CN"/>
        </w:rPr>
        <w:t xml:space="preserve">指为保障机构正常运转、完成日常工作任务而发生的人员支出和公用支出。 </w:t>
      </w:r>
    </w:p>
    <w:p w14:paraId="7BC207F4">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“三公”经费：</w:t>
      </w:r>
      <w:r>
        <w:rPr>
          <w:rFonts w:hint="eastAsia" w:ascii="仿宋_GB2312" w:hAnsi="仿宋_GB2312" w:eastAsia="仿宋_GB2312" w:cs="仿宋_GB2312"/>
          <w:sz w:val="32"/>
          <w:szCs w:val="32"/>
          <w:lang w:val="en-US" w:eastAsia="zh-CN"/>
        </w:rPr>
        <w:t xml:space="preserve">指政府部门用财政拨款安排的因公出国（境）费，公务用车购置及运行费和公务接待费。 </w:t>
      </w:r>
    </w:p>
    <w:p w14:paraId="47EF2137">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机关运行经费：</w:t>
      </w:r>
      <w:r>
        <w:rPr>
          <w:rFonts w:hint="eastAsia" w:ascii="仿宋_GB2312" w:hAnsi="仿宋_GB2312" w:eastAsia="仿宋_GB2312" w:cs="仿宋_GB2312"/>
          <w:sz w:val="32"/>
          <w:szCs w:val="32"/>
          <w:lang w:val="en-US" w:eastAsia="zh-CN"/>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14:paraId="175A015F">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绩效预算：</w:t>
      </w:r>
      <w:r>
        <w:rPr>
          <w:rFonts w:hint="eastAsia" w:ascii="仿宋_GB2312" w:hAnsi="仿宋_GB2312" w:eastAsia="仿宋_GB2312" w:cs="仿宋_GB2312"/>
          <w:sz w:val="32"/>
          <w:szCs w:val="32"/>
          <w:lang w:val="en-US" w:eastAsia="zh-CN"/>
        </w:rPr>
        <w:t>就是政府首先制定有关的事业计划和工程计划，再依据政府职能和施政计划制定计划实施方案，并在成本效益分析的基础上确定实施方案所需费用来编制预算的一种方法。</w:t>
      </w:r>
    </w:p>
    <w:p w14:paraId="3455FC49">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政府采购</w:t>
      </w:r>
      <w:r>
        <w:rPr>
          <w:rFonts w:hint="eastAsia" w:ascii="仿宋_GB2312" w:hAnsi="仿宋_GB2312" w:eastAsia="仿宋_GB2312" w:cs="仿宋_GB2312"/>
          <w:sz w:val="32"/>
          <w:szCs w:val="32"/>
          <w:lang w:val="en-US" w:eastAsia="zh-CN"/>
        </w:rPr>
        <w:t>：指各级政府为从事日常的政务活动或为了满足公共服务的目的，利用财政性资金和政府借款购买货物、工程和服务的行为。</w:t>
      </w:r>
    </w:p>
    <w:p w14:paraId="6F4AF3E4">
      <w:pPr>
        <w:keepNext w:val="0"/>
        <w:keepLines w:val="0"/>
        <w:widowControl w:val="0"/>
        <w:numPr>
          <w:ilvl w:val="0"/>
          <w:numId w:val="0"/>
        </w:numPr>
        <w:suppressLineNumbers w:val="0"/>
        <w:spacing w:before="0" w:beforeAutospacing="0" w:after="0" w:afterAutospacing="0" w:line="610" w:lineRule="exact"/>
        <w:ind w:left="640" w:leftChars="0" w:right="0" w:rightChars="0"/>
        <w:jc w:val="both"/>
        <w:rPr>
          <w:rFonts w:hint="eastAsia" w:ascii="黑体" w:hAnsi="宋体" w:eastAsia="黑体" w:cs="黑体"/>
          <w:bCs/>
          <w:color w:val="000000"/>
          <w:sz w:val="30"/>
          <w:szCs w:val="30"/>
          <w:lang w:val="en-US"/>
        </w:rPr>
      </w:pPr>
      <w:r>
        <w:rPr>
          <w:rFonts w:hint="eastAsia" w:ascii="黑体" w:hAnsi="宋体" w:eastAsia="黑体" w:cs="黑体"/>
          <w:bCs/>
          <w:color w:val="000000"/>
          <w:kern w:val="2"/>
          <w:sz w:val="32"/>
          <w:szCs w:val="32"/>
          <w:lang w:val="en-US" w:eastAsia="zh-CN" w:bidi="ar"/>
        </w:rPr>
        <w:t>九、其他需说明事项</w:t>
      </w:r>
    </w:p>
    <w:p w14:paraId="54C2E289">
      <w:pPr>
        <w:keepNext w:val="0"/>
        <w:keepLines w:val="0"/>
        <w:widowControl w:val="0"/>
        <w:suppressLineNumbers w:val="0"/>
        <w:spacing w:before="0" w:beforeAutospacing="0" w:after="0" w:afterAutospacing="0" w:line="610" w:lineRule="exact"/>
        <w:ind w:left="64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无其他需说明事项</w:t>
      </w:r>
    </w:p>
    <w:p w14:paraId="010A0741">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14:paraId="1BAD030D">
      <w:pPr>
        <w:numPr>
          <w:ilvl w:val="0"/>
          <w:numId w:val="0"/>
        </w:numPr>
        <w:autoSpaceDE w:val="0"/>
        <w:autoSpaceDN w:val="0"/>
        <w:adjustRightInd w:val="0"/>
        <w:jc w:val="left"/>
        <w:rPr>
          <w:rFonts w:ascii="Times New Roman" w:hAnsi="Times New Roman" w:eastAsia="仿宋" w:cs="Times New Roman"/>
          <w:sz w:val="32"/>
          <w:szCs w:val="32"/>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616D9"/>
    <w:multiLevelType w:val="singleLevel"/>
    <w:tmpl w:val="FA6616D9"/>
    <w:lvl w:ilvl="0" w:tentative="0">
      <w:start w:val="1"/>
      <w:numFmt w:val="decimal"/>
      <w:suff w:val="nothing"/>
      <w:lvlText w:val="%1、"/>
      <w:lvlJc w:val="left"/>
    </w:lvl>
  </w:abstractNum>
  <w:abstractNum w:abstractNumId="1">
    <w:nsid w:val="6B6020B0"/>
    <w:multiLevelType w:val="singleLevel"/>
    <w:tmpl w:val="6B6020B0"/>
    <w:lvl w:ilvl="0" w:tentative="0">
      <w:start w:val="3"/>
      <w:numFmt w:val="chineseCounting"/>
      <w:suff w:val="nothing"/>
      <w:lvlText w:val="%1、"/>
      <w:lvlJc w:val="left"/>
      <w:pPr>
        <w:ind w:left="80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NlMTgyOGNjMDcxMDExZTMzODViNzVhZTEyY2YxYjkifQ=="/>
  </w:docVars>
  <w:rsids>
    <w:rsidRoot w:val="0027733F"/>
    <w:rsid w:val="00040FBA"/>
    <w:rsid w:val="0004490B"/>
    <w:rsid w:val="000604DF"/>
    <w:rsid w:val="000B6658"/>
    <w:rsid w:val="0013228E"/>
    <w:rsid w:val="0027733F"/>
    <w:rsid w:val="002E4731"/>
    <w:rsid w:val="003277EC"/>
    <w:rsid w:val="00456D84"/>
    <w:rsid w:val="006D7083"/>
    <w:rsid w:val="008003BA"/>
    <w:rsid w:val="00817B30"/>
    <w:rsid w:val="00F171F2"/>
    <w:rsid w:val="25E831C6"/>
    <w:rsid w:val="50E453C1"/>
    <w:rsid w:val="603100F9"/>
    <w:rsid w:val="68535FC5"/>
    <w:rsid w:val="69555510"/>
    <w:rsid w:val="76EC7F1E"/>
    <w:rsid w:val="77A07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paragraph" w:customStyle="1" w:styleId="8">
    <w:name w:val="Char"/>
    <w:basedOn w:val="1"/>
    <w:qFormat/>
    <w:uiPriority w:val="0"/>
    <w:rPr>
      <w:rFonts w:ascii="Times New Roman" w:hAnsi="Times New Roman" w:cs="Times New Roman"/>
      <w:szCs w:val="24"/>
    </w:rPr>
  </w:style>
  <w:style w:type="character" w:customStyle="1" w:styleId="9">
    <w:name w:val="页脚 Char"/>
    <w:link w:val="2"/>
    <w:semiHidden/>
    <w:qFormat/>
    <w:uiPriority w:val="0"/>
    <w:rPr>
      <w:rFonts w:ascii="Times New Roman" w:hAnsi="Times New Roman" w:eastAsia="宋体" w:cs="Times New Roman"/>
      <w:sz w:val="18"/>
      <w:szCs w:val="18"/>
    </w:rPr>
  </w:style>
  <w:style w:type="character" w:customStyle="1" w:styleId="10">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1716</Words>
  <Characters>1843</Characters>
  <Lines>66</Lines>
  <Paragraphs>18</Paragraphs>
  <TotalTime>0</TotalTime>
  <ScaleCrop>false</ScaleCrop>
  <LinksUpToDate>false</LinksUpToDate>
  <CharactersWithSpaces>1856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早开的晚霞。</cp:lastModifiedBy>
  <cp:lastPrinted>2017-02-09T01:57:00Z</cp:lastPrinted>
  <dcterms:modified xsi:type="dcterms:W3CDTF">2024-09-08T06:56:36Z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B35BF42BE66B420FA1CC883A0282BC5A</vt:lpwstr>
  </property>
</Properties>
</file>