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沙河市矿区办事处</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黑体" w:hAnsi="黑体" w:eastAsia="黑体" w:cs="Times New Roman"/>
          <w:sz w:val="32"/>
          <w:szCs w:val="32"/>
        </w:rPr>
      </w:pPr>
    </w:p>
    <w:p>
      <w:pPr>
        <w:tabs>
          <w:tab w:val="left" w:pos="4710"/>
        </w:tabs>
        <w:ind w:firstLine="640" w:firstLineChars="200"/>
        <w:rPr>
          <w:rFonts w:asciiTheme="majorEastAsia" w:hAnsiTheme="majorEastAsia" w:eastAsiaTheme="majorEastAsia"/>
          <w:color w:val="000000"/>
          <w:sz w:val="32"/>
        </w:rPr>
      </w:pPr>
      <w:r>
        <w:rPr>
          <w:rFonts w:hint="eastAsia" w:asciiTheme="majorEastAsia" w:hAnsiTheme="majorEastAsia" w:eastAsiaTheme="majorEastAsia"/>
          <w:color w:val="000000"/>
          <w:sz w:val="32"/>
        </w:rPr>
        <w:t>按照《</w:t>
      </w:r>
      <w:r>
        <w:rPr>
          <w:rFonts w:hint="eastAsia" w:asciiTheme="majorEastAsia" w:hAnsiTheme="majorEastAsia" w:eastAsiaTheme="majorEastAsia"/>
          <w:color w:val="000000"/>
          <w:sz w:val="32"/>
          <w:lang w:val="en-US" w:eastAsia="zh-CN"/>
        </w:rPr>
        <w:t>中华人民共和国</w:t>
      </w:r>
      <w:r>
        <w:rPr>
          <w:rFonts w:hint="eastAsia" w:asciiTheme="majorEastAsia" w:hAnsiTheme="majorEastAsia" w:eastAsiaTheme="majorEastAsia"/>
          <w:color w:val="000000"/>
          <w:sz w:val="32"/>
        </w:rPr>
        <w:t>预算法》《地方预决算公开操作规程》《河北省省级预算公开办法》规定和《关于做好20</w:t>
      </w:r>
      <w:r>
        <w:rPr>
          <w:rFonts w:hint="eastAsia" w:asciiTheme="majorEastAsia" w:hAnsiTheme="majorEastAsia" w:eastAsiaTheme="majorEastAsia"/>
          <w:color w:val="000000"/>
          <w:sz w:val="32"/>
          <w:lang w:val="en-US" w:eastAsia="zh-CN"/>
        </w:rPr>
        <w:t>20</w:t>
      </w:r>
      <w:r>
        <w:rPr>
          <w:rFonts w:hint="eastAsia" w:asciiTheme="majorEastAsia" w:hAnsiTheme="majorEastAsia" w:eastAsiaTheme="majorEastAsia"/>
          <w:color w:val="000000"/>
          <w:sz w:val="32"/>
        </w:rPr>
        <w:t>年部门预算公开工作的通知》的要求，现将矿区办事处20</w:t>
      </w:r>
      <w:r>
        <w:rPr>
          <w:rFonts w:hint="eastAsia" w:asciiTheme="majorEastAsia" w:hAnsiTheme="majorEastAsia" w:eastAsiaTheme="majorEastAsia"/>
          <w:color w:val="000000"/>
          <w:sz w:val="32"/>
          <w:lang w:val="en-US" w:eastAsia="zh-CN"/>
        </w:rPr>
        <w:t>20</w:t>
      </w:r>
      <w:r>
        <w:rPr>
          <w:rFonts w:hint="eastAsia" w:asciiTheme="majorEastAsia" w:hAnsiTheme="majorEastAsia" w:eastAsiaTheme="majorEastAsia"/>
          <w:color w:val="000000"/>
          <w:sz w:val="32"/>
        </w:rPr>
        <w:t>年部门预算公开如下：</w:t>
      </w:r>
    </w:p>
    <w:p>
      <w:pPr>
        <w:tabs>
          <w:tab w:val="left" w:pos="4710"/>
        </w:tabs>
        <w:rPr>
          <w:rFonts w:ascii="黑体" w:hAnsi="黑体" w:eastAsia="黑体" w:cs="Times New Roman"/>
          <w:sz w:val="32"/>
          <w:szCs w:val="32"/>
        </w:rPr>
      </w:pPr>
      <w:r>
        <w:rPr>
          <w:rFonts w:hint="eastAsia" w:ascii="黑体" w:hAnsi="黑体" w:eastAsia="黑体" w:cs="Times New Roman"/>
          <w:sz w:val="32"/>
          <w:szCs w:val="32"/>
        </w:rPr>
        <w:t>一、部门职责及机构设置情况</w:t>
      </w:r>
      <w:r>
        <w:rPr>
          <w:rFonts w:ascii="黑体" w:hAnsi="黑体" w:eastAsia="黑体" w:cs="Times New Roman"/>
          <w:sz w:val="32"/>
          <w:szCs w:val="32"/>
        </w:rPr>
        <w:tab/>
      </w:r>
    </w:p>
    <w:p>
      <w:pPr>
        <w:spacing w:line="610" w:lineRule="exact"/>
        <w:ind w:firstLine="640"/>
        <w:rPr>
          <w:rFonts w:ascii="黑体" w:hAnsi="黑体" w:eastAsia="黑体" w:cs="Times New Roman"/>
          <w:sz w:val="32"/>
          <w:szCs w:val="32"/>
        </w:rPr>
      </w:pPr>
      <w:r>
        <w:rPr>
          <w:rFonts w:hint="eastAsia" w:ascii="黑体" w:hAnsi="黑体" w:eastAsia="黑体" w:cs="Times New Roman"/>
          <w:sz w:val="32"/>
          <w:szCs w:val="32"/>
        </w:rPr>
        <w:t>部门</w:t>
      </w:r>
      <w:r>
        <w:rPr>
          <w:rFonts w:ascii="黑体" w:hAnsi="黑体" w:eastAsia="黑体" w:cs="Times New Roman"/>
          <w:sz w:val="32"/>
          <w:szCs w:val="32"/>
        </w:rPr>
        <w:t>职责：</w:t>
      </w:r>
      <w:r>
        <w:rPr>
          <w:rFonts w:hint="eastAsia" w:ascii="黑体" w:hAnsi="黑体" w:eastAsia="黑体" w:cs="Times New Roman"/>
          <w:sz w:val="32"/>
          <w:szCs w:val="32"/>
        </w:rPr>
        <w:t xml:space="preserve"> </w:t>
      </w:r>
    </w:p>
    <w:p>
      <w:pPr>
        <w:spacing w:line="610" w:lineRule="exact"/>
        <w:ind w:firstLine="640" w:firstLineChars="200"/>
        <w:rPr>
          <w:rFonts w:ascii="宋体" w:hAnsi="宋体"/>
          <w:sz w:val="32"/>
          <w:szCs w:val="32"/>
        </w:rPr>
      </w:pPr>
      <w:r>
        <w:rPr>
          <w:rFonts w:hint="eastAsia" w:ascii="宋体" w:hAnsi="宋体"/>
          <w:sz w:val="32"/>
          <w:szCs w:val="32"/>
        </w:rPr>
        <w:t>维护矿区安定，为矿区管理提供服务，负责协调全市矿山企业与所在乡（镇）村关系，解决因矿山开采造成农村土地塌陷、道路水渠损坏、房屋裂缝等农民的切身利益问题，得到合理赔偿，维护好矿区片安定团结局面。</w:t>
      </w:r>
    </w:p>
    <w:p>
      <w:pPr>
        <w:pStyle w:val="13"/>
        <w:spacing w:line="610" w:lineRule="exact"/>
        <w:ind w:left="640" w:firstLine="0" w:firstLineChars="0"/>
        <w:rPr>
          <w:rFonts w:ascii="宋体" w:hAnsi="宋体"/>
          <w:sz w:val="32"/>
          <w:szCs w:val="32"/>
        </w:rPr>
      </w:pPr>
      <w:r>
        <w:rPr>
          <w:rFonts w:hint="eastAsia" w:ascii="宋体" w:hAnsi="宋体"/>
          <w:sz w:val="32"/>
          <w:szCs w:val="32"/>
        </w:rPr>
        <w:t>承办市委、市政府交办的其它工作任务。</w:t>
      </w:r>
    </w:p>
    <w:p>
      <w:pPr>
        <w:ind w:firstLine="480" w:firstLineChars="150"/>
        <w:rPr>
          <w:rFonts w:ascii="宋体" w:hAnsi="宋体"/>
          <w:sz w:val="32"/>
          <w:szCs w:val="32"/>
        </w:rPr>
      </w:pPr>
      <w:r>
        <w:rPr>
          <w:rFonts w:hint="eastAsia" w:ascii="黑体" w:hAnsi="黑体" w:eastAsia="黑体" w:cs="Times New Roman"/>
          <w:sz w:val="32"/>
          <w:szCs w:val="32"/>
        </w:rPr>
        <w:t>机构设置</w:t>
      </w:r>
      <w:r>
        <w:rPr>
          <w:rFonts w:hint="eastAsia" w:ascii="宋体" w:hAnsi="宋体" w:cs="Times New Roman"/>
          <w:sz w:val="32"/>
          <w:szCs w:val="32"/>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30" w:type="dxa"/>
          </w:tcPr>
          <w:p>
            <w:pPr>
              <w:jc w:val="center"/>
            </w:pPr>
            <w:r>
              <w:rPr>
                <w:rFonts w:hint="eastAsia"/>
              </w:rPr>
              <w:t xml:space="preserve">                                          单位名称</w:t>
            </w:r>
          </w:p>
        </w:tc>
        <w:tc>
          <w:tcPr>
            <w:tcW w:w="2130" w:type="dxa"/>
          </w:tcPr>
          <w:p>
            <w:pPr>
              <w:jc w:val="center"/>
            </w:pPr>
            <w:r>
              <w:rPr>
                <w:rFonts w:hint="eastAsia"/>
              </w:rPr>
              <w:t xml:space="preserve">                                           单位性质</w:t>
            </w:r>
          </w:p>
        </w:tc>
        <w:tc>
          <w:tcPr>
            <w:tcW w:w="2131" w:type="dxa"/>
          </w:tcPr>
          <w:p>
            <w:pPr>
              <w:jc w:val="center"/>
            </w:pPr>
            <w:r>
              <w:rPr>
                <w:rFonts w:hint="eastAsia"/>
              </w:rPr>
              <w:t xml:space="preserve">                                             单位规格</w:t>
            </w:r>
          </w:p>
        </w:tc>
        <w:tc>
          <w:tcPr>
            <w:tcW w:w="2131" w:type="dxa"/>
          </w:tcPr>
          <w:p>
            <w:pPr>
              <w:jc w:val="center"/>
            </w:pPr>
            <w:r>
              <w:rPr>
                <w:rFonts w:hint="eastAsia"/>
              </w:rPr>
              <w:t xml:space="preserve">                                                 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30" w:type="dxa"/>
          </w:tcPr>
          <w:p/>
          <w:p>
            <w:pPr>
              <w:jc w:val="center"/>
            </w:pPr>
            <w:r>
              <w:rPr>
                <w:rFonts w:hint="eastAsia"/>
              </w:rPr>
              <w:t>沙河市人民政府矿区办事处</w:t>
            </w:r>
          </w:p>
        </w:tc>
        <w:tc>
          <w:tcPr>
            <w:tcW w:w="2130" w:type="dxa"/>
          </w:tcPr>
          <w:p>
            <w:pPr>
              <w:jc w:val="center"/>
            </w:pPr>
          </w:p>
          <w:p>
            <w:pPr>
              <w:jc w:val="center"/>
            </w:pPr>
            <w:r>
              <w:rPr>
                <w:rFonts w:hint="eastAsia"/>
              </w:rPr>
              <w:t>事业</w:t>
            </w:r>
          </w:p>
        </w:tc>
        <w:tc>
          <w:tcPr>
            <w:tcW w:w="2131" w:type="dxa"/>
          </w:tcPr>
          <w:p>
            <w:pPr>
              <w:jc w:val="center"/>
            </w:pPr>
          </w:p>
          <w:p>
            <w:pPr>
              <w:jc w:val="center"/>
            </w:pPr>
            <w:r>
              <w:rPr>
                <w:rFonts w:hint="eastAsia"/>
              </w:rPr>
              <w:t>正科级</w:t>
            </w:r>
          </w:p>
        </w:tc>
        <w:tc>
          <w:tcPr>
            <w:tcW w:w="2131" w:type="dxa"/>
          </w:tcPr>
          <w:p>
            <w:pPr>
              <w:jc w:val="center"/>
            </w:pPr>
          </w:p>
          <w:p>
            <w:pPr>
              <w:jc w:val="center"/>
            </w:pPr>
            <w:r>
              <w:rPr>
                <w:rFonts w:hint="eastAsia"/>
              </w:rPr>
              <w:t>财政拨款</w:t>
            </w:r>
          </w:p>
        </w:tc>
      </w:tr>
    </w:tbl>
    <w:p>
      <w:pPr>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宋体" w:hAnsi="宋体" w:cs="Times New Roman"/>
          <w:sz w:val="32"/>
          <w:szCs w:val="32"/>
        </w:rPr>
      </w:pPr>
      <w:r>
        <w:rPr>
          <w:rFonts w:ascii="宋体" w:hAnsi="宋体" w:cs="Times New Roman"/>
          <w:sz w:val="32"/>
          <w:szCs w:val="32"/>
        </w:rPr>
        <w:t>按照预算管理有关规定，目前我</w:t>
      </w:r>
      <w:r>
        <w:rPr>
          <w:rFonts w:hint="eastAsia" w:ascii="宋体" w:hAnsi="宋体" w:cs="Times New Roman"/>
          <w:sz w:val="32"/>
          <w:szCs w:val="32"/>
        </w:rPr>
        <w:t>市</w:t>
      </w:r>
      <w:r>
        <w:rPr>
          <w:rFonts w:ascii="宋体" w:hAnsi="宋体" w:cs="Times New Roman"/>
          <w:sz w:val="32"/>
          <w:szCs w:val="32"/>
        </w:rPr>
        <w:t>部门预算的编制实行综合预算制度，即全部收入和支出都反映的预算中</w:t>
      </w:r>
      <w:r>
        <w:rPr>
          <w:rFonts w:hint="eastAsia" w:ascii="宋体" w:hAnsi="宋体" w:cs="Times New Roman"/>
          <w:sz w:val="32"/>
          <w:szCs w:val="32"/>
        </w:rPr>
        <w:t>，</w:t>
      </w:r>
      <w:r>
        <w:rPr>
          <w:rFonts w:ascii="宋体" w:hAnsi="宋体" w:cs="Times New Roman"/>
          <w:sz w:val="32"/>
          <w:szCs w:val="32"/>
        </w:rPr>
        <w:t>单位的收支包含在部门预算中。</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收入说</w:t>
      </w:r>
      <w:r>
        <w:rPr>
          <w:rFonts w:hint="eastAsia" w:ascii="黑体" w:hAnsi="黑体" w:eastAsia="黑体" w:cs="Times New Roman"/>
          <w:sz w:val="32"/>
          <w:szCs w:val="32"/>
        </w:rPr>
        <w:t>明</w:t>
      </w:r>
    </w:p>
    <w:p>
      <w:pPr>
        <w:spacing w:line="610" w:lineRule="exact"/>
        <w:ind w:firstLine="640"/>
        <w:rPr>
          <w:rFonts w:ascii="宋体" w:hAnsi="宋体" w:cs="仿宋_GB2312"/>
          <w:sz w:val="32"/>
          <w:szCs w:val="32"/>
        </w:rPr>
      </w:pPr>
      <w:r>
        <w:rPr>
          <w:rFonts w:hint="eastAsia" w:ascii="宋体" w:hAnsi="宋体" w:cs="仿宋_GB2312"/>
          <w:sz w:val="32"/>
          <w:szCs w:val="32"/>
        </w:rPr>
        <w:t>反映本部门当年全部收入。20</w:t>
      </w:r>
      <w:r>
        <w:rPr>
          <w:rFonts w:hint="eastAsia" w:ascii="宋体" w:hAnsi="宋体" w:cs="仿宋_GB2312"/>
          <w:sz w:val="32"/>
          <w:szCs w:val="32"/>
          <w:lang w:val="en-US" w:eastAsia="zh-CN"/>
        </w:rPr>
        <w:t>20</w:t>
      </w:r>
      <w:r>
        <w:rPr>
          <w:rFonts w:hint="eastAsia" w:ascii="宋体" w:hAnsi="宋体" w:cs="仿宋_GB2312"/>
          <w:sz w:val="32"/>
          <w:szCs w:val="32"/>
        </w:rPr>
        <w:t>年预算收入</w:t>
      </w:r>
      <w:r>
        <w:rPr>
          <w:rFonts w:hint="eastAsia" w:ascii="宋体" w:hAnsi="宋体" w:cs="仿宋_GB2312"/>
          <w:sz w:val="32"/>
          <w:szCs w:val="32"/>
          <w:lang w:val="en-US" w:eastAsia="zh-CN"/>
        </w:rPr>
        <w:t>24.69</w:t>
      </w:r>
      <w:r>
        <w:rPr>
          <w:rFonts w:hint="eastAsia" w:ascii="宋体" w:hAnsi="宋体" w:cs="仿宋_GB2312"/>
          <w:sz w:val="32"/>
          <w:szCs w:val="32"/>
        </w:rPr>
        <w:t>万元，其中：一般公共预算收入</w:t>
      </w:r>
      <w:r>
        <w:rPr>
          <w:rFonts w:hint="eastAsia" w:ascii="宋体" w:hAnsi="宋体" w:cs="仿宋_GB2312"/>
          <w:sz w:val="32"/>
          <w:szCs w:val="32"/>
          <w:lang w:val="en-US" w:eastAsia="zh-CN"/>
        </w:rPr>
        <w:t>24.69</w:t>
      </w:r>
      <w:r>
        <w:rPr>
          <w:rFonts w:hint="eastAsia" w:ascii="宋体" w:hAnsi="宋体" w:cs="仿宋_GB2312"/>
          <w:sz w:val="32"/>
          <w:szCs w:val="32"/>
        </w:rPr>
        <w:t>万元，基金预算拨款0元。国有资本经营预算0元。</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支出说明</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收支预算总表支出栏、基本支出表、项目支出表按经济分类和支出功能分类科目编制，反映沙河市人民政府矿区办事处20</w:t>
      </w:r>
      <w:r>
        <w:rPr>
          <w:rFonts w:hint="eastAsia" w:ascii="宋体" w:hAnsi="宋体" w:cs="仿宋_GB2312"/>
          <w:sz w:val="32"/>
          <w:szCs w:val="32"/>
          <w:lang w:val="en-US" w:eastAsia="zh-CN"/>
        </w:rPr>
        <w:t>20</w:t>
      </w:r>
      <w:r>
        <w:rPr>
          <w:rFonts w:hint="eastAsia" w:ascii="宋体" w:hAnsi="宋体" w:cs="仿宋_GB2312"/>
          <w:sz w:val="32"/>
          <w:szCs w:val="32"/>
        </w:rPr>
        <w:t>年度部门预算中支出预算的总体情况。20</w:t>
      </w:r>
      <w:r>
        <w:rPr>
          <w:rFonts w:hint="eastAsia" w:ascii="宋体" w:hAnsi="宋体" w:cs="仿宋_GB2312"/>
          <w:sz w:val="32"/>
          <w:szCs w:val="32"/>
          <w:lang w:val="en-US" w:eastAsia="zh-CN"/>
        </w:rPr>
        <w:t>20</w:t>
      </w:r>
      <w:r>
        <w:rPr>
          <w:rFonts w:hint="eastAsia" w:ascii="宋体" w:hAnsi="宋体" w:cs="仿宋_GB2312"/>
          <w:sz w:val="32"/>
          <w:szCs w:val="32"/>
        </w:rPr>
        <w:t>年支出预算</w:t>
      </w:r>
      <w:r>
        <w:rPr>
          <w:rFonts w:hint="eastAsia" w:ascii="宋体" w:hAnsi="宋体" w:cs="仿宋_GB2312"/>
          <w:sz w:val="32"/>
          <w:szCs w:val="32"/>
          <w:lang w:val="en-US" w:eastAsia="zh-CN"/>
        </w:rPr>
        <w:t>24.69</w:t>
      </w:r>
      <w:r>
        <w:rPr>
          <w:rFonts w:hint="eastAsia" w:ascii="宋体" w:hAnsi="宋体" w:cs="仿宋_GB2312"/>
          <w:sz w:val="32"/>
          <w:szCs w:val="32"/>
        </w:rPr>
        <w:t>万元，其中</w:t>
      </w:r>
      <w:r>
        <w:rPr>
          <w:rFonts w:hint="eastAsia" w:ascii="宋体" w:hAnsi="宋体" w:cs="仿宋_GB2312"/>
          <w:sz w:val="32"/>
          <w:szCs w:val="32"/>
          <w:lang w:eastAsia="zh-CN"/>
        </w:rPr>
        <w:t>人员经费支出</w:t>
      </w:r>
      <w:r>
        <w:rPr>
          <w:rFonts w:hint="eastAsia" w:ascii="宋体" w:hAnsi="宋体" w:cs="仿宋_GB2312"/>
          <w:sz w:val="32"/>
          <w:szCs w:val="32"/>
          <w:lang w:val="en-US" w:eastAsia="zh-CN"/>
        </w:rPr>
        <w:t>19.83万元</w:t>
      </w:r>
      <w:r>
        <w:rPr>
          <w:rFonts w:hint="eastAsia" w:ascii="宋体" w:hAnsi="宋体" w:cs="仿宋_GB2312"/>
          <w:sz w:val="32"/>
          <w:szCs w:val="32"/>
        </w:rPr>
        <w:t>，</w:t>
      </w:r>
      <w:r>
        <w:rPr>
          <w:rFonts w:hint="eastAsia" w:ascii="宋体" w:hAnsi="宋体" w:cs="仿宋_GB2312"/>
          <w:sz w:val="32"/>
          <w:szCs w:val="32"/>
          <w:lang w:eastAsia="zh-CN"/>
        </w:rPr>
        <w:t>正常公用经费支出</w:t>
      </w:r>
      <w:r>
        <w:rPr>
          <w:rFonts w:hint="eastAsia" w:ascii="宋体" w:hAnsi="宋体" w:cs="仿宋_GB2312"/>
          <w:sz w:val="32"/>
          <w:szCs w:val="32"/>
          <w:lang w:val="en-US" w:eastAsia="zh-CN"/>
        </w:rPr>
        <w:t>2.16万元，</w:t>
      </w:r>
      <w:r>
        <w:rPr>
          <w:rFonts w:hint="eastAsia" w:ascii="宋体" w:hAnsi="宋体" w:cs="仿宋_GB2312"/>
          <w:sz w:val="32"/>
          <w:szCs w:val="32"/>
        </w:rPr>
        <w:t>项目支出</w:t>
      </w:r>
      <w:r>
        <w:rPr>
          <w:rFonts w:hint="eastAsia" w:ascii="宋体" w:hAnsi="宋体" w:cs="仿宋_GB2312"/>
          <w:sz w:val="32"/>
          <w:szCs w:val="32"/>
          <w:lang w:val="en-US" w:eastAsia="zh-CN"/>
        </w:rPr>
        <w:t>2.7</w:t>
      </w:r>
      <w:r>
        <w:rPr>
          <w:rFonts w:hint="eastAsia" w:ascii="宋体" w:hAnsi="宋体" w:cs="仿宋_GB2312"/>
          <w:sz w:val="32"/>
          <w:szCs w:val="32"/>
        </w:rPr>
        <w:t>万元，全部为本级支出的办事处协调经费。</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比上年增减情况</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20</w:t>
      </w:r>
      <w:r>
        <w:rPr>
          <w:rFonts w:hint="eastAsia" w:ascii="宋体" w:hAnsi="宋体" w:cs="仿宋_GB2312"/>
          <w:sz w:val="32"/>
          <w:szCs w:val="32"/>
          <w:lang w:val="en-US" w:eastAsia="zh-CN"/>
        </w:rPr>
        <w:t>20</w:t>
      </w:r>
      <w:r>
        <w:rPr>
          <w:rFonts w:hint="eastAsia" w:ascii="宋体" w:hAnsi="宋体" w:cs="仿宋_GB2312"/>
          <w:sz w:val="32"/>
          <w:szCs w:val="32"/>
        </w:rPr>
        <w:t>年预算收支安排</w:t>
      </w:r>
      <w:r>
        <w:rPr>
          <w:rFonts w:hint="eastAsia" w:ascii="宋体" w:hAnsi="宋体" w:cs="仿宋_GB2312"/>
          <w:sz w:val="32"/>
          <w:szCs w:val="32"/>
          <w:lang w:val="en-US" w:eastAsia="zh-CN"/>
        </w:rPr>
        <w:t>24.69</w:t>
      </w:r>
      <w:r>
        <w:rPr>
          <w:rFonts w:hint="eastAsia" w:ascii="宋体" w:hAnsi="宋体" w:cs="仿宋_GB2312"/>
          <w:sz w:val="32"/>
          <w:szCs w:val="32"/>
        </w:rPr>
        <w:t>万元，较201</w:t>
      </w:r>
      <w:r>
        <w:rPr>
          <w:rFonts w:hint="eastAsia" w:ascii="宋体" w:hAnsi="宋体" w:cs="仿宋_GB2312"/>
          <w:sz w:val="32"/>
          <w:szCs w:val="32"/>
          <w:lang w:val="en-US" w:eastAsia="zh-CN"/>
        </w:rPr>
        <w:t>9</w:t>
      </w:r>
      <w:r>
        <w:rPr>
          <w:rFonts w:hint="eastAsia" w:ascii="宋体" w:hAnsi="宋体" w:cs="仿宋_GB2312"/>
          <w:sz w:val="32"/>
          <w:szCs w:val="32"/>
        </w:rPr>
        <w:t>年预算增加</w:t>
      </w:r>
      <w:r>
        <w:rPr>
          <w:rFonts w:hint="eastAsia" w:ascii="宋体" w:hAnsi="宋体" w:cs="仿宋_GB2312"/>
          <w:sz w:val="32"/>
          <w:szCs w:val="32"/>
          <w:lang w:val="en-US" w:eastAsia="zh-CN"/>
        </w:rPr>
        <w:t>1.18</w:t>
      </w:r>
      <w:r>
        <w:rPr>
          <w:rFonts w:hint="eastAsia" w:ascii="宋体" w:hAnsi="宋体" w:cs="仿宋_GB2312"/>
          <w:sz w:val="32"/>
          <w:szCs w:val="32"/>
        </w:rPr>
        <w:t>万元，其</w:t>
      </w:r>
      <w:r>
        <w:rPr>
          <w:rFonts w:hint="eastAsia" w:ascii="宋体" w:hAnsi="宋体" w:cs="仿宋_GB2312"/>
          <w:sz w:val="32"/>
          <w:szCs w:val="32"/>
          <w:lang w:eastAsia="zh-CN"/>
        </w:rPr>
        <w:t>人员经费</w:t>
      </w:r>
      <w:r>
        <w:rPr>
          <w:rFonts w:hint="eastAsia" w:ascii="宋体" w:hAnsi="宋体" w:cs="仿宋_GB2312"/>
          <w:sz w:val="32"/>
          <w:szCs w:val="32"/>
        </w:rPr>
        <w:t>支出增加</w:t>
      </w:r>
      <w:r>
        <w:rPr>
          <w:rFonts w:hint="eastAsia" w:ascii="宋体" w:hAnsi="宋体" w:cs="仿宋_GB2312"/>
          <w:sz w:val="32"/>
          <w:szCs w:val="32"/>
          <w:lang w:val="en-US" w:eastAsia="zh-CN"/>
        </w:rPr>
        <w:t>1.18</w:t>
      </w:r>
      <w:r>
        <w:rPr>
          <w:rFonts w:hint="eastAsia" w:ascii="宋体" w:hAnsi="宋体" w:cs="仿宋_GB2312"/>
          <w:sz w:val="32"/>
          <w:szCs w:val="32"/>
        </w:rPr>
        <w:t>万元，主要原因为单位在职人员的工资调整，</w:t>
      </w:r>
      <w:r>
        <w:rPr>
          <w:rFonts w:hint="eastAsia" w:ascii="宋体" w:hAnsi="宋体" w:cs="仿宋_GB2312"/>
          <w:sz w:val="32"/>
          <w:szCs w:val="32"/>
          <w:lang w:eastAsia="zh-CN"/>
        </w:rPr>
        <w:t>正常公用经费增加</w:t>
      </w:r>
      <w:r>
        <w:rPr>
          <w:rFonts w:hint="eastAsia" w:ascii="宋体" w:hAnsi="宋体" w:cs="仿宋_GB2312"/>
          <w:sz w:val="32"/>
          <w:szCs w:val="32"/>
          <w:lang w:val="en-US" w:eastAsia="zh-CN"/>
        </w:rPr>
        <w:t>0.78万元，</w:t>
      </w:r>
      <w:r>
        <w:rPr>
          <w:rFonts w:hint="eastAsia" w:ascii="宋体" w:hAnsi="宋体" w:cs="仿宋_GB2312"/>
          <w:sz w:val="32"/>
          <w:szCs w:val="32"/>
        </w:rPr>
        <w:t>主要原因为增加</w:t>
      </w:r>
      <w:r>
        <w:rPr>
          <w:rFonts w:hint="eastAsia" w:ascii="宋体" w:hAnsi="宋体" w:cs="仿宋_GB2312"/>
          <w:sz w:val="32"/>
          <w:szCs w:val="32"/>
          <w:lang w:eastAsia="zh-CN"/>
        </w:rPr>
        <w:t>单位公务交通补贴</w:t>
      </w:r>
      <w:r>
        <w:rPr>
          <w:rFonts w:hint="eastAsia" w:ascii="宋体" w:hAnsi="宋体" w:cs="仿宋_GB2312"/>
          <w:sz w:val="32"/>
          <w:szCs w:val="32"/>
        </w:rPr>
        <w:t>。</w:t>
      </w:r>
      <w:r>
        <w:rPr>
          <w:rFonts w:hint="eastAsia" w:ascii="宋体" w:hAnsi="宋体" w:cs="仿宋_GB2312"/>
          <w:sz w:val="32"/>
          <w:szCs w:val="32"/>
          <w:lang w:eastAsia="zh-CN"/>
        </w:rPr>
        <w:t>项目</w:t>
      </w:r>
      <w:r>
        <w:rPr>
          <w:rFonts w:hint="eastAsia" w:ascii="宋体" w:hAnsi="宋体" w:cs="仿宋_GB2312"/>
          <w:sz w:val="32"/>
          <w:szCs w:val="32"/>
        </w:rPr>
        <w:t>支出</w:t>
      </w:r>
      <w:r>
        <w:rPr>
          <w:rFonts w:hint="eastAsia" w:ascii="宋体" w:hAnsi="宋体" w:cs="仿宋_GB2312"/>
          <w:sz w:val="32"/>
          <w:szCs w:val="32"/>
          <w:lang w:val="en-US" w:eastAsia="zh-CN"/>
        </w:rPr>
        <w:t>2.7万元，</w:t>
      </w:r>
      <w:r>
        <w:rPr>
          <w:rFonts w:hint="eastAsia" w:ascii="宋体" w:hAnsi="宋体" w:cs="仿宋_GB2312"/>
          <w:sz w:val="32"/>
          <w:szCs w:val="32"/>
        </w:rPr>
        <w:t>与201</w:t>
      </w:r>
      <w:r>
        <w:rPr>
          <w:rFonts w:hint="eastAsia" w:ascii="宋体" w:hAnsi="宋体" w:cs="仿宋_GB2312"/>
          <w:sz w:val="32"/>
          <w:szCs w:val="32"/>
          <w:lang w:val="en-US" w:eastAsia="zh-CN"/>
        </w:rPr>
        <w:t>9</w:t>
      </w:r>
      <w:r>
        <w:rPr>
          <w:rFonts w:hint="eastAsia" w:ascii="宋体" w:hAnsi="宋体" w:cs="仿宋_GB2312"/>
          <w:sz w:val="32"/>
          <w:szCs w:val="32"/>
        </w:rPr>
        <w:t>年</w:t>
      </w:r>
      <w:r>
        <w:rPr>
          <w:rFonts w:hint="eastAsia" w:ascii="宋体" w:hAnsi="宋体" w:cs="仿宋_GB2312"/>
          <w:sz w:val="32"/>
          <w:szCs w:val="32"/>
          <w:lang w:eastAsia="zh-CN"/>
        </w:rPr>
        <w:t>减少</w:t>
      </w:r>
      <w:r>
        <w:rPr>
          <w:rFonts w:hint="eastAsia" w:ascii="宋体" w:hAnsi="宋体" w:cs="仿宋_GB2312"/>
          <w:sz w:val="32"/>
          <w:szCs w:val="32"/>
          <w:lang w:val="en-US" w:eastAsia="zh-CN"/>
        </w:rPr>
        <w:t>0.3万元，原因为响应国家号召，压减办公经费支出</w:t>
      </w:r>
      <w:r>
        <w:rPr>
          <w:rFonts w:hint="eastAsia" w:ascii="宋体" w:hAnsi="宋体" w:cs="仿宋_GB2312"/>
          <w:sz w:val="32"/>
          <w:szCs w:val="32"/>
        </w:rPr>
        <w:t>。</w:t>
      </w:r>
    </w:p>
    <w:p>
      <w:pPr>
        <w:spacing w:line="610" w:lineRule="exact"/>
        <w:rPr>
          <w:rFonts w:ascii="黑体" w:hAnsi="黑体" w:eastAsia="黑体" w:cs="仿宋_GB2312"/>
          <w:sz w:val="32"/>
          <w:szCs w:val="32"/>
        </w:rPr>
      </w:pPr>
      <w:r>
        <w:rPr>
          <w:rFonts w:hint="eastAsia" w:ascii="黑体" w:hAnsi="黑体" w:eastAsia="黑体" w:cs="Times New Roman"/>
          <w:sz w:val="32"/>
          <w:szCs w:val="32"/>
        </w:rPr>
        <w:t>三、机关运行经费安排情况</w:t>
      </w:r>
    </w:p>
    <w:p>
      <w:pPr>
        <w:spacing w:line="610" w:lineRule="exact"/>
        <w:ind w:firstLine="640"/>
        <w:rPr>
          <w:rFonts w:ascii="宋体" w:hAnsi="宋体" w:cs="仿宋_GB2312"/>
          <w:sz w:val="32"/>
          <w:szCs w:val="32"/>
        </w:rPr>
      </w:pPr>
      <w:r>
        <w:rPr>
          <w:rFonts w:hint="eastAsia" w:ascii="宋体" w:hAnsi="宋体" w:cs="仿宋_GB2312"/>
          <w:sz w:val="32"/>
          <w:szCs w:val="32"/>
        </w:rPr>
        <w:t>机关运行经费安排</w:t>
      </w:r>
      <w:r>
        <w:rPr>
          <w:rFonts w:hint="eastAsia" w:ascii="宋体" w:hAnsi="宋体" w:cs="仿宋_GB2312"/>
          <w:sz w:val="32"/>
          <w:szCs w:val="32"/>
          <w:lang w:val="en-US" w:eastAsia="zh-CN"/>
        </w:rPr>
        <w:t>4.86</w:t>
      </w:r>
      <w:r>
        <w:rPr>
          <w:rFonts w:hint="eastAsia" w:ascii="宋体" w:hAnsi="宋体" w:cs="仿宋_GB2312"/>
          <w:sz w:val="32"/>
          <w:szCs w:val="32"/>
        </w:rPr>
        <w:t>万元，主要用于机关正常运转，办公支出。相比较201</w:t>
      </w:r>
      <w:r>
        <w:rPr>
          <w:rFonts w:hint="eastAsia" w:ascii="宋体" w:hAnsi="宋体" w:cs="仿宋_GB2312"/>
          <w:sz w:val="32"/>
          <w:szCs w:val="32"/>
          <w:lang w:val="en-US" w:eastAsia="zh-CN"/>
        </w:rPr>
        <w:t>9</w:t>
      </w:r>
      <w:r>
        <w:rPr>
          <w:rFonts w:hint="eastAsia" w:ascii="宋体" w:hAnsi="宋体" w:cs="仿宋_GB2312"/>
          <w:sz w:val="32"/>
          <w:szCs w:val="32"/>
        </w:rPr>
        <w:t>年增加</w:t>
      </w:r>
      <w:r>
        <w:rPr>
          <w:rFonts w:hint="eastAsia" w:ascii="宋体" w:hAnsi="宋体" w:cs="仿宋_GB2312"/>
          <w:sz w:val="32"/>
          <w:szCs w:val="32"/>
          <w:lang w:val="en-US" w:eastAsia="zh-CN"/>
        </w:rPr>
        <w:t>1.2</w:t>
      </w:r>
      <w:r>
        <w:rPr>
          <w:rFonts w:hint="eastAsia" w:ascii="宋体" w:hAnsi="宋体" w:cs="仿宋_GB2312"/>
          <w:sz w:val="32"/>
          <w:szCs w:val="32"/>
        </w:rPr>
        <w:t>万元，主要原因为单位增加</w:t>
      </w:r>
      <w:r>
        <w:rPr>
          <w:rFonts w:hint="eastAsia" w:ascii="宋体" w:hAnsi="宋体" w:cs="仿宋_GB2312"/>
          <w:sz w:val="32"/>
          <w:szCs w:val="32"/>
          <w:lang w:eastAsia="zh-CN"/>
        </w:rPr>
        <w:t>公务交通补贴、通讯补贴、乡镇补贴以及</w:t>
      </w:r>
      <w:r>
        <w:rPr>
          <w:rFonts w:hint="eastAsia" w:ascii="宋体" w:hAnsi="宋体" w:cs="仿宋_GB2312"/>
          <w:sz w:val="32"/>
          <w:szCs w:val="32"/>
        </w:rPr>
        <w:t>机关事业单位基本养老保险缴费和住房公积金缴费。</w:t>
      </w:r>
    </w:p>
    <w:p>
      <w:pPr>
        <w:spacing w:line="610" w:lineRule="exac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spacing w:line="610" w:lineRule="exact"/>
        <w:ind w:firstLine="800" w:firstLineChars="250"/>
        <w:rPr>
          <w:rFonts w:ascii="宋体" w:hAnsi="宋体" w:cs="仿宋_GB2312"/>
          <w:sz w:val="32"/>
          <w:szCs w:val="32"/>
        </w:rPr>
      </w:pPr>
      <w:r>
        <w:rPr>
          <w:rFonts w:hint="eastAsia" w:ascii="宋体" w:hAnsi="宋体" w:cs="仿宋_GB2312"/>
          <w:sz w:val="32"/>
          <w:szCs w:val="32"/>
        </w:rPr>
        <w:t>20</w:t>
      </w:r>
      <w:r>
        <w:rPr>
          <w:rFonts w:hint="eastAsia" w:ascii="宋体" w:hAnsi="宋体" w:cs="仿宋_GB2312"/>
          <w:sz w:val="32"/>
          <w:szCs w:val="32"/>
          <w:lang w:val="en-US" w:eastAsia="zh-CN"/>
        </w:rPr>
        <w:t>20</w:t>
      </w:r>
      <w:r>
        <w:rPr>
          <w:rFonts w:hint="eastAsia" w:ascii="宋体" w:hAnsi="宋体" w:cs="仿宋_GB2312"/>
          <w:sz w:val="32"/>
          <w:szCs w:val="32"/>
        </w:rPr>
        <w:t>年，我部门无“三公”经费预算安排。</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jc w:val="center"/>
        <w:rPr>
          <w:rFonts w:hint="eastAsia" w:ascii="方正小标宋_GBK" w:hAnsi="方正小标宋_GBK" w:eastAsia="方正小标宋_GBK" w:cs="方正小标宋_GBK"/>
          <w:b/>
          <w:sz w:val="44"/>
        </w:rPr>
      </w:pPr>
      <w:bookmarkStart w:id="0" w:name="_Toc471398463"/>
    </w:p>
    <w:p>
      <w:pPr>
        <w:jc w:val="center"/>
        <w:rPr>
          <w:rFonts w:hint="eastAsia" w:ascii="方正小标宋_GBK" w:hAnsi="方正小标宋_GBK" w:eastAsia="方正小标宋_GBK" w:cs="方正小标宋_GBK"/>
          <w:b/>
          <w:sz w:val="44"/>
        </w:rPr>
      </w:pPr>
    </w:p>
    <w:p>
      <w:pPr>
        <w:jc w:val="center"/>
        <w:rPr>
          <w:rFonts w:hint="eastAsia" w:ascii="Times New Roman" w:hAnsi="宋体" w:cs="宋体"/>
          <w:b/>
          <w:sz w:val="44"/>
        </w:rPr>
      </w:pPr>
      <w:r>
        <w:rPr>
          <w:rFonts w:hint="eastAsia" w:ascii="方正小标宋_GBK" w:hAnsi="方正小标宋_GBK" w:eastAsia="方正小标宋_GBK" w:cs="方正小标宋_GBK"/>
          <w:b/>
          <w:sz w:val="44"/>
        </w:rPr>
        <w:t>第一部分</w:t>
      </w:r>
    </w:p>
    <w:p>
      <w:pPr>
        <w:jc w:val="center"/>
        <w:outlineLvl w:val="0"/>
        <w:rPr>
          <w:rFonts w:hint="eastAsia" w:ascii="Times New Roman" w:hAnsi="宋体" w:cs="宋体"/>
          <w:b/>
          <w:sz w:val="44"/>
        </w:rPr>
      </w:pPr>
      <w:r>
        <w:rPr>
          <w:rFonts w:hint="eastAsia" w:ascii="方正小标宋_GBK" w:hAnsi="方正小标宋_GBK" w:eastAsia="方正小标宋_GBK" w:cs="方正小标宋_GBK"/>
          <w:b/>
          <w:sz w:val="44"/>
        </w:rPr>
        <w:t>部门整体绩效目标</w:t>
      </w:r>
    </w:p>
    <w:p>
      <w:pPr>
        <w:jc w:val="center"/>
        <w:rPr>
          <w:rFonts w:hint="eastAsia" w:ascii="Times New Roman" w:hAnsi="宋体" w:cs="宋体"/>
          <w:b/>
          <w:sz w:val="44"/>
        </w:rPr>
      </w:pPr>
      <w:r>
        <w:rPr>
          <w:rFonts w:hint="eastAsia" w:ascii="方正小标宋_GBK" w:hAnsi="方正小标宋_GBK" w:eastAsia="方正小标宋_GBK" w:cs="方正小标宋_GBK"/>
          <w:b/>
          <w:sz w:val="44"/>
        </w:rPr>
        <w:t xml:space="preserve"> </w:t>
      </w:r>
    </w:p>
    <w:p>
      <w:pPr>
        <w:ind w:firstLine="562" w:firstLineChars="200"/>
        <w:jc w:val="left"/>
        <w:outlineLvl w:val="1"/>
        <w:rPr>
          <w:rFonts w:hint="eastAsia" w:ascii="Times New Roman" w:hAnsi="宋体" w:cs="宋体"/>
          <w:b/>
          <w:sz w:val="28"/>
        </w:rPr>
      </w:pPr>
      <w:r>
        <w:rPr>
          <w:rFonts w:hint="eastAsia" w:ascii="方正黑体_GBK" w:hAnsi="方正黑体_GBK" w:eastAsia="方正黑体_GBK" w:cs="方正黑体_GBK"/>
          <w:b/>
          <w:sz w:val="28"/>
        </w:rPr>
        <w:t>一、总体绩效目标</w:t>
      </w:r>
      <w:bookmarkStart w:id="1" w:name="_Toc22497"/>
      <w:bookmarkStart w:id="2" w:name="_Toc28878"/>
      <w:r>
        <w:fldChar w:fldCharType="begin"/>
      </w:r>
      <w:r>
        <w:rPr>
          <w:rFonts w:hint="eastAsia" w:ascii="方正黑体_GBK" w:hAnsi="方正黑体_GBK" w:eastAsia="方正黑体_GBK" w:cs="方正黑体_GBK"/>
          <w:b/>
          <w:sz w:val="28"/>
        </w:rPr>
        <w:instrText xml:space="preserve"> TC 总体绩效目标 \f A \l 1 </w:instrText>
      </w:r>
      <w:r>
        <w:rPr>
          <w:rFonts w:hint="eastAsia" w:ascii="方正黑体_GBK" w:hAnsi="方正黑体_GBK" w:eastAsia="方正黑体_GBK" w:cs="方正黑体_GBK"/>
          <w:b/>
          <w:sz w:val="28"/>
        </w:rPr>
        <w:fldChar w:fldCharType="end"/>
      </w:r>
      <w:bookmarkEnd w:id="1"/>
      <w:bookmarkEnd w:id="2"/>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矿区办事处总体绩效目标</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矿区办在市委、市政府的正确领导下，坚持以习近平新时代中国特色社会主义思想为指导，以市委常规巡查为契机，以“不忘初心、牢记使命”主题</w:t>
      </w:r>
      <w:bookmarkStart w:id="8" w:name="_GoBack"/>
      <w:bookmarkEnd w:id="8"/>
      <w:r>
        <w:rPr>
          <w:rFonts w:hint="eastAsia" w:ascii="Times New Roman" w:hAnsi="方正仿宋_GBK" w:eastAsia="方正仿宋_GBK" w:cs="方正仿宋_GBK"/>
          <w:sz w:val="28"/>
        </w:rPr>
        <w:t>教育活动为载体，以年初部署工作任务为目标，切实增强“四个意识”、坚定“四个自信”、做到“两个维护”，守初心、担使命、找差距、抓落实，紧抓基层党建，狠抓作风建设，严抓日常工作，内抓管理，外树形象，扎实推进矿区办各项工作，强化部门建设，积极适应改革新常态，开创矿区办事处工作新局面。</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 xml:space="preserve">  一、协调解决好我市辖区内各国营矿因开采造成的地面土地塌陷，房屋裂缝，道路、桥梁、水渠等损坏赔偿问题。2020年工作目标为：1、协调解决显德汪矿关井后遗留问题（彻底解决南石岗5户受损房屋问题）。2、维修显德汪矿采区内受损的乡间道路。3、协调解决葛泉矿区内土地塌陷问题。4、协调解决葛泉矿采区内曹章、大油村、西油村等村村民房屋出现损坏问题。5、解决好因葛泉矿采煤在成曹章、大油村等村村民坟地出现塌陷损坏问题。                              </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二、做好市委、市政府安排的其</w:t>
      </w:r>
      <w:r>
        <w:rPr>
          <w:rFonts w:hint="eastAsia" w:ascii="Times New Roman" w:hAnsi="方正仿宋_GBK" w:eastAsia="方正仿宋_GBK" w:cs="方正仿宋_GBK"/>
          <w:sz w:val="28"/>
          <w:lang w:val="en-US" w:eastAsia="zh-CN"/>
        </w:rPr>
        <w:t>他</w:t>
      </w:r>
      <w:r>
        <w:rPr>
          <w:rFonts w:hint="eastAsia" w:ascii="Times New Roman" w:hAnsi="方正仿宋_GBK" w:eastAsia="方正仿宋_GBK" w:cs="方正仿宋_GBK"/>
          <w:sz w:val="28"/>
        </w:rPr>
        <w:t>工作。</w:t>
      </w:r>
    </w:p>
    <w:p>
      <w:pPr>
        <w:spacing w:line="500" w:lineRule="exact"/>
        <w:ind w:firstLine="560" w:firstLineChars="200"/>
        <w:jc w:val="left"/>
        <w:outlineLvl w:val="1"/>
        <w:rPr>
          <w:rFonts w:hint="eastAsia" w:ascii="方正黑体_GBK" w:hAnsi="方正黑体_GBK" w:eastAsia="方正黑体_GBK" w:cs="方正黑体_GBK"/>
          <w:sz w:val="28"/>
        </w:rPr>
      </w:pPr>
    </w:p>
    <w:p>
      <w:pPr>
        <w:spacing w:line="500" w:lineRule="exact"/>
        <w:ind w:firstLine="560" w:firstLineChars="200"/>
        <w:jc w:val="left"/>
        <w:outlineLvl w:val="1"/>
        <w:rPr>
          <w:rFonts w:hint="eastAsia" w:ascii="Times New Roman" w:hAnsi="宋体" w:cs="宋体"/>
          <w:sz w:val="28"/>
        </w:rPr>
      </w:pPr>
      <w:r>
        <w:rPr>
          <w:rFonts w:hint="eastAsia" w:ascii="方正黑体_GBK" w:hAnsi="方正黑体_GBK" w:eastAsia="方正黑体_GBK" w:cs="方正黑体_GBK"/>
          <w:sz w:val="28"/>
        </w:rPr>
        <w:t>二、分项绩效目标</w:t>
      </w:r>
      <w:bookmarkStart w:id="3" w:name="_Toc30487"/>
      <w:bookmarkStart w:id="4" w:name="_Toc15206"/>
      <w:r>
        <w:fldChar w:fldCharType="begin"/>
      </w:r>
      <w:r>
        <w:rPr>
          <w:rFonts w:hint="eastAsia" w:ascii="方正黑体_GBK" w:hAnsi="方正黑体_GBK" w:eastAsia="方正黑体_GBK" w:cs="方正黑体_GBK"/>
          <w:sz w:val="28"/>
        </w:rPr>
        <w:instrText xml:space="preserve"> TC 分项绩效目标 \f A \l 1 </w:instrText>
      </w:r>
      <w:r>
        <w:rPr>
          <w:rFonts w:hint="eastAsia" w:ascii="方正黑体_GBK" w:hAnsi="方正黑体_GBK" w:eastAsia="方正黑体_GBK" w:cs="方正黑体_GBK"/>
          <w:sz w:val="28"/>
        </w:rPr>
        <w:fldChar w:fldCharType="end"/>
      </w:r>
      <w:bookmarkEnd w:id="3"/>
      <w:bookmarkEnd w:id="4"/>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矿区办事处分项绩效目标情况说明</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部门职责：</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矿区办是市政府派出机构，宗旨为，维护矿区安定，为矿区管理提供服务，保障矿区片安定团结局面；承办市委</w:t>
      </w:r>
      <w:r>
        <w:rPr>
          <w:rFonts w:hint="eastAsia" w:ascii="Times New Roman" w:hAnsi="方正仿宋_GBK" w:eastAsia="方正仿宋_GBK" w:cs="方正仿宋_GBK"/>
          <w:sz w:val="28"/>
          <w:lang w:eastAsia="zh-CN"/>
        </w:rPr>
        <w:t>、</w:t>
      </w:r>
      <w:r>
        <w:rPr>
          <w:rFonts w:hint="eastAsia" w:ascii="Times New Roman" w:hAnsi="方正仿宋_GBK" w:eastAsia="方正仿宋_GBK" w:cs="方正仿宋_GBK"/>
          <w:sz w:val="28"/>
          <w:lang w:val="en-US" w:eastAsia="zh-CN"/>
        </w:rPr>
        <w:t>市</w:t>
      </w:r>
      <w:r>
        <w:rPr>
          <w:rFonts w:hint="eastAsia" w:ascii="Times New Roman" w:hAnsi="方正仿宋_GBK" w:eastAsia="方正仿宋_GBK" w:cs="方正仿宋_GBK"/>
          <w:sz w:val="28"/>
        </w:rPr>
        <w:t>政府交办的其它工作任务。</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绩效目标情况说明：</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1、我市辖区矿山企业较多，因常年开采，造成周边乡村的土地塌陷、房屋损坏，道路、桥梁、水渠等损毁情况日益严重，工农矛盾日渐激化，为缓解工农矛盾，不使矛盾升级，矿区办努力做好协调工作，协调因矿山开采造成的农村、农民的切身利益问题，解决因矿山开采造成的土地塌陷，道路、桥梁、水渠等损毁，房屋损坏等农民的切身利益问题，并得到合理的赔偿，维护矿山企业正常工作生产秩序，保障矿区片安定团结的政治局面。</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2、承办市委、市政府交办的其他工作任务。负责本单位值班工作，及时报告重大情况，有效保证突发事件处置。</w:t>
      </w:r>
    </w:p>
    <w:p>
      <w:pPr>
        <w:spacing w:line="500" w:lineRule="exact"/>
        <w:ind w:firstLine="560" w:firstLineChars="200"/>
        <w:jc w:val="left"/>
        <w:rPr>
          <w:rFonts w:hint="eastAsia" w:ascii="Times New Roman" w:hAnsi="方正仿宋_GBK" w:eastAsia="方正仿宋_GBK" w:cs="方正仿宋_GBK"/>
          <w:sz w:val="28"/>
        </w:rPr>
      </w:pPr>
    </w:p>
    <w:p>
      <w:pPr>
        <w:spacing w:line="500" w:lineRule="exact"/>
        <w:ind w:firstLine="560" w:firstLineChars="200"/>
        <w:jc w:val="left"/>
        <w:outlineLvl w:val="1"/>
        <w:rPr>
          <w:rFonts w:hint="eastAsia" w:ascii="Times New Roman" w:hAnsi="宋体" w:cs="宋体"/>
          <w:sz w:val="28"/>
        </w:rPr>
      </w:pPr>
      <w:r>
        <w:rPr>
          <w:rFonts w:hint="eastAsia" w:ascii="方正黑体_GBK" w:hAnsi="方正黑体_GBK" w:eastAsia="方正黑体_GBK" w:cs="方正黑体_GBK"/>
          <w:sz w:val="28"/>
        </w:rPr>
        <w:t>三、工作保障措施</w:t>
      </w:r>
      <w:bookmarkStart w:id="5" w:name="_Toc15514"/>
      <w:bookmarkStart w:id="6" w:name="_Toc1458"/>
      <w:r>
        <w:fldChar w:fldCharType="begin"/>
      </w:r>
      <w:r>
        <w:rPr>
          <w:rFonts w:hint="eastAsia" w:ascii="方正黑体_GBK" w:hAnsi="方正黑体_GBK" w:eastAsia="方正黑体_GBK" w:cs="方正黑体_GBK"/>
          <w:sz w:val="28"/>
        </w:rPr>
        <w:instrText xml:space="preserve"> TC 工作保障措施 \f A \l 1 </w:instrText>
      </w:r>
      <w:r>
        <w:rPr>
          <w:rFonts w:hint="eastAsia" w:ascii="方正黑体_GBK" w:hAnsi="方正黑体_GBK" w:eastAsia="方正黑体_GBK" w:cs="方正黑体_GBK"/>
          <w:sz w:val="28"/>
        </w:rPr>
        <w:fldChar w:fldCharType="end"/>
      </w:r>
      <w:bookmarkEnd w:id="5"/>
      <w:bookmarkEnd w:id="6"/>
    </w:p>
    <w:p>
      <w:pPr>
        <w:spacing w:line="500" w:lineRule="exact"/>
        <w:ind w:firstLine="560" w:firstLineChars="200"/>
        <w:jc w:val="left"/>
        <w:rPr>
          <w:rFonts w:hint="eastAsia" w:ascii="Times New Roman" w:hAnsi="方正仿宋_GBK" w:eastAsia="方正仿宋_GBK" w:cs="方正仿宋_GBK"/>
          <w:sz w:val="28"/>
          <w:lang w:eastAsia="zh-CN"/>
        </w:rPr>
      </w:pPr>
      <w:r>
        <w:rPr>
          <w:rFonts w:hint="eastAsia" w:ascii="Times New Roman" w:hAnsi="方正仿宋_GBK" w:eastAsia="方正仿宋_GBK" w:cs="方正仿宋_GBK"/>
          <w:sz w:val="28"/>
        </w:rPr>
        <w:t>矿区办事处工作保障措施</w:t>
      </w:r>
      <w:r>
        <w:rPr>
          <w:rFonts w:hint="eastAsia" w:ascii="Times New Roman" w:hAnsi="方正仿宋_GBK" w:eastAsia="方正仿宋_GBK" w:cs="方正仿宋_GBK"/>
          <w:sz w:val="28"/>
          <w:lang w:eastAsia="zh-CN"/>
        </w:rPr>
        <w:t>：</w:t>
      </w:r>
    </w:p>
    <w:p>
      <w:pPr>
        <w:spacing w:line="500" w:lineRule="exact"/>
        <w:ind w:firstLine="560" w:firstLineChars="20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在市委市政府的正确领导下，矿区办深入学习贯彻党的十九大精神，贯彻落实省委、市委安排部署，积极开展“走新路、有作为、创亮点、守底线“解放思想大讨论活动，全面提升机关作风，认真组织学习《准则》和《条例》，把学习《准则》和《条例》与当前工作有机结合，做到相互促进。通过学习不断提高单位党员干部的政治理论素养，提高战略思维、驾驭全局和处理复杂问题的能力，凝心聚力协调解决显德汪矿、章村矿、葛泉矿因矿山开采造成的周边乡村的土地塌陷问题，房屋裂缝问题，水渠道路损坏等问题，并使涉及到的村庄及群众的切身利益问题得到合理的赔偿。为保障群众的切身利益，维护矿区安定，使群众切身利益问题得到合理赔偿，矿区办事处坚持“以人为本，持续发展”的原则，着力解决矿区周边群众最关心、最直接、最现实的利益问题，在办实事，求实效上下功夫，坚持从实际出发，制定合乎现实、切实可行的规划和措施，积极稳妥地推进矿区片的和谐安定局面。坚持“预防为主，防治结合”的原则，在调查研究的基础上，查处存在和潜在的不和谐因素，采取积极有效的措施消除和预防不利于工农关系的因素。坚持“突出重点，分步实施”的原则，尊重社会发展规律，制定科学的建设规划，明确重点，分步实施，扎实推进。</w:t>
      </w:r>
    </w:p>
    <w:p>
      <w:pPr>
        <w:spacing w:line="500" w:lineRule="exact"/>
        <w:ind w:firstLine="560" w:firstLineChars="200"/>
        <w:jc w:val="left"/>
        <w:rPr>
          <w:rFonts w:hint="eastAsia" w:ascii="Times New Roman" w:hAnsi="方正仿宋_GBK" w:eastAsia="方正仿宋_GBK" w:cs="方正仿宋_GBK"/>
          <w:sz w:val="28"/>
        </w:rPr>
      </w:pPr>
    </w:p>
    <w:p>
      <w:pPr>
        <w:spacing w:line="500" w:lineRule="exact"/>
        <w:ind w:firstLine="560" w:firstLineChars="200"/>
        <w:jc w:val="left"/>
        <w:rPr>
          <w:rFonts w:hint="eastAsia" w:ascii="Times New Roman" w:hAnsi="方正仿宋_GBK" w:eastAsia="方正仿宋_GBK" w:cs="方正仿宋_GBK"/>
          <w:sz w:val="28"/>
        </w:rPr>
      </w:pPr>
    </w:p>
    <w:p>
      <w:pPr>
        <w:rPr>
          <w:rFonts w:hint="eastAsia" w:ascii="Times New Roman" w:hAnsi="宋体" w:cs="宋体"/>
          <w:sz w:val="52"/>
        </w:rPr>
      </w:pPr>
    </w:p>
    <w:p>
      <w:pPr>
        <w:rPr>
          <w:rFonts w:hint="eastAsia" w:ascii="Times New Roman" w:hAnsi="宋体" w:cs="宋体"/>
          <w:sz w:val="52"/>
        </w:rPr>
      </w:pPr>
      <w:r>
        <w:rPr>
          <w:rFonts w:hint="eastAsia" w:ascii="方正小标宋_GBK" w:hAnsi="方正小标宋_GBK" w:eastAsia="方正小标宋_GBK" w:cs="方正小标宋_GBK"/>
          <w:sz w:val="52"/>
        </w:rPr>
        <w:t xml:space="preserve"> </w:t>
      </w: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Times New Roman" w:hAnsi="宋体" w:cs="宋体"/>
          <w:sz w:val="44"/>
        </w:rPr>
      </w:pPr>
      <w:r>
        <w:rPr>
          <w:rFonts w:hint="eastAsia" w:ascii="方正小标宋_GBK" w:hAnsi="方正小标宋_GBK" w:eastAsia="方正小标宋_GBK" w:cs="方正小标宋_GBK"/>
          <w:sz w:val="44"/>
        </w:rPr>
        <w:t>第二部分</w:t>
      </w:r>
    </w:p>
    <w:p>
      <w:pPr>
        <w:jc w:val="center"/>
        <w:rPr>
          <w:rFonts w:hint="eastAsia" w:ascii="Times New Roman" w:hAnsi="宋体" w:cs="宋体"/>
          <w:sz w:val="44"/>
        </w:rPr>
      </w:pPr>
      <w:r>
        <w:rPr>
          <w:rFonts w:hint="eastAsia" w:ascii="方正小标宋_GBK" w:hAnsi="方正小标宋_GBK" w:eastAsia="方正小标宋_GBK" w:cs="方正小标宋_GBK"/>
          <w:sz w:val="44"/>
        </w:rPr>
        <w:t xml:space="preserve"> </w:t>
      </w:r>
    </w:p>
    <w:p>
      <w:pPr>
        <w:jc w:val="center"/>
        <w:outlineLvl w:val="0"/>
        <w:rPr>
          <w:rFonts w:hint="eastAsia" w:ascii="Times New Roman" w:hAnsi="宋体" w:cs="宋体"/>
          <w:sz w:val="44"/>
        </w:rPr>
      </w:pPr>
      <w:r>
        <w:rPr>
          <w:rFonts w:hint="eastAsia" w:ascii="方正小标宋_GBK" w:hAnsi="方正小标宋_GBK" w:eastAsia="方正小标宋_GBK" w:cs="方正小标宋_GBK"/>
          <w:sz w:val="44"/>
        </w:rPr>
        <w:t>预算项目绩效目标</w:t>
      </w:r>
    </w:p>
    <w:p>
      <w:pPr>
        <w:jc w:val="center"/>
        <w:rPr>
          <w:rFonts w:hint="eastAsia" w:ascii="Times New Roman" w:hAnsi="宋体" w:cs="宋体"/>
        </w:rPr>
      </w:pPr>
      <w:r>
        <w:rPr>
          <w:rFonts w:hint="eastAsia" w:ascii="方正书宋_GBK" w:hAnsi="方正书宋_GBK" w:eastAsia="方正书宋_GBK" w:cs="方正书宋_GBK"/>
        </w:rPr>
        <w:t xml:space="preserve"> </w:t>
      </w:r>
    </w:p>
    <w:p>
      <w:pPr>
        <w:jc w:val="center"/>
        <w:rPr>
          <w:rFonts w:hint="eastAsia"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jc w:val="center"/>
        <w:rPr>
          <w:rFonts w:hint="eastAsia" w:ascii="方正书宋_GBK" w:hAnsi="方正书宋_GBK" w:eastAsia="方正书宋_GBK" w:cs="方正书宋_GBK"/>
        </w:rPr>
      </w:pPr>
    </w:p>
    <w:p>
      <w:pPr>
        <w:ind w:firstLine="562" w:firstLineChars="200"/>
        <w:jc w:val="left"/>
        <w:outlineLvl w:val="1"/>
        <w:rPr>
          <w:rFonts w:hint="eastAsia" w:ascii="Times New Roman" w:hAnsi="宋体" w:cs="宋体"/>
          <w:b/>
          <w:sz w:val="28"/>
        </w:rPr>
      </w:pPr>
      <w:r>
        <w:rPr>
          <w:rFonts w:hint="eastAsia" w:ascii="方正仿宋_GBK" w:hAnsi="方正仿宋_GBK" w:eastAsia="方正仿宋_GBK" w:cs="方正仿宋_GBK"/>
          <w:b/>
          <w:sz w:val="28"/>
        </w:rPr>
        <w:t>1、矿区协调经费绩效目标表</w:t>
      </w:r>
      <w:bookmarkStart w:id="7" w:name="_Toc18821"/>
      <w:r>
        <w:fldChar w:fldCharType="begin"/>
      </w:r>
      <w:r>
        <w:rPr>
          <w:rFonts w:hint="eastAsia" w:ascii="方正仿宋_GBK" w:hAnsi="方正仿宋_GBK" w:eastAsia="方正仿宋_GBK" w:cs="方正仿宋_GBK"/>
          <w:b/>
          <w:sz w:val="28"/>
        </w:rPr>
        <w:instrText xml:space="preserve"> TC 1、矿区协调经费绩效目标表 \f C \l 1 </w:instrText>
      </w:r>
      <w:r>
        <w:rPr>
          <w:rFonts w:hint="eastAsia" w:ascii="方正仿宋_GBK" w:hAnsi="方正仿宋_GBK" w:eastAsia="方正仿宋_GBK" w:cs="方正仿宋_GBK"/>
          <w:b/>
          <w:sz w:val="28"/>
        </w:rPr>
        <w:fldChar w:fldCharType="end"/>
      </w:r>
      <w:bookmarkEnd w:id="7"/>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151002沙河市人民政府矿区办事处</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151-0101-JXN-OQ48</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矿区协调经费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2.70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2.70</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8279" w:type="dxa"/>
            <w:gridSpan w:val="6"/>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用于协调全市矿山企业与所在乡（镇）村的关系；调解企业和农村群众的纠纷，维护矿山企业正常的工作、生产秩序；解决因矿山开采造成的土地塌陷、道路、水渠损坏、房屋裂缝等农村农民的切身利益问题，并得到合理赔偿，维护好矿区片安定有序的政治局面；承办市委、市政府交办的其它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资金支出计划（%）</w:t>
            </w: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3月底</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6月底</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10月底</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top"/>
          </w:tcPr>
          <w:p>
            <w:pPr>
              <w:spacing w:line="300" w:lineRule="exact"/>
              <w:jc w:val="left"/>
              <w:outlineLvl w:val="1"/>
              <w:rPr>
                <w:rFonts w:hint="eastAsia" w:ascii="方正仿宋_GBK" w:hAnsi="方正仿宋_GBK" w:eastAsia="方正仿宋_GBK" w:cs="方正仿宋_GBK"/>
                <w:b/>
                <w:sz w:val="28"/>
              </w:rPr>
            </w:pPr>
          </w:p>
        </w:tc>
        <w:tc>
          <w:tcPr>
            <w:tcW w:w="2410"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588"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130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c>
          <w:tcPr>
            <w:tcW w:w="2977" w:type="dxa"/>
            <w:gridSpan w:val="2"/>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1、保障全市矿山企业因开采造成的周边乡村土地塌陷，房屋、道路、水渠损坏问题得到合理赔偿。</w:t>
            </w:r>
          </w:p>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2、承办市委、市政府交办的其它任务。</w:t>
            </w:r>
          </w:p>
        </w:tc>
      </w:tr>
    </w:tbl>
    <w:p>
      <w:pPr>
        <w:spacing w:line="14" w:lineRule="exact"/>
        <w:ind w:firstLine="422" w:firstLineChars="200"/>
        <w:jc w:val="center"/>
        <w:rPr>
          <w:rFonts w:hint="eastAsia" w:ascii="Times New Roman" w:hAnsi="宋体" w:cs="宋体"/>
          <w:b/>
        </w:rPr>
      </w:pPr>
      <w:r>
        <w:rPr>
          <w:rFonts w:hint="eastAsia" w:ascii="方正书宋_GBK" w:hAnsi="方正书宋_GBK" w:eastAsia="方正书宋_GBK" w:cs="方正书宋_GBK"/>
          <w:b/>
        </w:rPr>
        <w:t xml:space="preserve"> </w:t>
      </w:r>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覆盖率</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矿山企业已开采造成的周边群众的土地塌陷、道路、水渠损坏房屋裂缝等农村群众户数。</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≥98所涉及户数的摸排。</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社会稳定水平</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维护好矿区片安定团结的政治局面</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≥90矿区开采造成周边土地塌陷等农村群众的的问题，并的到合理赔偿</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群众满意度</w:t>
            </w:r>
          </w:p>
        </w:tc>
        <w:tc>
          <w:tcPr>
            <w:tcW w:w="2892"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矿山开采造成周边农村群众土地塌陷、道路、水渠损坏、房屋裂缝等问题，并得到合理赔偿。</w:t>
            </w:r>
          </w:p>
        </w:tc>
        <w:tc>
          <w:tcPr>
            <w:tcW w:w="1276" w:type="dxa"/>
            <w:noWrap w:val="0"/>
            <w:vAlign w:val="center"/>
          </w:tcPr>
          <w:p>
            <w:pPr>
              <w:spacing w:line="300" w:lineRule="exact"/>
              <w:jc w:val="left"/>
              <w:rPr>
                <w:rFonts w:hint="eastAsia" w:ascii="方正书宋_GBK" w:hAnsi="方正书宋_GBK" w:eastAsia="方正书宋_GBK" w:cs="方正书宋_GBK"/>
                <w:b/>
              </w:rPr>
            </w:pPr>
            <w:r>
              <w:rPr>
                <w:rFonts w:hint="eastAsia" w:ascii="方正书宋_GBK" w:hAnsi="方正书宋_GBK" w:eastAsia="方正书宋_GBK" w:cs="方正书宋_GBK"/>
                <w:b/>
              </w:rPr>
              <w:t>≥90年度各矿周边因开采造成的土地塌陷，房屋裂缝等问题群众得到合理赔偿的完成比例。</w:t>
            </w:r>
          </w:p>
        </w:tc>
        <w:tc>
          <w:tcPr>
            <w:tcW w:w="1701" w:type="dxa"/>
            <w:noWrap w:val="0"/>
            <w:vAlign w:val="center"/>
          </w:tcPr>
          <w:p>
            <w:pPr>
              <w:spacing w:line="300" w:lineRule="exact"/>
              <w:jc w:val="left"/>
              <w:rPr>
                <w:rFonts w:hint="eastAsia" w:ascii="方正书宋_GBK" w:hAnsi="方正书宋_GBK" w:eastAsia="方正书宋_GBK" w:cs="方正书宋_GBK"/>
                <w:b/>
              </w:rPr>
            </w:pPr>
          </w:p>
        </w:tc>
      </w:tr>
    </w:tbl>
    <w:p>
      <w:pPr>
        <w:spacing w:line="500" w:lineRule="exact"/>
        <w:ind w:firstLine="560" w:firstLineChars="200"/>
        <w:jc w:val="left"/>
        <w:rPr>
          <w:rFonts w:hint="eastAsia" w:ascii="Times New Roman" w:hAnsi="方正仿宋_GBK" w:eastAsia="方正仿宋_GBK" w:cs="方正仿宋_GBK"/>
          <w:sz w:val="28"/>
        </w:rPr>
        <w:sectPr>
          <w:footerReference r:id="rId3" w:type="default"/>
          <w:pgSz w:w="11906" w:h="16838"/>
          <w:pgMar w:top="1984" w:right="1304" w:bottom="1134" w:left="1304" w:header="851" w:footer="992" w:gutter="0"/>
          <w:pgNumType w:start="1"/>
          <w:cols w:space="720" w:num="1"/>
          <w:docGrid w:type="lines" w:linePitch="312" w:charSpace="0"/>
        </w:sectPr>
      </w:pPr>
    </w:p>
    <w:p>
      <w:pPr>
        <w:pStyle w:val="14"/>
        <w:ind w:firstLine="640" w:firstLineChars="200"/>
        <w:rPr>
          <w:rFonts w:ascii="黑体" w:hAnsi="黑体" w:eastAsia="黑体"/>
          <w:sz w:val="32"/>
          <w:szCs w:val="32"/>
          <w:lang w:eastAsia="zh-CN"/>
        </w:rPr>
      </w:pPr>
    </w:p>
    <w:bookmarkEnd w:id="0"/>
    <w:p>
      <w:pPr>
        <w:pStyle w:val="14"/>
        <w:rPr>
          <w:rFonts w:ascii="宋体" w:hAnsi="宋体" w:cs="Times New Roman"/>
          <w:b/>
          <w:sz w:val="32"/>
          <w:szCs w:val="32"/>
        </w:rPr>
      </w:pPr>
    </w:p>
    <w:p>
      <w:pPr>
        <w:numPr>
          <w:ilvl w:val="0"/>
          <w:numId w:val="2"/>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autoSpaceDE w:val="0"/>
        <w:autoSpaceDN w:val="0"/>
        <w:adjustRightInd w:val="0"/>
        <w:ind w:firstLine="640" w:firstLineChars="200"/>
        <w:jc w:val="left"/>
        <w:rPr>
          <w:rFonts w:ascii="宋体" w:hAnsi="宋体" w:cs="Times New Roman"/>
          <w:sz w:val="32"/>
          <w:szCs w:val="32"/>
        </w:rPr>
      </w:pPr>
      <w:r>
        <w:rPr>
          <w:rFonts w:hint="eastAsia" w:ascii="宋体" w:hAnsi="宋体" w:cs="仿宋_GB2312"/>
          <w:sz w:val="32"/>
          <w:szCs w:val="32"/>
        </w:rPr>
        <w:t>20</w:t>
      </w:r>
      <w:r>
        <w:rPr>
          <w:rFonts w:hint="eastAsia" w:ascii="宋体" w:hAnsi="宋体" w:cs="仿宋_GB2312"/>
          <w:sz w:val="32"/>
          <w:szCs w:val="32"/>
          <w:lang w:val="en-US" w:eastAsia="zh-CN"/>
        </w:rPr>
        <w:t>20</w:t>
      </w:r>
      <w:r>
        <w:rPr>
          <w:rFonts w:hint="eastAsia" w:ascii="宋体" w:hAnsi="宋体" w:cs="仿宋_GB2312"/>
          <w:sz w:val="32"/>
          <w:szCs w:val="32"/>
        </w:rPr>
        <w:t>年，我部门未安排政府采购预算。</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沙河市人民政府矿区办事处上年末固定资产金额为2.79万元(详见下表)，其中房屋面积0平方米，价值0万元；车辆0辆，价值0万元，其他固定资产价值2.79万元。</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本年度无拟购置固定资产。</w:t>
      </w:r>
    </w:p>
    <w:p>
      <w:pPr>
        <w:spacing w:line="610" w:lineRule="exact"/>
        <w:ind w:firstLine="1675" w:firstLineChars="596"/>
        <w:rPr>
          <w:rFonts w:ascii="宋体" w:hAnsi="宋体" w:cs="仿宋_GB2312"/>
          <w:b/>
          <w:sz w:val="28"/>
          <w:szCs w:val="28"/>
        </w:rPr>
      </w:pPr>
      <w:r>
        <w:rPr>
          <w:rFonts w:hint="eastAsia" w:ascii="宋体" w:hAnsi="宋体" w:cs="仿宋_GB2312"/>
          <w:b/>
          <w:sz w:val="28"/>
          <w:szCs w:val="28"/>
        </w:rPr>
        <w:t>沙河市市直部门固定资产占用情况表</w:t>
      </w:r>
    </w:p>
    <w:p>
      <w:pPr>
        <w:spacing w:line="610" w:lineRule="exact"/>
        <w:jc w:val="left"/>
        <w:rPr>
          <w:rFonts w:ascii="宋体" w:hAnsi="宋体" w:cs="仿宋_GB2312"/>
          <w:szCs w:val="21"/>
        </w:rPr>
      </w:pPr>
      <w:r>
        <w:rPr>
          <w:rFonts w:hint="eastAsia" w:ascii="宋体" w:hAnsi="宋体" w:cs="仿宋_GB2312"/>
          <w:szCs w:val="21"/>
        </w:rPr>
        <w:t>编制部门：                                          截止时间：201</w:t>
      </w:r>
      <w:r>
        <w:rPr>
          <w:rFonts w:hint="eastAsia" w:ascii="宋体" w:hAnsi="宋体" w:cs="仿宋_GB2312"/>
          <w:szCs w:val="21"/>
          <w:lang w:val="en-US" w:eastAsia="zh-CN"/>
        </w:rPr>
        <w:t>9</w:t>
      </w:r>
      <w:r>
        <w:rPr>
          <w:rFonts w:hint="eastAsia" w:ascii="宋体" w:hAnsi="宋体" w:cs="仿宋_GB2312"/>
          <w:szCs w:val="21"/>
        </w:rPr>
        <w:t>年12月31日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jc w:val="center"/>
              <w:rPr>
                <w:rFonts w:ascii="宋体" w:hAnsi="宋体" w:cs="仿宋_GB2312"/>
                <w:szCs w:val="21"/>
              </w:rPr>
            </w:pPr>
            <w:r>
              <w:rPr>
                <w:rFonts w:hint="eastAsia" w:ascii="宋体" w:hAnsi="宋体" w:cs="仿宋_GB2312"/>
                <w:szCs w:val="21"/>
              </w:rPr>
              <w:t>项目</w:t>
            </w:r>
          </w:p>
        </w:tc>
        <w:tc>
          <w:tcPr>
            <w:tcW w:w="2841" w:type="dxa"/>
          </w:tcPr>
          <w:p>
            <w:pPr>
              <w:spacing w:line="610" w:lineRule="exact"/>
              <w:jc w:val="center"/>
              <w:rPr>
                <w:rFonts w:ascii="宋体" w:hAnsi="宋体" w:cs="仿宋_GB2312"/>
                <w:szCs w:val="21"/>
              </w:rPr>
            </w:pPr>
            <w:r>
              <w:rPr>
                <w:rFonts w:hint="eastAsia" w:ascii="宋体" w:hAnsi="宋体" w:cs="仿宋_GB2312"/>
                <w:szCs w:val="21"/>
              </w:rPr>
              <w:t>数量</w:t>
            </w:r>
          </w:p>
        </w:tc>
        <w:tc>
          <w:tcPr>
            <w:tcW w:w="2841" w:type="dxa"/>
          </w:tcPr>
          <w:p>
            <w:pPr>
              <w:spacing w:line="610" w:lineRule="exact"/>
              <w:jc w:val="center"/>
              <w:rPr>
                <w:rFonts w:ascii="宋体" w:hAnsi="宋体" w:cs="仿宋_GB2312"/>
                <w:szCs w:val="21"/>
              </w:rPr>
            </w:pPr>
            <w:r>
              <w:rPr>
                <w:rFonts w:hint="eastAsia" w:ascii="宋体" w:hAnsi="宋体" w:cs="仿宋_GB2312"/>
                <w:szCs w:val="21"/>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jc w:val="center"/>
              <w:rPr>
                <w:rFonts w:ascii="宋体" w:hAnsi="宋体" w:cs="仿宋_GB2312"/>
                <w:szCs w:val="21"/>
              </w:rPr>
            </w:pPr>
            <w:r>
              <w:rPr>
                <w:rFonts w:hint="eastAsia" w:ascii="宋体" w:hAnsi="宋体" w:cs="仿宋_GB2312"/>
                <w:szCs w:val="21"/>
              </w:rPr>
              <w:t>资产总额</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1、房屋（平方米）</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其中：办公用房（平方米）</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2、车辆（台、辆）</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3、单价在20万元以上设备</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4、其他固定资产</w:t>
            </w:r>
          </w:p>
        </w:tc>
        <w:tc>
          <w:tcPr>
            <w:tcW w:w="2841" w:type="dxa"/>
          </w:tcPr>
          <w:p>
            <w:pPr>
              <w:spacing w:line="610" w:lineRule="exact"/>
              <w:jc w:val="center"/>
              <w:rPr>
                <w:rFonts w:ascii="宋体" w:hAnsi="宋体" w:cs="仿宋_GB2312"/>
                <w:szCs w:val="21"/>
              </w:rPr>
            </w:pPr>
            <w:r>
              <w:rPr>
                <w:rFonts w:hint="eastAsia" w:ascii="宋体" w:hAnsi="宋体" w:cs="仿宋_GB2312"/>
                <w:szCs w:val="21"/>
              </w:rPr>
              <w:t>13</w:t>
            </w:r>
          </w:p>
        </w:tc>
        <w:tc>
          <w:tcPr>
            <w:tcW w:w="2841" w:type="dxa"/>
          </w:tcPr>
          <w:p>
            <w:pPr>
              <w:spacing w:line="610" w:lineRule="exact"/>
              <w:jc w:val="center"/>
              <w:rPr>
                <w:rFonts w:ascii="宋体" w:hAnsi="宋体" w:cs="仿宋_GB2312"/>
                <w:szCs w:val="21"/>
              </w:rPr>
            </w:pPr>
            <w:r>
              <w:rPr>
                <w:rFonts w:hint="eastAsia" w:ascii="宋体" w:hAnsi="宋体" w:cs="仿宋_GB2312"/>
                <w:szCs w:val="21"/>
              </w:rPr>
              <w:t>2.79</w:t>
            </w:r>
          </w:p>
        </w:tc>
      </w:tr>
    </w:tbl>
    <w:p>
      <w:pPr>
        <w:spacing w:line="610" w:lineRule="exact"/>
        <w:ind w:firstLine="640" w:firstLineChars="200"/>
        <w:rPr>
          <w:rFonts w:ascii="宋体" w:hAnsi="宋体" w:cs="仿宋_GB2312"/>
          <w:sz w:val="32"/>
          <w:szCs w:val="32"/>
        </w:rPr>
      </w:pPr>
      <w:r>
        <w:rPr>
          <w:rFonts w:hint="eastAsia" w:ascii="宋体" w:hAnsi="宋体" w:cs="仿宋_GB2312"/>
          <w:sz w:val="32"/>
          <w:szCs w:val="32"/>
        </w:rPr>
        <w:t>说明：单位其他固定资产为空调5台，办公桌椅6件，电脑和打印机各一台。</w:t>
      </w:r>
    </w:p>
    <w:p>
      <w:pPr>
        <w:numPr>
          <w:ilvl w:val="0"/>
          <w:numId w:val="3"/>
        </w:numPr>
        <w:spacing w:line="610" w:lineRule="exact"/>
        <w:rPr>
          <w:rFonts w:ascii="黑体" w:hAnsi="黑体" w:eastAsia="黑体"/>
          <w:sz w:val="32"/>
          <w:szCs w:val="32"/>
        </w:rPr>
      </w:pPr>
      <w:r>
        <w:rPr>
          <w:rFonts w:hint="eastAsia" w:ascii="黑体" w:hAnsi="黑体" w:eastAsia="黑体"/>
          <w:sz w:val="32"/>
          <w:szCs w:val="32"/>
        </w:rPr>
        <w:t>名词解释</w:t>
      </w:r>
    </w:p>
    <w:p>
      <w:pPr>
        <w:spacing w:line="610" w:lineRule="exact"/>
        <w:rPr>
          <w:rFonts w:ascii="宋体" w:hAnsi="宋体" w:cs="仿宋_GB2312"/>
          <w:sz w:val="32"/>
          <w:szCs w:val="32"/>
        </w:rPr>
      </w:pPr>
      <w:r>
        <w:rPr>
          <w:rFonts w:hint="eastAsia" w:ascii="仿宋_GB2312" w:hAnsi="仿宋_GB2312" w:eastAsia="仿宋_GB2312" w:cs="仿宋_GB2312"/>
          <w:sz w:val="32"/>
          <w:szCs w:val="32"/>
        </w:rPr>
        <w:t xml:space="preserve">    </w:t>
      </w:r>
      <w:r>
        <w:rPr>
          <w:rFonts w:hint="eastAsia" w:ascii="宋体" w:hAnsi="宋体" w:cs="仿宋_GB2312"/>
          <w:bCs/>
          <w:sz w:val="32"/>
          <w:szCs w:val="32"/>
        </w:rPr>
        <w:t>财政拨款收入：</w:t>
      </w:r>
      <w:r>
        <w:rPr>
          <w:rFonts w:hint="eastAsia" w:ascii="宋体" w:hAnsi="宋体" w:cs="仿宋_GB2312"/>
          <w:sz w:val="32"/>
          <w:szCs w:val="32"/>
        </w:rPr>
        <w:t xml:space="preserve">指从本级财政当年拨付给部门的资金。 </w:t>
      </w:r>
    </w:p>
    <w:p>
      <w:pPr>
        <w:spacing w:line="610" w:lineRule="exact"/>
        <w:rPr>
          <w:rFonts w:ascii="宋体" w:hAnsi="宋体" w:cs="仿宋_GB2312"/>
          <w:sz w:val="32"/>
          <w:szCs w:val="32"/>
        </w:rPr>
      </w:pPr>
      <w:r>
        <w:rPr>
          <w:rFonts w:hint="eastAsia" w:ascii="宋体" w:hAnsi="宋体" w:cs="仿宋_GB2312"/>
          <w:sz w:val="32"/>
          <w:szCs w:val="32"/>
        </w:rPr>
        <w:t>　　</w:t>
      </w:r>
      <w:r>
        <w:rPr>
          <w:rFonts w:hint="eastAsia" w:ascii="宋体" w:hAnsi="宋体" w:cs="仿宋_GB2312"/>
          <w:bCs/>
          <w:sz w:val="32"/>
          <w:szCs w:val="32"/>
        </w:rPr>
        <w:t>基本支出：</w:t>
      </w:r>
      <w:r>
        <w:rPr>
          <w:rFonts w:hint="eastAsia" w:ascii="宋体" w:hAnsi="宋体" w:cs="仿宋_GB2312"/>
          <w:sz w:val="32"/>
          <w:szCs w:val="32"/>
        </w:rPr>
        <w:t xml:space="preserve">指为保障机构正常运转、完成日常工作任务而发生的人员支出和公用支出。 </w:t>
      </w:r>
    </w:p>
    <w:p>
      <w:pPr>
        <w:spacing w:line="610" w:lineRule="exact"/>
        <w:rPr>
          <w:rFonts w:ascii="宋体" w:hAnsi="宋体" w:cs="仿宋_GB2312"/>
          <w:sz w:val="32"/>
          <w:szCs w:val="32"/>
        </w:rPr>
      </w:pPr>
      <w:r>
        <w:rPr>
          <w:rFonts w:hint="eastAsia" w:ascii="仿宋_GB2312" w:hAnsi="仿宋_GB2312" w:eastAsia="仿宋_GB2312" w:cs="仿宋_GB2312"/>
          <w:sz w:val="32"/>
          <w:szCs w:val="32"/>
        </w:rPr>
        <w:t>　　</w:t>
      </w:r>
      <w:r>
        <w:rPr>
          <w:rFonts w:hint="eastAsia" w:ascii="宋体" w:hAnsi="宋体" w:cs="仿宋_GB2312"/>
          <w:bCs/>
          <w:sz w:val="32"/>
          <w:szCs w:val="32"/>
        </w:rPr>
        <w:t>“三公”经费：</w:t>
      </w:r>
      <w:r>
        <w:rPr>
          <w:rFonts w:hint="eastAsia" w:ascii="宋体" w:hAnsi="宋体" w:cs="仿宋_GB2312"/>
          <w:sz w:val="32"/>
          <w:szCs w:val="32"/>
        </w:rPr>
        <w:t xml:space="preserve">指政府部门用财政拨款安排的因公出国（境）费，公务用车购置及运行费和公务接待费。 </w:t>
      </w:r>
    </w:p>
    <w:p>
      <w:pPr>
        <w:spacing w:line="610" w:lineRule="exact"/>
        <w:ind w:firstLine="640"/>
        <w:rPr>
          <w:rFonts w:ascii="宋体" w:hAnsi="宋体" w:cs="仿宋_GB2312"/>
          <w:sz w:val="32"/>
          <w:szCs w:val="32"/>
        </w:rPr>
      </w:pPr>
      <w:r>
        <w:rPr>
          <w:rFonts w:hint="eastAsia" w:ascii="宋体" w:hAnsi="宋体" w:cs="仿宋_GB2312"/>
          <w:bCs/>
          <w:sz w:val="32"/>
          <w:szCs w:val="32"/>
        </w:rPr>
        <w:t>机关运行经费：</w:t>
      </w:r>
      <w:r>
        <w:rPr>
          <w:rFonts w:hint="eastAsia" w:ascii="宋体" w:hAnsi="宋体"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宋体" w:hAnsi="宋体" w:cs="仿宋_GB2312"/>
          <w:sz w:val="32"/>
          <w:szCs w:val="32"/>
        </w:rPr>
      </w:pPr>
      <w:r>
        <w:rPr>
          <w:rFonts w:hint="eastAsia" w:ascii="宋体" w:hAnsi="宋体" w:cs="仿宋_GB2312"/>
          <w:bCs/>
          <w:sz w:val="32"/>
          <w:szCs w:val="32"/>
        </w:rPr>
        <w:t>绩效预算：</w:t>
      </w:r>
      <w:r>
        <w:rPr>
          <w:rFonts w:hint="eastAsia" w:ascii="宋体" w:hAnsi="宋体"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宋体" w:hAnsi="宋体" w:cs="仿宋_GB2312"/>
          <w:sz w:val="32"/>
          <w:szCs w:val="32"/>
        </w:rPr>
      </w:pPr>
      <w:r>
        <w:rPr>
          <w:rFonts w:hint="eastAsia" w:ascii="宋体" w:hAnsi="宋体" w:cs="仿宋_GB2312"/>
          <w:bCs/>
          <w:sz w:val="32"/>
          <w:szCs w:val="32"/>
        </w:rPr>
        <w:t>政府采购</w:t>
      </w:r>
      <w:r>
        <w:rPr>
          <w:rFonts w:hint="eastAsia" w:ascii="宋体" w:hAnsi="宋体" w:cs="仿宋_GB2312"/>
          <w:sz w:val="32"/>
          <w:szCs w:val="32"/>
        </w:rPr>
        <w:t>：指各级政府为从事日常的政务活动或为了满足公共服务的目的，利用财政性资金和政府借款购买货物、工程和服务的行为。</w:t>
      </w:r>
    </w:p>
    <w:p>
      <w:pPr>
        <w:spacing w:line="610" w:lineRule="exact"/>
        <w:rPr>
          <w:rFonts w:ascii="黑体" w:hAnsi="黑体" w:eastAsia="黑体"/>
          <w:bCs/>
          <w:color w:val="000000"/>
          <w:sz w:val="30"/>
          <w:szCs w:val="30"/>
        </w:rPr>
      </w:pPr>
      <w:r>
        <w:rPr>
          <w:rFonts w:hint="eastAsia" w:ascii="黑体" w:hAnsi="黑体" w:eastAsia="黑体"/>
          <w:bCs/>
          <w:color w:val="000000"/>
          <w:sz w:val="32"/>
          <w:szCs w:val="32"/>
        </w:rPr>
        <w:t>九、其他需说明事项</w:t>
      </w:r>
    </w:p>
    <w:p>
      <w:pPr>
        <w:spacing w:line="610" w:lineRule="exact"/>
        <w:ind w:left="640"/>
        <w:rPr>
          <w:rFonts w:ascii="宋体" w:hAnsi="宋体" w:cs="仿宋_GB2312"/>
          <w:sz w:val="32"/>
          <w:szCs w:val="32"/>
        </w:rPr>
      </w:pPr>
      <w:r>
        <w:rPr>
          <w:rFonts w:hint="eastAsia" w:ascii="宋体" w:hAnsi="宋体" w:cs="仿宋_GB2312"/>
          <w:color w:val="000000"/>
          <w:sz w:val="32"/>
          <w:szCs w:val="32"/>
        </w:rPr>
        <w:t>无其他需说明事项</w:t>
      </w:r>
    </w:p>
    <w:p>
      <w:pPr>
        <w:spacing w:line="610" w:lineRule="exact"/>
        <w:ind w:firstLine="640"/>
        <w:rPr>
          <w:rFonts w:ascii="仿宋_GB2312" w:hAnsi="仿宋_GB2312" w:eastAsia="仿宋_GB2312" w:cs="仿宋_GB2312"/>
          <w:sz w:val="32"/>
          <w:szCs w:val="32"/>
        </w:rPr>
      </w:pPr>
    </w:p>
    <w:p>
      <w:pPr>
        <w:autoSpaceDE w:val="0"/>
        <w:autoSpaceDN w:val="0"/>
        <w:adjustRightInd w:val="0"/>
        <w:jc w:val="left"/>
        <w:rPr>
          <w:rFonts w:ascii="Times New Roman" w:hAnsi="Times New Roman"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pBdr>
        <w:between w:val="none" w:color="auto" w:sz="0" w:space="0"/>
      </w:pBdr>
    </w:pPr>
    <w:r>
      <w:fldChar w:fldCharType="begin"/>
    </w:r>
    <w:r>
      <w:rPr>
        <w:rStyle w:val="9"/>
      </w:rPr>
      <w:instrText xml:space="preserve"> PAGE  </w:instrText>
    </w:r>
    <w:r>
      <w:fldChar w:fldCharType="separate"/>
    </w:r>
    <w:r>
      <w:rPr>
        <w:rStyle w:val="9"/>
      </w:rPr>
      <w:t>6</w:t>
    </w:r>
    <w:r>
      <w:fldChar w:fldCharType="end"/>
    </w:r>
  </w:p>
  <w:p>
    <w:pPr>
      <w:pStyle w:val="15"/>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B19C3"/>
    <w:multiLevelType w:val="multilevel"/>
    <w:tmpl w:val="050B19C3"/>
    <w:lvl w:ilvl="0" w:tentative="0">
      <w:start w:val="1"/>
      <w:numFmt w:val="decimal"/>
      <w:lvlText w:val="%1、"/>
      <w:lvlJc w:val="left"/>
      <w:pPr>
        <w:ind w:left="72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B87659"/>
    <w:multiLevelType w:val="multilevel"/>
    <w:tmpl w:val="18B87659"/>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8835E2"/>
    <w:multiLevelType w:val="multilevel"/>
    <w:tmpl w:val="498835E2"/>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36F61"/>
    <w:rsid w:val="00040FBA"/>
    <w:rsid w:val="0004490B"/>
    <w:rsid w:val="00055AE1"/>
    <w:rsid w:val="000604DF"/>
    <w:rsid w:val="000A55C9"/>
    <w:rsid w:val="000B5740"/>
    <w:rsid w:val="000B6658"/>
    <w:rsid w:val="00113A33"/>
    <w:rsid w:val="0013228E"/>
    <w:rsid w:val="001B3126"/>
    <w:rsid w:val="001F1A77"/>
    <w:rsid w:val="0023265F"/>
    <w:rsid w:val="002548E3"/>
    <w:rsid w:val="0027733F"/>
    <w:rsid w:val="00297274"/>
    <w:rsid w:val="002E4731"/>
    <w:rsid w:val="0030760B"/>
    <w:rsid w:val="003277EC"/>
    <w:rsid w:val="003967DC"/>
    <w:rsid w:val="003B4DDA"/>
    <w:rsid w:val="003C0573"/>
    <w:rsid w:val="003C24A2"/>
    <w:rsid w:val="004119EA"/>
    <w:rsid w:val="00421AE7"/>
    <w:rsid w:val="00456D84"/>
    <w:rsid w:val="004C1EAC"/>
    <w:rsid w:val="004D3889"/>
    <w:rsid w:val="004E4125"/>
    <w:rsid w:val="005B4654"/>
    <w:rsid w:val="006225A5"/>
    <w:rsid w:val="00626796"/>
    <w:rsid w:val="0063611D"/>
    <w:rsid w:val="006C236F"/>
    <w:rsid w:val="006D7083"/>
    <w:rsid w:val="006E525F"/>
    <w:rsid w:val="00741CBC"/>
    <w:rsid w:val="007422E1"/>
    <w:rsid w:val="007561B6"/>
    <w:rsid w:val="007818E6"/>
    <w:rsid w:val="008003BA"/>
    <w:rsid w:val="00817B30"/>
    <w:rsid w:val="00857ED8"/>
    <w:rsid w:val="0088112C"/>
    <w:rsid w:val="00951199"/>
    <w:rsid w:val="009B2B6F"/>
    <w:rsid w:val="00A12CE1"/>
    <w:rsid w:val="00A539DB"/>
    <w:rsid w:val="00A80D16"/>
    <w:rsid w:val="00A8400B"/>
    <w:rsid w:val="00AB710A"/>
    <w:rsid w:val="00B12980"/>
    <w:rsid w:val="00B246E9"/>
    <w:rsid w:val="00BB177B"/>
    <w:rsid w:val="00C4783E"/>
    <w:rsid w:val="00C747A6"/>
    <w:rsid w:val="00DD0CB7"/>
    <w:rsid w:val="00EC4E33"/>
    <w:rsid w:val="00F171F2"/>
    <w:rsid w:val="00F36A78"/>
    <w:rsid w:val="00F45AD7"/>
    <w:rsid w:val="1CD84E04"/>
    <w:rsid w:val="4FB94549"/>
    <w:rsid w:val="6E3037DC"/>
    <w:rsid w:val="76EC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列出段落1"/>
    <w:basedOn w:val="1"/>
    <w:unhideWhenUsed/>
    <w:qFormat/>
    <w:uiPriority w:val="99"/>
    <w:pPr>
      <w:ind w:firstLine="420" w:firstLineChars="200"/>
    </w:pPr>
    <w:rPr>
      <w:rFonts w:cs="Times New Roman"/>
      <w:szCs w:val="24"/>
    </w:rPr>
  </w:style>
  <w:style w:type="paragraph" w:customStyle="1" w:styleId="14">
    <w:name w:val="[Normal]"/>
    <w:qFormat/>
    <w:uiPriority w:val="0"/>
    <w:rPr>
      <w:rFonts w:ascii="宋体" w:hAnsi="宋体" w:eastAsia="宋体" w:cs="Times New Roman"/>
      <w:sz w:val="24"/>
      <w:lang w:val="en-US" w:eastAsia="en-US" w:bidi="ar-SA"/>
    </w:rPr>
  </w:style>
  <w:style w:type="paragraph" w:customStyle="1" w:styleId="15">
    <w:name w:val="页脚1"/>
    <w:basedOn w:val="1"/>
    <w:qFormat/>
    <w:uiPriority w:val="0"/>
    <w:pPr>
      <w:widowControl/>
      <w:tabs>
        <w:tab w:val="center" w:pos="4153"/>
        <w:tab w:val="right" w:pos="8306"/>
      </w:tabs>
      <w:jc w:val="left"/>
    </w:pPr>
    <w:rPr>
      <w:rFonts w:ascii="Times New Roman" w:hAnsi="Times New Roman" w:eastAsia="Times New Roman" w:cs="Times New Roman"/>
      <w:color w:val="auto"/>
      <w:kern w:val="0"/>
      <w:position w:val="0"/>
      <w:sz w:val="18"/>
      <w:szCs w:val="20"/>
      <w:u w:val="none"/>
      <w:shd w:val="clear" w:color="auto" w:fill="auto"/>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CB125E-110A-42F9-B553-DED1294DF88D}">
  <ds:schemaRefs/>
</ds:datastoreItem>
</file>

<file path=docProps/app.xml><?xml version="1.0" encoding="utf-8"?>
<Properties xmlns="http://schemas.openxmlformats.org/officeDocument/2006/extended-properties" xmlns:vt="http://schemas.openxmlformats.org/officeDocument/2006/docPropsVTypes">
  <Template>Normal</Template>
  <Pages>6</Pages>
  <Words>420</Words>
  <Characters>2400</Characters>
  <Lines>20</Lines>
  <Paragraphs>5</Paragraphs>
  <TotalTime>3</TotalTime>
  <ScaleCrop>false</ScaleCrop>
  <LinksUpToDate>false</LinksUpToDate>
  <CharactersWithSpaces>2815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2019-03-07T07:30:00Z</dcterms:created>
  <dc:creator>guest</dc:creator>
  <cp:lastModifiedBy>不二臣</cp:lastModifiedBy>
  <cp:lastPrinted>2017-02-09T01:57:00Z</cp:lastPrinted>
  <dcterms:modified xsi:type="dcterms:W3CDTF">2025-04-11T07:15:30Z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F0D649FF06414A37AFA85FF6B9C64882</vt:lpwstr>
  </property>
</Properties>
</file>