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沙河市矿区办事处</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9</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黑体" w:hAnsi="黑体" w:eastAsia="黑体" w:cs="Times New Roman"/>
          <w:sz w:val="32"/>
          <w:szCs w:val="32"/>
        </w:rPr>
      </w:pPr>
    </w:p>
    <w:p>
      <w:pPr>
        <w:tabs>
          <w:tab w:val="left" w:pos="4710"/>
        </w:tabs>
        <w:ind w:firstLine="640" w:firstLineChars="200"/>
        <w:rPr>
          <w:rFonts w:asciiTheme="majorEastAsia" w:hAnsiTheme="majorEastAsia" w:eastAsiaTheme="majorEastAsia"/>
          <w:color w:val="000000"/>
          <w:sz w:val="32"/>
        </w:rPr>
      </w:pPr>
      <w:r>
        <w:rPr>
          <w:rFonts w:hint="eastAsia" w:asciiTheme="majorEastAsia" w:hAnsiTheme="majorEastAsia" w:eastAsiaTheme="majorEastAsia"/>
          <w:color w:val="000000"/>
          <w:sz w:val="32"/>
        </w:rPr>
        <w:t>按照《</w:t>
      </w:r>
      <w:r>
        <w:rPr>
          <w:rFonts w:hint="eastAsia" w:asciiTheme="majorEastAsia" w:hAnsiTheme="majorEastAsia" w:eastAsiaTheme="majorEastAsia"/>
          <w:color w:val="000000"/>
          <w:sz w:val="32"/>
          <w:lang w:val="en-US" w:eastAsia="zh-CN"/>
        </w:rPr>
        <w:t>中华人民共和国</w:t>
      </w:r>
      <w:r>
        <w:rPr>
          <w:rFonts w:hint="eastAsia" w:asciiTheme="majorEastAsia" w:hAnsiTheme="majorEastAsia" w:eastAsiaTheme="majorEastAsia"/>
          <w:color w:val="000000"/>
          <w:sz w:val="32"/>
        </w:rPr>
        <w:t>预算法》、《地方预决算公开操作规程》、《河北省省级预算公开办法》规定和《关于做好2019年部门预算公开工作的通知》的要求，现将矿区办事处2019年部门预算公开如下：</w:t>
      </w:r>
    </w:p>
    <w:p>
      <w:pPr>
        <w:tabs>
          <w:tab w:val="left" w:pos="4710"/>
        </w:tabs>
        <w:rPr>
          <w:rFonts w:ascii="黑体" w:hAnsi="黑体" w:eastAsia="黑体" w:cs="Times New Roman"/>
          <w:sz w:val="32"/>
          <w:szCs w:val="32"/>
        </w:rPr>
      </w:pPr>
      <w:r>
        <w:rPr>
          <w:rFonts w:hint="eastAsia" w:ascii="黑体" w:hAnsi="黑体" w:eastAsia="黑体" w:cs="Times New Roman"/>
          <w:sz w:val="32"/>
          <w:szCs w:val="32"/>
        </w:rPr>
        <w:t>一、部门职责及机构设置情况</w:t>
      </w:r>
      <w:r>
        <w:rPr>
          <w:rFonts w:ascii="黑体" w:hAnsi="黑体" w:eastAsia="黑体" w:cs="Times New Roman"/>
          <w:sz w:val="32"/>
          <w:szCs w:val="32"/>
        </w:rPr>
        <w:tab/>
      </w:r>
    </w:p>
    <w:p>
      <w:pPr>
        <w:spacing w:line="610" w:lineRule="exact"/>
        <w:ind w:firstLine="640"/>
        <w:rPr>
          <w:rFonts w:ascii="黑体" w:hAnsi="黑体" w:eastAsia="黑体" w:cs="Times New Roman"/>
          <w:sz w:val="32"/>
          <w:szCs w:val="32"/>
        </w:rPr>
      </w:pPr>
      <w:r>
        <w:rPr>
          <w:rFonts w:hint="eastAsia" w:ascii="黑体" w:hAnsi="黑体" w:eastAsia="黑体" w:cs="Times New Roman"/>
          <w:sz w:val="32"/>
          <w:szCs w:val="32"/>
        </w:rPr>
        <w:t>部门</w:t>
      </w:r>
      <w:r>
        <w:rPr>
          <w:rFonts w:ascii="黑体" w:hAnsi="黑体" w:eastAsia="黑体" w:cs="Times New Roman"/>
          <w:sz w:val="32"/>
          <w:szCs w:val="32"/>
        </w:rPr>
        <w:t>职责：</w:t>
      </w:r>
      <w:r>
        <w:rPr>
          <w:rFonts w:hint="eastAsia" w:ascii="黑体" w:hAnsi="黑体" w:eastAsia="黑体" w:cs="Times New Roman"/>
          <w:sz w:val="32"/>
          <w:szCs w:val="32"/>
        </w:rPr>
        <w:t xml:space="preserve"> </w:t>
      </w:r>
    </w:p>
    <w:p>
      <w:pPr>
        <w:spacing w:line="610" w:lineRule="exact"/>
        <w:ind w:firstLine="1280" w:firstLineChars="400"/>
        <w:rPr>
          <w:rFonts w:ascii="宋体" w:hAnsi="宋体"/>
          <w:sz w:val="32"/>
          <w:szCs w:val="32"/>
        </w:rPr>
      </w:pPr>
      <w:r>
        <w:rPr>
          <w:rFonts w:hint="eastAsia" w:ascii="宋体" w:hAnsi="宋体"/>
          <w:sz w:val="32"/>
          <w:szCs w:val="32"/>
        </w:rPr>
        <w:t>维护矿区安定，为矿区管理提供服务，负责协调全市矿山企业与所在乡（镇）村关系，解决因矿山开采造成农村土地塌陷、道路水渠损坏、房屋裂缝等农民的切身利益问题，得到合理赔偿，维护好矿区片安定团结局面。</w:t>
      </w:r>
    </w:p>
    <w:p>
      <w:pPr>
        <w:pStyle w:val="12"/>
        <w:spacing w:line="610" w:lineRule="exact"/>
        <w:ind w:left="640" w:firstLine="0" w:firstLineChars="0"/>
        <w:rPr>
          <w:rFonts w:ascii="宋体" w:hAnsi="宋体"/>
          <w:sz w:val="32"/>
          <w:szCs w:val="32"/>
        </w:rPr>
      </w:pPr>
      <w:r>
        <w:rPr>
          <w:rFonts w:hint="eastAsia" w:ascii="宋体" w:hAnsi="宋体"/>
          <w:sz w:val="32"/>
          <w:szCs w:val="32"/>
        </w:rPr>
        <w:t>承办市委、市政府交办的其它工作任务。</w:t>
      </w:r>
    </w:p>
    <w:p>
      <w:pPr>
        <w:ind w:firstLine="480" w:firstLineChars="150"/>
        <w:rPr>
          <w:rFonts w:ascii="宋体" w:hAnsi="宋体"/>
          <w:sz w:val="32"/>
          <w:szCs w:val="32"/>
        </w:rPr>
      </w:pPr>
      <w:r>
        <w:rPr>
          <w:rFonts w:hint="eastAsia" w:ascii="黑体" w:hAnsi="黑体" w:eastAsia="黑体" w:cs="Times New Roman"/>
          <w:sz w:val="32"/>
          <w:szCs w:val="32"/>
        </w:rPr>
        <w:t>机构设置</w:t>
      </w:r>
      <w:r>
        <w:rPr>
          <w:rFonts w:hint="eastAsia" w:ascii="宋体" w:hAnsi="宋体" w:cs="Times New Roman"/>
          <w:sz w:val="32"/>
          <w:szCs w:val="32"/>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43" w:type="dxa"/>
          </w:tcPr>
          <w:p>
            <w:pPr>
              <w:jc w:val="center"/>
            </w:pPr>
            <w:r>
              <w:rPr>
                <w:rFonts w:hint="eastAsia"/>
              </w:rPr>
              <w:t xml:space="preserve">                                          单位名称</w:t>
            </w:r>
          </w:p>
        </w:tc>
        <w:tc>
          <w:tcPr>
            <w:tcW w:w="3543" w:type="dxa"/>
          </w:tcPr>
          <w:p>
            <w:pPr>
              <w:jc w:val="center"/>
            </w:pPr>
            <w:r>
              <w:rPr>
                <w:rFonts w:hint="eastAsia"/>
              </w:rPr>
              <w:t xml:space="preserve">                                           单位性质</w:t>
            </w:r>
          </w:p>
        </w:tc>
        <w:tc>
          <w:tcPr>
            <w:tcW w:w="3544" w:type="dxa"/>
          </w:tcPr>
          <w:p>
            <w:pPr>
              <w:jc w:val="center"/>
            </w:pPr>
            <w:r>
              <w:rPr>
                <w:rFonts w:hint="eastAsia"/>
              </w:rPr>
              <w:t xml:space="preserve">                                             单位规格</w:t>
            </w:r>
          </w:p>
        </w:tc>
        <w:tc>
          <w:tcPr>
            <w:tcW w:w="3544" w:type="dxa"/>
          </w:tcPr>
          <w:p>
            <w:pPr>
              <w:jc w:val="center"/>
            </w:pPr>
            <w:r>
              <w:rPr>
                <w:rFonts w:hint="eastAsia"/>
              </w:rPr>
              <w:t xml:space="preserve">                                                 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543" w:type="dxa"/>
          </w:tcPr>
          <w:p/>
          <w:p>
            <w:pPr>
              <w:jc w:val="center"/>
            </w:pPr>
            <w:r>
              <w:rPr>
                <w:rFonts w:hint="eastAsia"/>
              </w:rPr>
              <w:t>沙河市人民政府矿区办事处</w:t>
            </w:r>
          </w:p>
        </w:tc>
        <w:tc>
          <w:tcPr>
            <w:tcW w:w="3543" w:type="dxa"/>
          </w:tcPr>
          <w:p>
            <w:pPr>
              <w:jc w:val="center"/>
            </w:pPr>
          </w:p>
          <w:p>
            <w:pPr>
              <w:jc w:val="center"/>
            </w:pPr>
            <w:r>
              <w:rPr>
                <w:rFonts w:hint="eastAsia"/>
              </w:rPr>
              <w:t>事业</w:t>
            </w:r>
          </w:p>
        </w:tc>
        <w:tc>
          <w:tcPr>
            <w:tcW w:w="3544" w:type="dxa"/>
          </w:tcPr>
          <w:p>
            <w:pPr>
              <w:jc w:val="center"/>
            </w:pPr>
          </w:p>
          <w:p>
            <w:pPr>
              <w:jc w:val="center"/>
            </w:pPr>
            <w:r>
              <w:rPr>
                <w:rFonts w:hint="eastAsia"/>
              </w:rPr>
              <w:t>正科级</w:t>
            </w:r>
          </w:p>
        </w:tc>
        <w:tc>
          <w:tcPr>
            <w:tcW w:w="3544" w:type="dxa"/>
          </w:tcPr>
          <w:p>
            <w:pPr>
              <w:jc w:val="center"/>
            </w:pPr>
          </w:p>
          <w:p>
            <w:pPr>
              <w:jc w:val="center"/>
            </w:pPr>
            <w:r>
              <w:rPr>
                <w:rFonts w:hint="eastAsia"/>
              </w:rPr>
              <w:t>财政拨款</w:t>
            </w:r>
          </w:p>
        </w:tc>
      </w:tr>
    </w:tbl>
    <w:p>
      <w:pPr>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宋体" w:hAnsi="宋体" w:cs="Times New Roman"/>
          <w:sz w:val="32"/>
          <w:szCs w:val="32"/>
        </w:rPr>
      </w:pPr>
      <w:r>
        <w:rPr>
          <w:rFonts w:ascii="宋体" w:hAnsi="宋体" w:cs="Times New Roman"/>
          <w:sz w:val="32"/>
          <w:szCs w:val="32"/>
        </w:rPr>
        <w:t>按照预算管理有关规定，目前我</w:t>
      </w:r>
      <w:r>
        <w:rPr>
          <w:rFonts w:hint="eastAsia" w:ascii="宋体" w:hAnsi="宋体" w:cs="Times New Roman"/>
          <w:sz w:val="32"/>
          <w:szCs w:val="32"/>
        </w:rPr>
        <w:t>市</w:t>
      </w:r>
      <w:r>
        <w:rPr>
          <w:rFonts w:ascii="宋体" w:hAnsi="宋体" w:cs="Times New Roman"/>
          <w:sz w:val="32"/>
          <w:szCs w:val="32"/>
        </w:rPr>
        <w:t>部门预算的编制实行综合预算制度，即全部收入和支出都反映的预算中</w:t>
      </w:r>
      <w:r>
        <w:rPr>
          <w:rFonts w:hint="eastAsia" w:ascii="宋体" w:hAnsi="宋体" w:cs="Times New Roman"/>
          <w:sz w:val="32"/>
          <w:szCs w:val="32"/>
        </w:rPr>
        <w:t>，</w:t>
      </w:r>
      <w:r>
        <w:rPr>
          <w:rFonts w:ascii="宋体" w:hAnsi="宋体" w:cs="Times New Roman"/>
          <w:sz w:val="32"/>
          <w:szCs w:val="32"/>
        </w:rPr>
        <w:t>单位的收支包含在部门预算中。</w:t>
      </w:r>
    </w:p>
    <w:p>
      <w:pPr>
        <w:numPr>
          <w:ilvl w:val="0"/>
          <w:numId w:val="1"/>
        </w:numPr>
        <w:spacing w:line="610" w:lineRule="exact"/>
        <w:rPr>
          <w:rFonts w:ascii="黑体" w:hAnsi="黑体" w:eastAsia="黑体" w:cs="Times New Roman"/>
          <w:sz w:val="32"/>
          <w:szCs w:val="32"/>
        </w:rPr>
      </w:pPr>
      <w:r>
        <w:rPr>
          <w:rFonts w:ascii="黑体" w:hAnsi="黑体" w:eastAsia="黑体" w:cs="Times New Roman"/>
          <w:sz w:val="32"/>
          <w:szCs w:val="32"/>
        </w:rPr>
        <w:t>收入说</w:t>
      </w:r>
      <w:r>
        <w:rPr>
          <w:rFonts w:hint="eastAsia" w:ascii="黑体" w:hAnsi="黑体" w:eastAsia="黑体" w:cs="Times New Roman"/>
          <w:sz w:val="32"/>
          <w:szCs w:val="32"/>
        </w:rPr>
        <w:t>明</w:t>
      </w:r>
    </w:p>
    <w:p>
      <w:pPr>
        <w:spacing w:line="610" w:lineRule="exact"/>
        <w:ind w:firstLine="640"/>
        <w:rPr>
          <w:rFonts w:ascii="宋体" w:hAnsi="宋体" w:cs="仿宋_GB2312"/>
          <w:sz w:val="32"/>
          <w:szCs w:val="32"/>
        </w:rPr>
      </w:pPr>
      <w:r>
        <w:rPr>
          <w:rFonts w:hint="eastAsia" w:ascii="宋体" w:hAnsi="宋体" w:cs="仿宋_GB2312"/>
          <w:sz w:val="32"/>
          <w:szCs w:val="32"/>
        </w:rPr>
        <w:t>反映本部门当年全部收入。2019年预算收入23.03万元，其中：一般公共预算收入23.03万元，基金预算拨款0元。国有资本经营预算0元。</w:t>
      </w:r>
    </w:p>
    <w:p>
      <w:pPr>
        <w:numPr>
          <w:ilvl w:val="0"/>
          <w:numId w:val="1"/>
        </w:numPr>
        <w:spacing w:line="610" w:lineRule="exact"/>
        <w:rPr>
          <w:rFonts w:ascii="黑体" w:hAnsi="黑体" w:eastAsia="黑体" w:cs="Times New Roman"/>
          <w:sz w:val="32"/>
          <w:szCs w:val="32"/>
        </w:rPr>
      </w:pPr>
      <w:r>
        <w:rPr>
          <w:rFonts w:ascii="黑体" w:hAnsi="黑体" w:eastAsia="黑体" w:cs="Times New Roman"/>
          <w:sz w:val="32"/>
          <w:szCs w:val="32"/>
        </w:rPr>
        <w:t>支出说明</w:t>
      </w:r>
    </w:p>
    <w:p>
      <w:pPr>
        <w:spacing w:line="610" w:lineRule="exact"/>
        <w:ind w:firstLine="640" w:firstLineChars="200"/>
        <w:rPr>
          <w:rFonts w:ascii="宋体" w:hAnsi="宋体" w:cs="仿宋_GB2312"/>
          <w:sz w:val="32"/>
          <w:szCs w:val="32"/>
        </w:rPr>
      </w:pPr>
      <w:r>
        <w:rPr>
          <w:rFonts w:hint="eastAsia" w:ascii="宋体" w:hAnsi="宋体" w:cs="仿宋_GB2312"/>
          <w:sz w:val="32"/>
          <w:szCs w:val="32"/>
        </w:rPr>
        <w:t>收支预算总表支出栏、基本支出表、项目支出表按经济分类和支出功能分类科目编制，反映沙河市人民政府矿区办事处2019年度部门预算中支出预算的总体情况。2019年支出预算23.03万元，其中基本支出20.03万元，包括人员经费和日常公用经费。项目支出3万元，全部为本级支出的办事处协调经费。</w:t>
      </w:r>
    </w:p>
    <w:p>
      <w:pPr>
        <w:numPr>
          <w:ilvl w:val="0"/>
          <w:numId w:val="1"/>
        </w:numPr>
        <w:spacing w:line="610" w:lineRule="exact"/>
        <w:rPr>
          <w:rFonts w:ascii="黑体" w:hAnsi="黑体" w:eastAsia="黑体" w:cs="Times New Roman"/>
          <w:sz w:val="32"/>
          <w:szCs w:val="32"/>
        </w:rPr>
      </w:pPr>
      <w:r>
        <w:rPr>
          <w:rFonts w:ascii="黑体" w:hAnsi="黑体" w:eastAsia="黑体" w:cs="Times New Roman"/>
          <w:sz w:val="32"/>
          <w:szCs w:val="32"/>
        </w:rPr>
        <w:t>比上年增减情况</w:t>
      </w:r>
    </w:p>
    <w:p>
      <w:pPr>
        <w:spacing w:line="610" w:lineRule="exact"/>
        <w:ind w:firstLine="640" w:firstLineChars="200"/>
        <w:rPr>
          <w:rFonts w:ascii="宋体" w:hAnsi="宋体" w:cs="仿宋_GB2312"/>
          <w:sz w:val="32"/>
          <w:szCs w:val="32"/>
        </w:rPr>
      </w:pPr>
      <w:r>
        <w:rPr>
          <w:rFonts w:hint="eastAsia" w:ascii="宋体" w:hAnsi="宋体" w:cs="仿宋_GB2312"/>
          <w:sz w:val="32"/>
          <w:szCs w:val="32"/>
        </w:rPr>
        <w:t>2019年预算收支安排23.03万元，较2018年预算增加5.25万元，其中基本支出增加5.25万元，其中人员经费支出增加1.91万元，主要原因为单位在职人员的工资调整，公用经费支出增加3.34万元，主要原因为增加机关事业单位基本养老保险缴费和住房公积金缴费。项目支出与2018年持平。</w:t>
      </w:r>
    </w:p>
    <w:p>
      <w:pPr>
        <w:spacing w:line="610" w:lineRule="exact"/>
        <w:rPr>
          <w:rFonts w:ascii="黑体" w:hAnsi="黑体" w:eastAsia="黑体" w:cs="仿宋_GB2312"/>
          <w:sz w:val="32"/>
          <w:szCs w:val="32"/>
        </w:rPr>
      </w:pPr>
      <w:r>
        <w:rPr>
          <w:rFonts w:hint="eastAsia" w:ascii="黑体" w:hAnsi="黑体" w:eastAsia="黑体" w:cs="Times New Roman"/>
          <w:sz w:val="32"/>
          <w:szCs w:val="32"/>
        </w:rPr>
        <w:t>三、机关运行经费安排情况</w:t>
      </w:r>
    </w:p>
    <w:p>
      <w:pPr>
        <w:spacing w:line="610" w:lineRule="exact"/>
        <w:ind w:firstLine="640"/>
        <w:rPr>
          <w:rFonts w:ascii="宋体" w:hAnsi="宋体" w:cs="仿宋_GB2312"/>
          <w:sz w:val="32"/>
          <w:szCs w:val="32"/>
        </w:rPr>
      </w:pPr>
      <w:r>
        <w:rPr>
          <w:rFonts w:hint="eastAsia" w:ascii="宋体" w:hAnsi="宋体" w:cs="仿宋_GB2312"/>
          <w:sz w:val="32"/>
          <w:szCs w:val="32"/>
        </w:rPr>
        <w:t>机关运行经费安排3.66万元，主要用于机关正常运转，办公支出。相比较2018年增加3.34万元，主要原因为单位增加机关事业单位基本养老保险缴费和住房公积金缴费。</w:t>
      </w:r>
    </w:p>
    <w:p>
      <w:pPr>
        <w:spacing w:line="610" w:lineRule="exac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spacing w:line="610" w:lineRule="exact"/>
        <w:ind w:firstLine="800" w:firstLineChars="250"/>
        <w:rPr>
          <w:rFonts w:ascii="宋体" w:hAnsi="宋体" w:cs="仿宋_GB2312"/>
          <w:sz w:val="32"/>
          <w:szCs w:val="32"/>
        </w:rPr>
      </w:pPr>
      <w:r>
        <w:rPr>
          <w:rFonts w:hint="eastAsia" w:ascii="宋体" w:hAnsi="宋体" w:cs="仿宋_GB2312"/>
          <w:sz w:val="32"/>
          <w:szCs w:val="32"/>
        </w:rPr>
        <w:t>2019年，我部门无“三公”经费预算安排。</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pStyle w:val="13"/>
        <w:ind w:firstLine="640" w:firstLineChars="200"/>
        <w:rPr>
          <w:rFonts w:ascii="黑体" w:hAnsi="黑体" w:eastAsia="黑体"/>
          <w:sz w:val="32"/>
          <w:szCs w:val="32"/>
          <w:lang w:eastAsia="zh-CN"/>
        </w:rPr>
      </w:pPr>
      <w:bookmarkStart w:id="0" w:name="_Toc471398463"/>
      <w:r>
        <w:rPr>
          <w:rFonts w:ascii="黑体" w:hAnsi="黑体" w:eastAsia="黑体"/>
          <w:sz w:val="32"/>
          <w:szCs w:val="32"/>
          <w:lang w:eastAsia="zh-CN"/>
        </w:rPr>
        <w:t>总体绩效目标：</w:t>
      </w:r>
    </w:p>
    <w:p>
      <w:pPr>
        <w:pStyle w:val="13"/>
        <w:ind w:firstLine="640" w:firstLineChars="200"/>
        <w:rPr>
          <w:sz w:val="32"/>
          <w:szCs w:val="32"/>
          <w:lang w:eastAsia="zh-CN"/>
        </w:rPr>
      </w:pPr>
      <w:r>
        <w:rPr>
          <w:rFonts w:hint="eastAsia"/>
          <w:sz w:val="32"/>
          <w:szCs w:val="32"/>
          <w:lang w:eastAsia="zh-CN"/>
        </w:rPr>
        <w:t>矿区办紧紧围绕市委、市政府总体部署，坚持以习近平新时代中国特色社会主义思想为指导，继续深入学习宣传贯彻党的十九大精神，以习近平新时代中国特色社会主义思想为统领，增强“四个意识”、</w:t>
      </w:r>
      <w:bookmarkStart w:id="1" w:name="_GoBack"/>
      <w:bookmarkEnd w:id="1"/>
      <w:r>
        <w:rPr>
          <w:rFonts w:hint="eastAsia"/>
          <w:sz w:val="32"/>
          <w:szCs w:val="32"/>
          <w:lang w:eastAsia="zh-CN"/>
        </w:rPr>
        <w:t>坚定“四个自信”，不忘初心、牢记使命、高举旗帜、砥砺前行，苦干实干拼命干，为建设新时代经济强市、美丽沙河作出新的贡献。强化部门建设，积极适应改革新常态，开创矿区办事处工作新局面。</w:t>
      </w:r>
    </w:p>
    <w:p>
      <w:pPr>
        <w:rPr>
          <w:rFonts w:ascii="宋体" w:hAnsi="宋体"/>
          <w:sz w:val="32"/>
          <w:szCs w:val="32"/>
        </w:rPr>
      </w:pPr>
      <w:r>
        <w:rPr>
          <w:rFonts w:hint="eastAsia" w:ascii="宋体" w:hAnsi="宋体"/>
          <w:sz w:val="32"/>
          <w:szCs w:val="32"/>
        </w:rPr>
        <w:t xml:space="preserve">  一、协调解决好我市辖区内各国营矿因开采造成的地面土地塌陷，房屋裂缝，道路、桥梁、水渠等损坏赔偿问题。2019年工作目标为：1、协调解决显德汪矿采区内栾卸村、新村的水渠、乡间道路损坏赔偿问题。章村矿2018年因采煤造成的土地塌陷赔偿问题。2、协调解决葛泉矿采区内500余亩的土地塌陷恢复问题，大油村、曹章村、西油村等村的村民房屋损坏问题，葛全村1户选厂、石子厂及两户生态园的损坏赔偿问题。3、葛泉矿反应大油村村民靳增学、靳广扎在其矿井田范围内私建房屋、建筑物问题。                              </w:t>
      </w:r>
    </w:p>
    <w:p>
      <w:pPr>
        <w:ind w:firstLine="640" w:firstLineChars="200"/>
        <w:rPr>
          <w:rFonts w:ascii="宋体" w:hAnsi="宋体" w:cs="Times New Roman"/>
          <w:sz w:val="32"/>
          <w:szCs w:val="32"/>
        </w:rPr>
      </w:pPr>
      <w:r>
        <w:rPr>
          <w:rFonts w:hint="eastAsia" w:ascii="宋体" w:hAnsi="宋体"/>
          <w:sz w:val="32"/>
          <w:szCs w:val="32"/>
        </w:rPr>
        <w:t xml:space="preserve">  二、做好市委、市政府安排的其它工作。</w:t>
      </w:r>
    </w:p>
    <w:p>
      <w:pPr>
        <w:rPr>
          <w:rFonts w:ascii="黑体" w:hAnsi="黑体" w:eastAsia="黑体" w:cs="Times New Roman"/>
          <w:sz w:val="32"/>
          <w:szCs w:val="32"/>
        </w:rPr>
      </w:pPr>
      <w:r>
        <w:rPr>
          <w:rFonts w:hint="eastAsia" w:ascii="黑体" w:hAnsi="黑体" w:eastAsia="黑体" w:cs="Times New Roman"/>
          <w:sz w:val="32"/>
          <w:szCs w:val="32"/>
        </w:rPr>
        <w:t>职责分类绩效目标：</w:t>
      </w:r>
    </w:p>
    <w:p>
      <w:pPr>
        <w:ind w:firstLine="480" w:firstLineChars="150"/>
        <w:rPr>
          <w:rFonts w:ascii="宋体" w:hAnsi="宋体"/>
          <w:sz w:val="32"/>
          <w:szCs w:val="32"/>
        </w:rPr>
      </w:pPr>
      <w:r>
        <w:rPr>
          <w:rFonts w:hint="eastAsia" w:ascii="宋体" w:hAnsi="宋体"/>
          <w:sz w:val="32"/>
          <w:szCs w:val="32"/>
        </w:rPr>
        <w:t>我市辖区矿山企业较多，因常年开采，造成周边乡村的土地塌陷、房屋损坏，道路、桥梁、水渠等损毁情况日益严重，工农矛盾日渐激化，为缓解工农矛盾，不使矛盾升级，矿区办努力做好协调工作，协调因矿山开采造成的农村、农民的切身利益问题，解决因矿山开采造成的土地塌陷，道路、桥梁、水渠等损毁，房屋损坏等农民的切身利益问题，并得到合理的赔偿，维护矿山企业正常工作生产秩序，保障矿区片安定团结的政治局面。</w:t>
      </w:r>
    </w:p>
    <w:p>
      <w:pPr>
        <w:ind w:firstLine="480" w:firstLineChars="150"/>
        <w:rPr>
          <w:rFonts w:ascii="宋体" w:hAnsi="宋体"/>
          <w:sz w:val="32"/>
          <w:szCs w:val="32"/>
        </w:rPr>
      </w:pPr>
      <w:r>
        <w:rPr>
          <w:rFonts w:hint="eastAsia" w:ascii="宋体" w:hAnsi="宋体"/>
          <w:sz w:val="32"/>
          <w:szCs w:val="32"/>
        </w:rPr>
        <w:t>2、承办市委、市政府交办的其他工作任务。</w:t>
      </w:r>
    </w:p>
    <w:p>
      <w:pPr>
        <w:autoSpaceDE w:val="0"/>
        <w:autoSpaceDN w:val="0"/>
        <w:adjustRightInd w:val="0"/>
        <w:jc w:val="left"/>
        <w:rPr>
          <w:rFonts w:ascii="宋体" w:hAnsi="宋体" w:cs="Times New Roman"/>
          <w:b/>
          <w:sz w:val="32"/>
          <w:szCs w:val="32"/>
        </w:rPr>
      </w:pPr>
      <w:r>
        <w:rPr>
          <w:rFonts w:hint="eastAsia" w:ascii="黑体" w:hAnsi="黑体" w:eastAsia="黑体" w:cs="Times New Roman"/>
          <w:sz w:val="32"/>
          <w:szCs w:val="32"/>
        </w:rPr>
        <w:t>部门职责及工作活动绩效目标指标</w:t>
      </w:r>
      <w:r>
        <w:rPr>
          <w:rFonts w:hint="eastAsia" w:ascii="宋体" w:hAnsi="宋体" w:cs="Times New Roman"/>
          <w:b/>
          <w:sz w:val="32"/>
          <w:szCs w:val="32"/>
        </w:rPr>
        <w:t>：</w:t>
      </w:r>
      <w:bookmarkEnd w:id="0"/>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pPr>
              <w:autoSpaceDE w:val="0"/>
              <w:autoSpaceDN w:val="0"/>
              <w:adjustRightInd w:val="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职责</w:t>
            </w:r>
          </w:p>
          <w:p>
            <w:pPr>
              <w:autoSpaceDE w:val="0"/>
              <w:autoSpaceDN w:val="0"/>
              <w:adjustRightInd w:val="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活动</w:t>
            </w:r>
          </w:p>
        </w:tc>
        <w:tc>
          <w:tcPr>
            <w:tcW w:w="947" w:type="dxa"/>
            <w:vMerge w:val="restart"/>
          </w:tcPr>
          <w:p>
            <w:pPr>
              <w:autoSpaceDE w:val="0"/>
              <w:autoSpaceDN w:val="0"/>
              <w:adjustRightInd w:val="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年度</w:t>
            </w:r>
          </w:p>
          <w:p>
            <w:pPr>
              <w:autoSpaceDE w:val="0"/>
              <w:autoSpaceDN w:val="0"/>
              <w:adjustRightInd w:val="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预算数</w:t>
            </w:r>
          </w:p>
        </w:tc>
        <w:tc>
          <w:tcPr>
            <w:tcW w:w="947" w:type="dxa"/>
            <w:vMerge w:val="restart"/>
          </w:tcPr>
          <w:p>
            <w:pPr>
              <w:autoSpaceDE w:val="0"/>
              <w:autoSpaceDN w:val="0"/>
              <w:adjustRightInd w:val="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内容</w:t>
            </w:r>
          </w:p>
          <w:p>
            <w:pPr>
              <w:autoSpaceDE w:val="0"/>
              <w:autoSpaceDN w:val="0"/>
              <w:adjustRightInd w:val="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描述</w:t>
            </w:r>
          </w:p>
        </w:tc>
        <w:tc>
          <w:tcPr>
            <w:tcW w:w="947" w:type="dxa"/>
            <w:vMerge w:val="restart"/>
          </w:tcPr>
          <w:p>
            <w:pPr>
              <w:autoSpaceDE w:val="0"/>
              <w:autoSpaceDN w:val="0"/>
              <w:adjustRightInd w:val="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绩效</w:t>
            </w:r>
          </w:p>
          <w:p>
            <w:pPr>
              <w:autoSpaceDE w:val="0"/>
              <w:autoSpaceDN w:val="0"/>
              <w:adjustRightInd w:val="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目标</w:t>
            </w:r>
          </w:p>
        </w:tc>
        <w:tc>
          <w:tcPr>
            <w:tcW w:w="947" w:type="dxa"/>
            <w:vMerge w:val="restart"/>
          </w:tcPr>
          <w:p>
            <w:pPr>
              <w:autoSpaceDE w:val="0"/>
              <w:autoSpaceDN w:val="0"/>
              <w:adjustRightInd w:val="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绩效</w:t>
            </w:r>
          </w:p>
          <w:p>
            <w:pPr>
              <w:autoSpaceDE w:val="0"/>
              <w:autoSpaceDN w:val="0"/>
              <w:adjustRightInd w:val="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指标</w:t>
            </w:r>
          </w:p>
        </w:tc>
        <w:tc>
          <w:tcPr>
            <w:tcW w:w="3788" w:type="dxa"/>
            <w:gridSpan w:val="4"/>
          </w:tcPr>
          <w:p>
            <w:pPr>
              <w:autoSpaceDE w:val="0"/>
              <w:autoSpaceDN w:val="0"/>
              <w:adjustRightInd w:val="0"/>
              <w:ind w:firstLine="1200" w:firstLineChars="500"/>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46" w:type="dxa"/>
            <w:vMerge w:val="continue"/>
          </w:tcPr>
          <w:p>
            <w:pPr>
              <w:autoSpaceDE w:val="0"/>
              <w:autoSpaceDN w:val="0"/>
              <w:adjustRightInd w:val="0"/>
              <w:jc w:val="left"/>
              <w:rPr>
                <w:rFonts w:cs="Times New Roman" w:asciiTheme="majorEastAsia" w:hAnsiTheme="majorEastAsia" w:eastAsiaTheme="majorEastAsia"/>
                <w:sz w:val="24"/>
                <w:szCs w:val="24"/>
              </w:rPr>
            </w:pPr>
          </w:p>
        </w:tc>
        <w:tc>
          <w:tcPr>
            <w:tcW w:w="947" w:type="dxa"/>
            <w:vMerge w:val="continue"/>
          </w:tcPr>
          <w:p>
            <w:pPr>
              <w:autoSpaceDE w:val="0"/>
              <w:autoSpaceDN w:val="0"/>
              <w:adjustRightInd w:val="0"/>
              <w:jc w:val="left"/>
              <w:rPr>
                <w:rFonts w:cs="Times New Roman" w:asciiTheme="majorEastAsia" w:hAnsiTheme="majorEastAsia" w:eastAsiaTheme="majorEastAsia"/>
                <w:sz w:val="24"/>
                <w:szCs w:val="24"/>
              </w:rPr>
            </w:pPr>
          </w:p>
        </w:tc>
        <w:tc>
          <w:tcPr>
            <w:tcW w:w="947" w:type="dxa"/>
            <w:vMerge w:val="continue"/>
          </w:tcPr>
          <w:p>
            <w:pPr>
              <w:autoSpaceDE w:val="0"/>
              <w:autoSpaceDN w:val="0"/>
              <w:adjustRightInd w:val="0"/>
              <w:jc w:val="left"/>
              <w:rPr>
                <w:rFonts w:cs="Times New Roman" w:asciiTheme="majorEastAsia" w:hAnsiTheme="majorEastAsia" w:eastAsiaTheme="majorEastAsia"/>
                <w:sz w:val="24"/>
                <w:szCs w:val="24"/>
              </w:rPr>
            </w:pPr>
          </w:p>
        </w:tc>
        <w:tc>
          <w:tcPr>
            <w:tcW w:w="947" w:type="dxa"/>
            <w:vMerge w:val="continue"/>
          </w:tcPr>
          <w:p>
            <w:pPr>
              <w:autoSpaceDE w:val="0"/>
              <w:autoSpaceDN w:val="0"/>
              <w:adjustRightInd w:val="0"/>
              <w:jc w:val="left"/>
              <w:rPr>
                <w:rFonts w:cs="Times New Roman" w:asciiTheme="majorEastAsia" w:hAnsiTheme="majorEastAsia" w:eastAsiaTheme="majorEastAsia"/>
                <w:sz w:val="24"/>
                <w:szCs w:val="24"/>
              </w:rPr>
            </w:pPr>
          </w:p>
        </w:tc>
        <w:tc>
          <w:tcPr>
            <w:tcW w:w="947" w:type="dxa"/>
            <w:vMerge w:val="continue"/>
          </w:tcPr>
          <w:p>
            <w:pPr>
              <w:autoSpaceDE w:val="0"/>
              <w:autoSpaceDN w:val="0"/>
              <w:adjustRightInd w:val="0"/>
              <w:jc w:val="left"/>
              <w:rPr>
                <w:rFonts w:cs="Times New Roman" w:asciiTheme="majorEastAsia" w:hAnsiTheme="majorEastAsia" w:eastAsiaTheme="majorEastAsia"/>
                <w:sz w:val="24"/>
                <w:szCs w:val="24"/>
              </w:rPr>
            </w:pPr>
          </w:p>
        </w:tc>
        <w:tc>
          <w:tcPr>
            <w:tcW w:w="947" w:type="dxa"/>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优</w:t>
            </w:r>
          </w:p>
        </w:tc>
        <w:tc>
          <w:tcPr>
            <w:tcW w:w="947" w:type="dxa"/>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良</w:t>
            </w:r>
          </w:p>
        </w:tc>
        <w:tc>
          <w:tcPr>
            <w:tcW w:w="947" w:type="dxa"/>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中</w:t>
            </w:r>
          </w:p>
        </w:tc>
        <w:tc>
          <w:tcPr>
            <w:tcW w:w="947" w:type="dxa"/>
          </w:tcPr>
          <w:p>
            <w:pPr>
              <w:autoSpaceDE w:val="0"/>
              <w:autoSpaceDN w:val="0"/>
              <w:adjustRightInd w:val="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946" w:type="dxa"/>
          </w:tcPr>
          <w:p>
            <w:pPr>
              <w:autoSpaceDE w:val="0"/>
              <w:autoSpaceDN w:val="0"/>
              <w:adjustRightInd w:val="0"/>
              <w:jc w:val="center"/>
              <w:rPr>
                <w:rFonts w:ascii="宋体" w:hAnsi="宋体" w:cs="Times New Roman"/>
                <w:b/>
                <w:sz w:val="24"/>
                <w:szCs w:val="24"/>
              </w:rPr>
            </w:pPr>
          </w:p>
          <w:p>
            <w:pPr>
              <w:jc w:val="center"/>
              <w:rPr>
                <w:rFonts w:ascii="宋体" w:hAnsi="宋体" w:cs="Times New Roman"/>
                <w:sz w:val="24"/>
                <w:szCs w:val="24"/>
              </w:rPr>
            </w:pPr>
          </w:p>
          <w:p>
            <w:pPr>
              <w:jc w:val="center"/>
              <w:rPr>
                <w:rFonts w:ascii="宋体" w:hAnsi="宋体" w:cs="Times New Roman"/>
                <w:sz w:val="24"/>
                <w:szCs w:val="24"/>
              </w:rPr>
            </w:pPr>
          </w:p>
          <w:p>
            <w:pPr>
              <w:jc w:val="center"/>
              <w:rPr>
                <w:rFonts w:ascii="宋体" w:hAnsi="宋体" w:cs="Times New Roman"/>
                <w:sz w:val="24"/>
                <w:szCs w:val="24"/>
              </w:rPr>
            </w:pPr>
          </w:p>
          <w:p>
            <w:pPr>
              <w:jc w:val="center"/>
              <w:rPr>
                <w:rFonts w:ascii="宋体" w:hAnsi="宋体" w:cs="Times New Roman"/>
                <w:sz w:val="24"/>
                <w:szCs w:val="24"/>
              </w:rPr>
            </w:pPr>
          </w:p>
          <w:p>
            <w:pPr>
              <w:jc w:val="center"/>
              <w:rPr>
                <w:rFonts w:ascii="宋体" w:hAnsi="宋体" w:cs="Times New Roman"/>
                <w:sz w:val="24"/>
                <w:szCs w:val="24"/>
              </w:rPr>
            </w:pPr>
            <w:r>
              <w:rPr>
                <w:rFonts w:hint="eastAsia" w:ascii="宋体" w:hAnsi="宋体" w:cs="Times New Roman"/>
                <w:sz w:val="24"/>
                <w:szCs w:val="24"/>
              </w:rPr>
              <w:t>协调全市矿山企业与所在乡（镇）村关系</w:t>
            </w:r>
          </w:p>
          <w:p>
            <w:pPr>
              <w:jc w:val="center"/>
              <w:rPr>
                <w:rFonts w:ascii="宋体" w:hAnsi="宋体" w:cs="Times New Roman"/>
                <w:sz w:val="24"/>
                <w:szCs w:val="24"/>
              </w:rPr>
            </w:pPr>
          </w:p>
          <w:p>
            <w:pPr>
              <w:jc w:val="center"/>
              <w:rPr>
                <w:rFonts w:ascii="宋体" w:hAnsi="宋体" w:cs="Times New Roman"/>
                <w:sz w:val="24"/>
                <w:szCs w:val="24"/>
              </w:rPr>
            </w:pPr>
          </w:p>
        </w:tc>
        <w:tc>
          <w:tcPr>
            <w:tcW w:w="947" w:type="dxa"/>
          </w:tcPr>
          <w:p>
            <w:pPr>
              <w:autoSpaceDE w:val="0"/>
              <w:autoSpaceDN w:val="0"/>
              <w:adjustRightInd w:val="0"/>
              <w:jc w:val="center"/>
              <w:rPr>
                <w:rFonts w:ascii="宋体" w:hAnsi="宋体" w:cs="Times New Roman"/>
                <w:b/>
                <w:sz w:val="24"/>
                <w:szCs w:val="24"/>
              </w:rPr>
            </w:pPr>
          </w:p>
          <w:p>
            <w:pPr>
              <w:autoSpaceDE w:val="0"/>
              <w:autoSpaceDN w:val="0"/>
              <w:adjustRightInd w:val="0"/>
              <w:jc w:val="center"/>
              <w:rPr>
                <w:rFonts w:ascii="宋体" w:hAnsi="宋体" w:cs="Times New Roman"/>
                <w:b/>
                <w:sz w:val="24"/>
                <w:szCs w:val="24"/>
              </w:rPr>
            </w:pPr>
          </w:p>
          <w:p>
            <w:pPr>
              <w:autoSpaceDE w:val="0"/>
              <w:autoSpaceDN w:val="0"/>
              <w:adjustRightInd w:val="0"/>
              <w:jc w:val="center"/>
              <w:rPr>
                <w:rFonts w:ascii="宋体" w:hAnsi="宋体" w:cs="Times New Roman"/>
                <w:b/>
                <w:sz w:val="24"/>
                <w:szCs w:val="24"/>
              </w:rPr>
            </w:pPr>
          </w:p>
          <w:p>
            <w:pPr>
              <w:autoSpaceDE w:val="0"/>
              <w:autoSpaceDN w:val="0"/>
              <w:adjustRightInd w:val="0"/>
              <w:jc w:val="center"/>
              <w:rPr>
                <w:rFonts w:ascii="宋体" w:hAnsi="宋体" w:cs="Times New Roman"/>
                <w:b/>
                <w:sz w:val="24"/>
                <w:szCs w:val="24"/>
              </w:rPr>
            </w:pPr>
          </w:p>
          <w:p>
            <w:pPr>
              <w:autoSpaceDE w:val="0"/>
              <w:autoSpaceDN w:val="0"/>
              <w:adjustRightInd w:val="0"/>
              <w:jc w:val="center"/>
              <w:rPr>
                <w:rFonts w:ascii="宋体" w:hAnsi="宋体" w:cs="Times New Roman"/>
                <w:b/>
                <w:sz w:val="24"/>
                <w:szCs w:val="24"/>
              </w:rPr>
            </w:pPr>
          </w:p>
          <w:p>
            <w:pPr>
              <w:autoSpaceDE w:val="0"/>
              <w:autoSpaceDN w:val="0"/>
              <w:adjustRightInd w:val="0"/>
              <w:jc w:val="center"/>
              <w:rPr>
                <w:rFonts w:ascii="宋体" w:hAnsi="宋体" w:cs="Times New Roman"/>
                <w:b/>
                <w:sz w:val="24"/>
                <w:szCs w:val="24"/>
              </w:rPr>
            </w:pPr>
          </w:p>
          <w:p>
            <w:pPr>
              <w:autoSpaceDE w:val="0"/>
              <w:autoSpaceDN w:val="0"/>
              <w:adjustRightInd w:val="0"/>
              <w:jc w:val="center"/>
              <w:rPr>
                <w:rFonts w:ascii="宋体" w:hAnsi="宋体" w:cs="Times New Roman"/>
                <w:b/>
                <w:sz w:val="24"/>
                <w:szCs w:val="24"/>
              </w:rPr>
            </w:pPr>
          </w:p>
          <w:p>
            <w:pPr>
              <w:autoSpaceDE w:val="0"/>
              <w:autoSpaceDN w:val="0"/>
              <w:adjustRightInd w:val="0"/>
              <w:jc w:val="center"/>
              <w:rPr>
                <w:rFonts w:ascii="宋体" w:hAnsi="宋体" w:cs="Times New Roman"/>
                <w:b/>
                <w:sz w:val="24"/>
                <w:szCs w:val="24"/>
              </w:rPr>
            </w:pPr>
          </w:p>
          <w:p>
            <w:pPr>
              <w:autoSpaceDE w:val="0"/>
              <w:autoSpaceDN w:val="0"/>
              <w:adjustRightInd w:val="0"/>
              <w:jc w:val="center"/>
              <w:rPr>
                <w:rFonts w:ascii="宋体" w:hAnsi="宋体" w:cs="Times New Roman"/>
                <w:sz w:val="24"/>
                <w:szCs w:val="24"/>
              </w:rPr>
            </w:pPr>
            <w:r>
              <w:rPr>
                <w:rFonts w:hint="eastAsia" w:ascii="宋体" w:hAnsi="宋体" w:cs="Times New Roman"/>
                <w:sz w:val="24"/>
                <w:szCs w:val="24"/>
              </w:rPr>
              <w:t>3</w:t>
            </w:r>
          </w:p>
        </w:tc>
        <w:tc>
          <w:tcPr>
            <w:tcW w:w="947" w:type="dxa"/>
          </w:tcPr>
          <w:p>
            <w:pPr>
              <w:autoSpaceDE w:val="0"/>
              <w:autoSpaceDN w:val="0"/>
              <w:adjustRightInd w:val="0"/>
              <w:jc w:val="center"/>
              <w:rPr>
                <w:rFonts w:ascii="宋体" w:hAnsi="宋体" w:cs="Times New Roman"/>
                <w:b/>
                <w:sz w:val="24"/>
                <w:szCs w:val="24"/>
              </w:rPr>
            </w:pPr>
          </w:p>
          <w:p>
            <w:pPr>
              <w:jc w:val="center"/>
              <w:rPr>
                <w:rFonts w:ascii="宋体" w:hAnsi="宋体" w:cs="Times New Roman"/>
                <w:sz w:val="24"/>
                <w:szCs w:val="24"/>
              </w:rPr>
            </w:pPr>
          </w:p>
          <w:p>
            <w:pPr>
              <w:jc w:val="center"/>
              <w:rPr>
                <w:rFonts w:ascii="宋体" w:hAnsi="宋体" w:cs="Times New Roman"/>
                <w:sz w:val="24"/>
                <w:szCs w:val="24"/>
              </w:rPr>
            </w:pPr>
          </w:p>
          <w:p>
            <w:pPr>
              <w:jc w:val="center"/>
              <w:rPr>
                <w:rFonts w:ascii="宋体" w:hAnsi="宋体" w:cs="宋体"/>
                <w:sz w:val="24"/>
                <w:szCs w:val="24"/>
              </w:rPr>
            </w:pPr>
          </w:p>
          <w:p>
            <w:pPr>
              <w:jc w:val="center"/>
              <w:rPr>
                <w:rFonts w:ascii="宋体" w:hAnsi="宋体" w:cs="Times New Roman"/>
                <w:sz w:val="24"/>
                <w:szCs w:val="24"/>
              </w:rPr>
            </w:pPr>
            <w:r>
              <w:rPr>
                <w:rFonts w:hint="eastAsia" w:ascii="宋体" w:hAnsi="宋体" w:cs="Times New Roman"/>
                <w:sz w:val="24"/>
                <w:szCs w:val="24"/>
              </w:rPr>
              <w:t>协调因矿山开采造成的农村、农民的切身利益问题。</w:t>
            </w:r>
          </w:p>
        </w:tc>
        <w:tc>
          <w:tcPr>
            <w:tcW w:w="947" w:type="dxa"/>
          </w:tcPr>
          <w:p>
            <w:pPr>
              <w:autoSpaceDE w:val="0"/>
              <w:autoSpaceDN w:val="0"/>
              <w:adjustRightInd w:val="0"/>
              <w:jc w:val="center"/>
              <w:rPr>
                <w:rFonts w:ascii="宋体" w:hAnsi="宋体" w:cs="Times New Roman"/>
                <w:sz w:val="24"/>
                <w:szCs w:val="24"/>
              </w:rPr>
            </w:pPr>
            <w:r>
              <w:rPr>
                <w:rFonts w:hint="eastAsia" w:ascii="宋体" w:hAnsi="宋体" w:cs="Times New Roman"/>
                <w:sz w:val="24"/>
                <w:szCs w:val="24"/>
              </w:rPr>
              <w:t>保障因矿山企业开采造成的周边乡村的土地塌陷，房屋裂缝、道路、水渠等损坏得到合理赔偿。</w:t>
            </w:r>
          </w:p>
        </w:tc>
        <w:tc>
          <w:tcPr>
            <w:tcW w:w="947" w:type="dxa"/>
          </w:tcPr>
          <w:p>
            <w:pPr>
              <w:autoSpaceDE w:val="0"/>
              <w:autoSpaceDN w:val="0"/>
              <w:adjustRightInd w:val="0"/>
              <w:jc w:val="center"/>
              <w:rPr>
                <w:rFonts w:ascii="宋体" w:hAnsi="宋体" w:cs="Times New Roman"/>
                <w:sz w:val="24"/>
                <w:szCs w:val="24"/>
              </w:rPr>
            </w:pPr>
            <w:r>
              <w:rPr>
                <w:rFonts w:hint="eastAsia" w:ascii="宋体" w:hAnsi="宋体" w:cs="Times New Roman"/>
                <w:sz w:val="24"/>
                <w:szCs w:val="24"/>
              </w:rPr>
              <w:t>矿山企业开采造成周边乡村土地塌陷，房屋裂缝、道路、水渠等损坏赔偿的完成率。</w:t>
            </w:r>
          </w:p>
        </w:tc>
        <w:tc>
          <w:tcPr>
            <w:tcW w:w="947" w:type="dxa"/>
          </w:tcPr>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rPr>
                <w:rFonts w:ascii="宋体" w:hAnsi="宋体" w:cs="Times New Roman"/>
                <w:sz w:val="24"/>
                <w:szCs w:val="24"/>
              </w:rPr>
            </w:pPr>
            <w:r>
              <w:rPr>
                <w:rFonts w:ascii="宋体" w:hAnsi="宋体" w:cs="Times New Roman"/>
                <w:sz w:val="24"/>
                <w:szCs w:val="24"/>
              </w:rPr>
              <w:t>100%</w:t>
            </w:r>
          </w:p>
        </w:tc>
        <w:tc>
          <w:tcPr>
            <w:tcW w:w="947" w:type="dxa"/>
          </w:tcPr>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r>
              <w:rPr>
                <w:rFonts w:hint="eastAsia" w:ascii="宋体" w:hAnsi="宋体" w:cs="Times New Roman"/>
                <w:sz w:val="24"/>
                <w:szCs w:val="24"/>
              </w:rPr>
              <w:t>≥90%</w:t>
            </w:r>
          </w:p>
        </w:tc>
        <w:tc>
          <w:tcPr>
            <w:tcW w:w="947" w:type="dxa"/>
          </w:tcPr>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rPr>
                <w:rFonts w:ascii="宋体" w:hAnsi="宋体" w:cs="Times New Roman"/>
                <w:sz w:val="24"/>
                <w:szCs w:val="24"/>
              </w:rPr>
            </w:pPr>
            <w:r>
              <w:rPr>
                <w:rFonts w:hint="eastAsia" w:ascii="宋体" w:hAnsi="宋体" w:cs="Times New Roman"/>
                <w:sz w:val="24"/>
                <w:szCs w:val="24"/>
              </w:rPr>
              <w:t>≥80%</w:t>
            </w:r>
          </w:p>
        </w:tc>
        <w:tc>
          <w:tcPr>
            <w:tcW w:w="947" w:type="dxa"/>
          </w:tcPr>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p>
          <w:p>
            <w:pPr>
              <w:autoSpaceDE w:val="0"/>
              <w:autoSpaceDN w:val="0"/>
              <w:adjustRightInd w:val="0"/>
              <w:jc w:val="center"/>
              <w:rPr>
                <w:rFonts w:ascii="宋体" w:hAnsi="宋体" w:cs="Times New Roman"/>
                <w:sz w:val="24"/>
                <w:szCs w:val="24"/>
              </w:rPr>
            </w:pPr>
            <w:r>
              <w:rPr>
                <w:rFonts w:hint="eastAsia" w:ascii="宋体" w:hAnsi="宋体" w:cs="Times New Roman"/>
                <w:sz w:val="24"/>
                <w:szCs w:val="24"/>
              </w:rPr>
              <w:t>＜80%</w:t>
            </w:r>
          </w:p>
        </w:tc>
      </w:tr>
    </w:tbl>
    <w:p>
      <w:pPr>
        <w:numPr>
          <w:ilvl w:val="0"/>
          <w:numId w:val="2"/>
        </w:num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政府采购预算情况</w:t>
      </w:r>
    </w:p>
    <w:p>
      <w:pPr>
        <w:autoSpaceDE w:val="0"/>
        <w:autoSpaceDN w:val="0"/>
        <w:adjustRightInd w:val="0"/>
        <w:ind w:firstLine="640" w:firstLineChars="200"/>
        <w:jc w:val="left"/>
        <w:rPr>
          <w:rFonts w:ascii="宋体" w:hAnsi="宋体" w:cs="Times New Roman"/>
          <w:sz w:val="32"/>
          <w:szCs w:val="32"/>
        </w:rPr>
      </w:pPr>
      <w:r>
        <w:rPr>
          <w:rFonts w:hint="eastAsia" w:ascii="宋体" w:hAnsi="宋体" w:cs="仿宋_GB2312"/>
          <w:sz w:val="32"/>
          <w:szCs w:val="32"/>
        </w:rPr>
        <w:t>2019年，我部门未安排政府采购预算。</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spacing w:line="610" w:lineRule="exact"/>
        <w:ind w:firstLine="640" w:firstLineChars="200"/>
        <w:rPr>
          <w:rFonts w:ascii="宋体" w:hAnsi="宋体" w:cs="仿宋_GB2312"/>
          <w:sz w:val="32"/>
          <w:szCs w:val="32"/>
        </w:rPr>
      </w:pPr>
      <w:r>
        <w:rPr>
          <w:rFonts w:hint="eastAsia" w:ascii="宋体" w:hAnsi="宋体" w:cs="仿宋_GB2312"/>
          <w:sz w:val="32"/>
          <w:szCs w:val="32"/>
        </w:rPr>
        <w:t>沙河市人民政府矿区办事处上年末固定资产金额为2.79万元(详见下表)，其中房屋面积0平方米，价值0万元；车辆0辆，价值0万元，其他固定资产价值2.79万元。</w:t>
      </w:r>
    </w:p>
    <w:p>
      <w:pPr>
        <w:spacing w:line="610" w:lineRule="exact"/>
        <w:ind w:firstLine="640" w:firstLineChars="200"/>
        <w:rPr>
          <w:rFonts w:ascii="宋体" w:hAnsi="宋体" w:cs="仿宋_GB2312"/>
          <w:sz w:val="32"/>
          <w:szCs w:val="32"/>
        </w:rPr>
      </w:pPr>
      <w:r>
        <w:rPr>
          <w:rFonts w:hint="eastAsia" w:ascii="宋体" w:hAnsi="宋体" w:cs="仿宋_GB2312"/>
          <w:sz w:val="32"/>
          <w:szCs w:val="32"/>
        </w:rPr>
        <w:t>本年度无拟购置固定资产。</w:t>
      </w:r>
    </w:p>
    <w:p>
      <w:pPr>
        <w:spacing w:line="610" w:lineRule="exact"/>
        <w:ind w:firstLine="1675" w:firstLineChars="596"/>
        <w:rPr>
          <w:rFonts w:ascii="宋体" w:hAnsi="宋体" w:cs="仿宋_GB2312"/>
          <w:b/>
          <w:sz w:val="28"/>
          <w:szCs w:val="28"/>
        </w:rPr>
      </w:pPr>
      <w:r>
        <w:rPr>
          <w:rFonts w:hint="eastAsia" w:ascii="宋体" w:hAnsi="宋体" w:cs="仿宋_GB2312"/>
          <w:b/>
          <w:sz w:val="28"/>
          <w:szCs w:val="28"/>
        </w:rPr>
        <w:t>沙河市市直部门固定资产占用情况表</w:t>
      </w:r>
    </w:p>
    <w:p>
      <w:pPr>
        <w:spacing w:line="610" w:lineRule="exact"/>
        <w:jc w:val="left"/>
        <w:rPr>
          <w:rFonts w:ascii="宋体" w:hAnsi="宋体" w:cs="仿宋_GB2312"/>
          <w:szCs w:val="21"/>
        </w:rPr>
      </w:pPr>
      <w:r>
        <w:rPr>
          <w:rFonts w:hint="eastAsia" w:ascii="宋体" w:hAnsi="宋体" w:cs="仿宋_GB2312"/>
          <w:szCs w:val="21"/>
        </w:rPr>
        <w:t>编制部门：                                          截止时间：2018年12月31日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10" w:lineRule="exact"/>
              <w:jc w:val="center"/>
              <w:rPr>
                <w:rFonts w:ascii="宋体" w:hAnsi="宋体" w:cs="仿宋_GB2312"/>
                <w:szCs w:val="21"/>
              </w:rPr>
            </w:pPr>
            <w:r>
              <w:rPr>
                <w:rFonts w:hint="eastAsia" w:ascii="宋体" w:hAnsi="宋体" w:cs="仿宋_GB2312"/>
                <w:szCs w:val="21"/>
              </w:rPr>
              <w:t>项目</w:t>
            </w:r>
          </w:p>
        </w:tc>
        <w:tc>
          <w:tcPr>
            <w:tcW w:w="2841" w:type="dxa"/>
          </w:tcPr>
          <w:p>
            <w:pPr>
              <w:spacing w:line="610" w:lineRule="exact"/>
              <w:jc w:val="center"/>
              <w:rPr>
                <w:rFonts w:ascii="宋体" w:hAnsi="宋体" w:cs="仿宋_GB2312"/>
                <w:szCs w:val="21"/>
              </w:rPr>
            </w:pPr>
            <w:r>
              <w:rPr>
                <w:rFonts w:hint="eastAsia" w:ascii="宋体" w:hAnsi="宋体" w:cs="仿宋_GB2312"/>
                <w:szCs w:val="21"/>
              </w:rPr>
              <w:t>数量</w:t>
            </w:r>
          </w:p>
        </w:tc>
        <w:tc>
          <w:tcPr>
            <w:tcW w:w="2841" w:type="dxa"/>
          </w:tcPr>
          <w:p>
            <w:pPr>
              <w:spacing w:line="610" w:lineRule="exact"/>
              <w:jc w:val="center"/>
              <w:rPr>
                <w:rFonts w:ascii="宋体" w:hAnsi="宋体" w:cs="仿宋_GB2312"/>
                <w:szCs w:val="21"/>
              </w:rPr>
            </w:pPr>
            <w:r>
              <w:rPr>
                <w:rFonts w:hint="eastAsia" w:ascii="宋体" w:hAnsi="宋体" w:cs="仿宋_GB2312"/>
                <w:szCs w:val="21"/>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10" w:lineRule="exact"/>
              <w:jc w:val="center"/>
              <w:rPr>
                <w:rFonts w:ascii="宋体" w:hAnsi="宋体" w:cs="仿宋_GB2312"/>
                <w:szCs w:val="21"/>
              </w:rPr>
            </w:pPr>
            <w:r>
              <w:rPr>
                <w:rFonts w:hint="eastAsia" w:ascii="宋体" w:hAnsi="宋体" w:cs="仿宋_GB2312"/>
                <w:szCs w:val="21"/>
              </w:rPr>
              <w:t>资产总额</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c>
          <w:tcPr>
            <w:tcW w:w="2841" w:type="dxa"/>
          </w:tcPr>
          <w:p>
            <w:pPr>
              <w:spacing w:line="610" w:lineRule="exact"/>
              <w:jc w:val="center"/>
              <w:rPr>
                <w:rFonts w:ascii="宋体" w:hAnsi="宋体" w:cs="仿宋_GB2312"/>
                <w:szCs w:val="21"/>
              </w:rPr>
            </w:pPr>
            <w:r>
              <w:rPr>
                <w:rFonts w:hint="eastAsia" w:ascii="宋体" w:hAnsi="宋体" w:cs="仿宋_GB2312"/>
                <w:szCs w:val="21"/>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10" w:lineRule="exact"/>
              <w:rPr>
                <w:rFonts w:ascii="宋体" w:hAnsi="宋体" w:cs="仿宋_GB2312"/>
                <w:szCs w:val="21"/>
              </w:rPr>
            </w:pPr>
            <w:r>
              <w:rPr>
                <w:rFonts w:hint="eastAsia" w:ascii="宋体" w:hAnsi="宋体" w:cs="仿宋_GB2312"/>
                <w:szCs w:val="21"/>
              </w:rPr>
              <w:t>1、房屋（平方米）</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10" w:lineRule="exact"/>
              <w:rPr>
                <w:rFonts w:ascii="宋体" w:hAnsi="宋体" w:cs="仿宋_GB2312"/>
                <w:szCs w:val="21"/>
              </w:rPr>
            </w:pPr>
            <w:r>
              <w:rPr>
                <w:rFonts w:hint="eastAsia" w:ascii="宋体" w:hAnsi="宋体" w:cs="仿宋_GB2312"/>
                <w:szCs w:val="21"/>
              </w:rPr>
              <w:t>其中：办公用房（平方米）</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10" w:lineRule="exact"/>
              <w:rPr>
                <w:rFonts w:ascii="宋体" w:hAnsi="宋体" w:cs="仿宋_GB2312"/>
                <w:szCs w:val="21"/>
              </w:rPr>
            </w:pPr>
            <w:r>
              <w:rPr>
                <w:rFonts w:hint="eastAsia" w:ascii="宋体" w:hAnsi="宋体" w:cs="仿宋_GB2312"/>
                <w:szCs w:val="21"/>
              </w:rPr>
              <w:t>2、车辆（台、辆）</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10" w:lineRule="exact"/>
              <w:rPr>
                <w:rFonts w:ascii="宋体" w:hAnsi="宋体" w:cs="仿宋_GB2312"/>
                <w:szCs w:val="21"/>
              </w:rPr>
            </w:pPr>
            <w:r>
              <w:rPr>
                <w:rFonts w:hint="eastAsia" w:ascii="宋体" w:hAnsi="宋体" w:cs="仿宋_GB2312"/>
                <w:szCs w:val="21"/>
              </w:rPr>
              <w:t>3、单价在20万元以上设备</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c>
          <w:tcPr>
            <w:tcW w:w="2841" w:type="dxa"/>
          </w:tcPr>
          <w:p>
            <w:pPr>
              <w:spacing w:line="610" w:lineRule="exact"/>
              <w:jc w:val="center"/>
              <w:rPr>
                <w:rFonts w:ascii="宋体" w:hAnsi="宋体" w:cs="仿宋_GB2312"/>
                <w:szCs w:val="21"/>
              </w:rPr>
            </w:pP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10" w:lineRule="exact"/>
              <w:rPr>
                <w:rFonts w:ascii="宋体" w:hAnsi="宋体" w:cs="仿宋_GB2312"/>
                <w:szCs w:val="21"/>
              </w:rPr>
            </w:pPr>
            <w:r>
              <w:rPr>
                <w:rFonts w:hint="eastAsia" w:ascii="宋体" w:hAnsi="宋体" w:cs="仿宋_GB2312"/>
                <w:szCs w:val="21"/>
              </w:rPr>
              <w:t>4、其他固定资产</w:t>
            </w:r>
          </w:p>
        </w:tc>
        <w:tc>
          <w:tcPr>
            <w:tcW w:w="2841" w:type="dxa"/>
          </w:tcPr>
          <w:p>
            <w:pPr>
              <w:spacing w:line="610" w:lineRule="exact"/>
              <w:jc w:val="center"/>
              <w:rPr>
                <w:rFonts w:ascii="宋体" w:hAnsi="宋体" w:cs="仿宋_GB2312"/>
                <w:szCs w:val="21"/>
              </w:rPr>
            </w:pPr>
            <w:r>
              <w:rPr>
                <w:rFonts w:hint="eastAsia" w:ascii="宋体" w:hAnsi="宋体" w:cs="仿宋_GB2312"/>
                <w:szCs w:val="21"/>
              </w:rPr>
              <w:t>13</w:t>
            </w:r>
          </w:p>
        </w:tc>
        <w:tc>
          <w:tcPr>
            <w:tcW w:w="2841" w:type="dxa"/>
          </w:tcPr>
          <w:p>
            <w:pPr>
              <w:spacing w:line="610" w:lineRule="exact"/>
              <w:jc w:val="center"/>
              <w:rPr>
                <w:rFonts w:ascii="宋体" w:hAnsi="宋体" w:cs="仿宋_GB2312"/>
                <w:szCs w:val="21"/>
              </w:rPr>
            </w:pPr>
            <w:r>
              <w:rPr>
                <w:rFonts w:hint="eastAsia" w:ascii="宋体" w:hAnsi="宋体" w:cs="仿宋_GB2312"/>
                <w:szCs w:val="21"/>
              </w:rPr>
              <w:t>2.79</w:t>
            </w:r>
          </w:p>
        </w:tc>
      </w:tr>
    </w:tbl>
    <w:p>
      <w:pPr>
        <w:spacing w:line="610" w:lineRule="exact"/>
        <w:ind w:firstLine="640" w:firstLineChars="200"/>
        <w:rPr>
          <w:rFonts w:ascii="宋体" w:hAnsi="宋体" w:cs="仿宋_GB2312"/>
          <w:sz w:val="32"/>
          <w:szCs w:val="32"/>
        </w:rPr>
      </w:pPr>
      <w:r>
        <w:rPr>
          <w:rFonts w:hint="eastAsia" w:ascii="宋体" w:hAnsi="宋体" w:cs="仿宋_GB2312"/>
          <w:sz w:val="32"/>
          <w:szCs w:val="32"/>
        </w:rPr>
        <w:t>说明：单位其他固定资产为空调5台，办公桌椅6件，电脑和打印机各一台。</w:t>
      </w:r>
    </w:p>
    <w:p>
      <w:pPr>
        <w:numPr>
          <w:ilvl w:val="0"/>
          <w:numId w:val="3"/>
        </w:numPr>
        <w:spacing w:line="610" w:lineRule="exact"/>
        <w:rPr>
          <w:rFonts w:ascii="黑体" w:hAnsi="黑体" w:eastAsia="黑体"/>
          <w:sz w:val="32"/>
          <w:szCs w:val="32"/>
        </w:rPr>
      </w:pPr>
      <w:r>
        <w:rPr>
          <w:rFonts w:hint="eastAsia" w:ascii="黑体" w:hAnsi="黑体" w:eastAsia="黑体"/>
          <w:sz w:val="32"/>
          <w:szCs w:val="32"/>
        </w:rPr>
        <w:t>名词解释</w:t>
      </w:r>
    </w:p>
    <w:p>
      <w:pPr>
        <w:spacing w:line="610" w:lineRule="exact"/>
        <w:rPr>
          <w:rFonts w:ascii="宋体" w:hAnsi="宋体" w:cs="仿宋_GB2312"/>
          <w:sz w:val="32"/>
          <w:szCs w:val="32"/>
        </w:rPr>
      </w:pPr>
      <w:r>
        <w:rPr>
          <w:rFonts w:hint="eastAsia" w:ascii="仿宋_GB2312" w:hAnsi="仿宋_GB2312" w:eastAsia="仿宋_GB2312" w:cs="仿宋_GB2312"/>
          <w:sz w:val="32"/>
          <w:szCs w:val="32"/>
        </w:rPr>
        <w:t xml:space="preserve">    </w:t>
      </w:r>
      <w:r>
        <w:rPr>
          <w:rFonts w:hint="eastAsia" w:ascii="宋体" w:hAnsi="宋体" w:cs="仿宋_GB2312"/>
          <w:bCs/>
          <w:sz w:val="32"/>
          <w:szCs w:val="32"/>
        </w:rPr>
        <w:t>财政拨款收入：</w:t>
      </w:r>
      <w:r>
        <w:rPr>
          <w:rFonts w:hint="eastAsia" w:ascii="宋体" w:hAnsi="宋体" w:cs="仿宋_GB2312"/>
          <w:sz w:val="32"/>
          <w:szCs w:val="32"/>
        </w:rPr>
        <w:t xml:space="preserve">指从本级财政当年拨付给部门的资金。 </w:t>
      </w:r>
    </w:p>
    <w:p>
      <w:pPr>
        <w:spacing w:line="610" w:lineRule="exact"/>
        <w:rPr>
          <w:rFonts w:ascii="宋体" w:hAnsi="宋体" w:cs="仿宋_GB2312"/>
          <w:sz w:val="32"/>
          <w:szCs w:val="32"/>
        </w:rPr>
      </w:pPr>
      <w:r>
        <w:rPr>
          <w:rFonts w:hint="eastAsia" w:ascii="宋体" w:hAnsi="宋体" w:cs="仿宋_GB2312"/>
          <w:sz w:val="32"/>
          <w:szCs w:val="32"/>
        </w:rPr>
        <w:t>　　</w:t>
      </w:r>
      <w:r>
        <w:rPr>
          <w:rFonts w:hint="eastAsia" w:ascii="宋体" w:hAnsi="宋体" w:cs="仿宋_GB2312"/>
          <w:bCs/>
          <w:sz w:val="32"/>
          <w:szCs w:val="32"/>
        </w:rPr>
        <w:t>基本支出：</w:t>
      </w:r>
      <w:r>
        <w:rPr>
          <w:rFonts w:hint="eastAsia" w:ascii="宋体" w:hAnsi="宋体" w:cs="仿宋_GB2312"/>
          <w:sz w:val="32"/>
          <w:szCs w:val="32"/>
        </w:rPr>
        <w:t xml:space="preserve">指为保障机构正常运转、完成日常工作任务而发生的人员支出和公用支出。 </w:t>
      </w:r>
    </w:p>
    <w:p>
      <w:pPr>
        <w:spacing w:line="610" w:lineRule="exact"/>
        <w:rPr>
          <w:rFonts w:ascii="宋体" w:hAnsi="宋体" w:cs="仿宋_GB2312"/>
          <w:sz w:val="32"/>
          <w:szCs w:val="32"/>
        </w:rPr>
      </w:pPr>
      <w:r>
        <w:rPr>
          <w:rFonts w:hint="eastAsia" w:ascii="仿宋_GB2312" w:hAnsi="仿宋_GB2312" w:eastAsia="仿宋_GB2312" w:cs="仿宋_GB2312"/>
          <w:sz w:val="32"/>
          <w:szCs w:val="32"/>
        </w:rPr>
        <w:t>　　</w:t>
      </w:r>
      <w:r>
        <w:rPr>
          <w:rFonts w:hint="eastAsia" w:ascii="宋体" w:hAnsi="宋体" w:cs="仿宋_GB2312"/>
          <w:bCs/>
          <w:sz w:val="32"/>
          <w:szCs w:val="32"/>
        </w:rPr>
        <w:t>“三公”经费：</w:t>
      </w:r>
      <w:r>
        <w:rPr>
          <w:rFonts w:hint="eastAsia" w:ascii="宋体" w:hAnsi="宋体" w:cs="仿宋_GB2312"/>
          <w:sz w:val="32"/>
          <w:szCs w:val="32"/>
        </w:rPr>
        <w:t xml:space="preserve">指政府部门用财政拨款安排的因公出国（境）费，公务用车购置及运行费和公务接待费。 </w:t>
      </w:r>
    </w:p>
    <w:p>
      <w:pPr>
        <w:spacing w:line="610" w:lineRule="exact"/>
        <w:ind w:firstLine="640"/>
        <w:rPr>
          <w:rFonts w:ascii="宋体" w:hAnsi="宋体" w:cs="仿宋_GB2312"/>
          <w:sz w:val="32"/>
          <w:szCs w:val="32"/>
        </w:rPr>
      </w:pPr>
      <w:r>
        <w:rPr>
          <w:rFonts w:hint="eastAsia" w:ascii="宋体" w:hAnsi="宋体" w:cs="仿宋_GB2312"/>
          <w:bCs/>
          <w:sz w:val="32"/>
          <w:szCs w:val="32"/>
        </w:rPr>
        <w:t>机关运行经费：</w:t>
      </w:r>
      <w:r>
        <w:rPr>
          <w:rFonts w:hint="eastAsia" w:ascii="宋体" w:hAnsi="宋体" w:cs="仿宋_GB2312"/>
          <w:sz w:val="32"/>
          <w:szCs w:val="32"/>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spacing w:line="610" w:lineRule="exact"/>
        <w:ind w:firstLine="640"/>
        <w:rPr>
          <w:rFonts w:ascii="宋体" w:hAnsi="宋体" w:cs="仿宋_GB2312"/>
          <w:sz w:val="32"/>
          <w:szCs w:val="32"/>
        </w:rPr>
      </w:pPr>
      <w:r>
        <w:rPr>
          <w:rFonts w:hint="eastAsia" w:ascii="宋体" w:hAnsi="宋体" w:cs="仿宋_GB2312"/>
          <w:bCs/>
          <w:sz w:val="32"/>
          <w:szCs w:val="32"/>
        </w:rPr>
        <w:t>绩效预算：</w:t>
      </w:r>
      <w:r>
        <w:rPr>
          <w:rFonts w:hint="eastAsia" w:ascii="宋体" w:hAnsi="宋体" w:cs="仿宋_GB2312"/>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0"/>
        <w:rPr>
          <w:rFonts w:ascii="宋体" w:hAnsi="宋体" w:cs="仿宋_GB2312"/>
          <w:sz w:val="32"/>
          <w:szCs w:val="32"/>
        </w:rPr>
      </w:pPr>
      <w:r>
        <w:rPr>
          <w:rFonts w:hint="eastAsia" w:ascii="宋体" w:hAnsi="宋体" w:cs="仿宋_GB2312"/>
          <w:bCs/>
          <w:sz w:val="32"/>
          <w:szCs w:val="32"/>
        </w:rPr>
        <w:t>政府采购</w:t>
      </w:r>
      <w:r>
        <w:rPr>
          <w:rFonts w:hint="eastAsia" w:ascii="宋体" w:hAnsi="宋体" w:cs="仿宋_GB2312"/>
          <w:sz w:val="32"/>
          <w:szCs w:val="32"/>
        </w:rPr>
        <w:t>：指各级政府为从事日常的政务活动或为了满足公共服务的目的，利用财政性资金和政府借款购买货物、工程和服务的行为。</w:t>
      </w:r>
    </w:p>
    <w:p>
      <w:pPr>
        <w:spacing w:line="610" w:lineRule="exact"/>
        <w:rPr>
          <w:rFonts w:ascii="黑体" w:hAnsi="黑体" w:eastAsia="黑体"/>
          <w:bCs/>
          <w:color w:val="000000"/>
          <w:sz w:val="30"/>
          <w:szCs w:val="30"/>
        </w:rPr>
      </w:pPr>
      <w:r>
        <w:rPr>
          <w:rFonts w:hint="eastAsia" w:ascii="黑体" w:hAnsi="黑体" w:eastAsia="黑体"/>
          <w:bCs/>
          <w:color w:val="000000"/>
          <w:sz w:val="32"/>
          <w:szCs w:val="32"/>
        </w:rPr>
        <w:t>九、其他需说明事项</w:t>
      </w:r>
    </w:p>
    <w:p>
      <w:pPr>
        <w:spacing w:line="610" w:lineRule="exact"/>
        <w:ind w:left="640"/>
        <w:rPr>
          <w:rFonts w:ascii="宋体" w:hAnsi="宋体" w:cs="仿宋_GB2312"/>
          <w:sz w:val="32"/>
          <w:szCs w:val="32"/>
        </w:rPr>
      </w:pPr>
      <w:r>
        <w:rPr>
          <w:rFonts w:hint="eastAsia" w:ascii="宋体" w:hAnsi="宋体" w:cs="仿宋_GB2312"/>
          <w:color w:val="000000"/>
          <w:sz w:val="32"/>
          <w:szCs w:val="32"/>
        </w:rPr>
        <w:t>无其他需说明事项</w:t>
      </w:r>
    </w:p>
    <w:p>
      <w:pPr>
        <w:spacing w:line="610" w:lineRule="exact"/>
        <w:ind w:firstLine="640"/>
        <w:rPr>
          <w:rFonts w:ascii="仿宋_GB2312" w:hAnsi="仿宋_GB2312" w:eastAsia="仿宋_GB2312" w:cs="仿宋_GB2312"/>
          <w:sz w:val="32"/>
          <w:szCs w:val="32"/>
        </w:rPr>
      </w:pPr>
    </w:p>
    <w:p>
      <w:pPr>
        <w:autoSpaceDE w:val="0"/>
        <w:autoSpaceDN w:val="0"/>
        <w:adjustRightInd w:val="0"/>
        <w:jc w:val="left"/>
        <w:rPr>
          <w:rFonts w:ascii="Times New Roman" w:hAnsi="Times New Roman" w:eastAsia="仿宋"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B19C3"/>
    <w:multiLevelType w:val="multilevel"/>
    <w:tmpl w:val="050B19C3"/>
    <w:lvl w:ilvl="0" w:tentative="0">
      <w:start w:val="1"/>
      <w:numFmt w:val="decimal"/>
      <w:lvlText w:val="%1、"/>
      <w:lvlJc w:val="left"/>
      <w:pPr>
        <w:ind w:left="72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8B87659"/>
    <w:multiLevelType w:val="multilevel"/>
    <w:tmpl w:val="18B87659"/>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8835E2"/>
    <w:multiLevelType w:val="multilevel"/>
    <w:tmpl w:val="498835E2"/>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733F"/>
    <w:rsid w:val="00036F61"/>
    <w:rsid w:val="00040FBA"/>
    <w:rsid w:val="0004490B"/>
    <w:rsid w:val="00055AE1"/>
    <w:rsid w:val="000604DF"/>
    <w:rsid w:val="000A55C9"/>
    <w:rsid w:val="000B5740"/>
    <w:rsid w:val="000B6658"/>
    <w:rsid w:val="00113A33"/>
    <w:rsid w:val="0013228E"/>
    <w:rsid w:val="001B3126"/>
    <w:rsid w:val="001F1A77"/>
    <w:rsid w:val="0023265F"/>
    <w:rsid w:val="002548E3"/>
    <w:rsid w:val="0027733F"/>
    <w:rsid w:val="00297274"/>
    <w:rsid w:val="002E4731"/>
    <w:rsid w:val="0030760B"/>
    <w:rsid w:val="003277EC"/>
    <w:rsid w:val="003967DC"/>
    <w:rsid w:val="003B4DDA"/>
    <w:rsid w:val="003C0573"/>
    <w:rsid w:val="003C24A2"/>
    <w:rsid w:val="004119EA"/>
    <w:rsid w:val="00421AE7"/>
    <w:rsid w:val="00456D84"/>
    <w:rsid w:val="004C1EAC"/>
    <w:rsid w:val="004D3889"/>
    <w:rsid w:val="004E4125"/>
    <w:rsid w:val="005B4654"/>
    <w:rsid w:val="006225A5"/>
    <w:rsid w:val="00626796"/>
    <w:rsid w:val="0063611D"/>
    <w:rsid w:val="006C236F"/>
    <w:rsid w:val="006D7083"/>
    <w:rsid w:val="006E525F"/>
    <w:rsid w:val="00741CBC"/>
    <w:rsid w:val="007422E1"/>
    <w:rsid w:val="007561B6"/>
    <w:rsid w:val="007818E6"/>
    <w:rsid w:val="008003BA"/>
    <w:rsid w:val="00817B30"/>
    <w:rsid w:val="00857ED8"/>
    <w:rsid w:val="0088112C"/>
    <w:rsid w:val="00951199"/>
    <w:rsid w:val="009B2B6F"/>
    <w:rsid w:val="00A12CE1"/>
    <w:rsid w:val="00A539DB"/>
    <w:rsid w:val="00A80D16"/>
    <w:rsid w:val="00A8400B"/>
    <w:rsid w:val="00AB710A"/>
    <w:rsid w:val="00B12980"/>
    <w:rsid w:val="00B246E9"/>
    <w:rsid w:val="00BB177B"/>
    <w:rsid w:val="00C4783E"/>
    <w:rsid w:val="00C747A6"/>
    <w:rsid w:val="00DD0CB7"/>
    <w:rsid w:val="00EC4E33"/>
    <w:rsid w:val="00F171F2"/>
    <w:rsid w:val="00F36A78"/>
    <w:rsid w:val="00F45AD7"/>
    <w:rsid w:val="61BA06A5"/>
    <w:rsid w:val="67BD5629"/>
    <w:rsid w:val="76EC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uiPriority w:val="0"/>
    <w:rPr>
      <w:rFonts w:ascii="Times New Roman" w:hAnsi="Times New Roman" w:cs="Times New Roman"/>
      <w:szCs w:val="24"/>
    </w:rPr>
  </w:style>
  <w:style w:type="paragraph" w:styleId="5">
    <w:name w:val="toc 2"/>
    <w:basedOn w:val="1"/>
    <w:next w:val="1"/>
    <w:uiPriority w:val="0"/>
    <w:pPr>
      <w:ind w:left="420" w:leftChars="200"/>
    </w:pPr>
    <w:rPr>
      <w:rFonts w:ascii="Times New Roman" w:hAnsi="Times New Roman" w:cs="Times New Roman"/>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Char"/>
    <w:basedOn w:val="1"/>
    <w:qFormat/>
    <w:uiPriority w:val="0"/>
    <w:rPr>
      <w:rFonts w:ascii="Times New Roman" w:hAnsi="Times New Roman" w:cs="Times New Roman"/>
      <w:szCs w:val="24"/>
    </w:rPr>
  </w:style>
  <w:style w:type="character" w:customStyle="1" w:styleId="10">
    <w:name w:val="页脚 Char"/>
    <w:link w:val="2"/>
    <w:semiHidden/>
    <w:qFormat/>
    <w:uiPriority w:val="0"/>
    <w:rPr>
      <w:rFonts w:ascii="Times New Roman" w:hAnsi="Times New Roman" w:eastAsia="宋体" w:cs="Times New Roman"/>
      <w:sz w:val="18"/>
      <w:szCs w:val="18"/>
    </w:rPr>
  </w:style>
  <w:style w:type="character" w:customStyle="1" w:styleId="11">
    <w:name w:val="页眉 Char"/>
    <w:link w:val="3"/>
    <w:semiHidden/>
    <w:qFormat/>
    <w:uiPriority w:val="0"/>
    <w:rPr>
      <w:rFonts w:ascii="Times New Roman" w:hAnsi="Times New Roman" w:eastAsia="宋体" w:cs="Times New Roman"/>
      <w:sz w:val="18"/>
      <w:szCs w:val="18"/>
    </w:rPr>
  </w:style>
  <w:style w:type="paragraph" w:customStyle="1" w:styleId="12">
    <w:name w:val="列出段落1"/>
    <w:basedOn w:val="1"/>
    <w:unhideWhenUsed/>
    <w:qFormat/>
    <w:uiPriority w:val="99"/>
    <w:pPr>
      <w:ind w:firstLine="420" w:firstLineChars="200"/>
    </w:pPr>
    <w:rPr>
      <w:rFonts w:cs="Times New Roman"/>
      <w:szCs w:val="24"/>
    </w:rPr>
  </w:style>
  <w:style w:type="paragraph" w:customStyle="1" w:styleId="13">
    <w:name w:val="[Normal]"/>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CB125E-110A-42F9-B553-DED1294DF88D}">
  <ds:schemaRefs/>
</ds:datastoreItem>
</file>

<file path=docProps/app.xml><?xml version="1.0" encoding="utf-8"?>
<Properties xmlns="http://schemas.openxmlformats.org/officeDocument/2006/extended-properties" xmlns:vt="http://schemas.openxmlformats.org/officeDocument/2006/docPropsVTypes">
  <Template>Normal</Template>
  <Pages>6</Pages>
  <Words>420</Words>
  <Characters>2400</Characters>
  <Lines>20</Lines>
  <Paragraphs>5</Paragraphs>
  <TotalTime>15</TotalTime>
  <ScaleCrop>false</ScaleCrop>
  <LinksUpToDate>false</LinksUpToDate>
  <CharactersWithSpaces>2815</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2019-03-07T07:30:00Z</dcterms:created>
  <dc:creator>guest</dc:creator>
  <cp:lastModifiedBy>不二臣</cp:lastModifiedBy>
  <cp:lastPrinted>2017-02-09T01:57:00Z</cp:lastPrinted>
  <dcterms:modified xsi:type="dcterms:W3CDTF">2024-04-10T07:28:07Z</dcterms:modified>
  <dc:title>Administrator</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4A2C723E624D478F8C83CE9232D90E10</vt:lpwstr>
  </property>
</Properties>
</file>