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131沙河市自然资源和规划局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rFonts w:hint="default" w:eastAsia="方正书宋_GBK"/>
                <w:lang w:val="en-US" w:eastAsia="zh-CN"/>
              </w:rPr>
            </w:pPr>
            <w:r>
              <w:rPr>
                <w:rFonts w:hint="eastAsia"/>
                <w:lang w:val="en-US" w:eastAsia="zh-CN"/>
              </w:rPr>
              <w:t>3297.12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27186.00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172.15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27186.00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rPr>
                <w:rFonts w:hint="default" w:eastAsia="方正书宋_GBK"/>
                <w:lang w:val="en-US" w:eastAsia="zh-CN"/>
              </w:rPr>
            </w:pPr>
            <w:r>
              <w:rPr>
                <w:rFonts w:hint="eastAsia"/>
                <w:lang w:val="en-US" w:eastAsia="zh-CN"/>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2835.52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rPr>
                <w:rFonts w:hint="default" w:eastAsia="方正书宋_GBK"/>
                <w:lang w:val="en-US" w:eastAsia="zh-CN"/>
              </w:rPr>
            </w:pPr>
            <w:r>
              <w:t>30</w:t>
            </w:r>
            <w:r>
              <w:rPr>
                <w:rFonts w:hint="eastAsia"/>
                <w:lang w:val="en-US" w:eastAsia="zh-CN"/>
              </w:rPr>
              <w:t>483.12</w:t>
            </w:r>
          </w:p>
        </w:tc>
        <w:tc>
          <w:tcPr>
            <w:tcW w:w="4535" w:type="dxa"/>
            <w:vAlign w:val="center"/>
          </w:tcPr>
          <w:p>
            <w:pPr>
              <w:pStyle w:val="15"/>
            </w:pPr>
            <w:r>
              <w:t>本年支出合计</w:t>
            </w:r>
          </w:p>
        </w:tc>
        <w:tc>
          <w:tcPr>
            <w:tcW w:w="2126" w:type="dxa"/>
            <w:vAlign w:val="center"/>
          </w:tcPr>
          <w:p>
            <w:pPr>
              <w:pStyle w:val="16"/>
            </w:pPr>
            <w:r>
              <w:t>30</w:t>
            </w:r>
            <w:r>
              <w:rPr>
                <w:rFonts w:hint="eastAsia"/>
                <w:lang w:val="en-US" w:eastAsia="zh-CN"/>
              </w:rPr>
              <w:t>483.12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30</w:t>
            </w:r>
            <w:r>
              <w:rPr>
                <w:rFonts w:hint="eastAsia"/>
                <w:lang w:val="en-US" w:eastAsia="zh-CN"/>
              </w:rPr>
              <w:t>483.12</w:t>
            </w:r>
          </w:p>
        </w:tc>
        <w:tc>
          <w:tcPr>
            <w:tcW w:w="4535" w:type="dxa"/>
            <w:vAlign w:val="center"/>
          </w:tcPr>
          <w:p>
            <w:pPr>
              <w:pStyle w:val="15"/>
            </w:pPr>
            <w:r>
              <w:t>支出总计</w:t>
            </w:r>
          </w:p>
        </w:tc>
        <w:tc>
          <w:tcPr>
            <w:tcW w:w="2126" w:type="dxa"/>
            <w:vAlign w:val="center"/>
          </w:tcPr>
          <w:p>
            <w:pPr>
              <w:pStyle w:val="16"/>
            </w:pPr>
            <w:r>
              <w:t>30</w:t>
            </w:r>
            <w:r>
              <w:rPr>
                <w:rFonts w:hint="eastAsia"/>
                <w:lang w:val="en-US" w:eastAsia="zh-CN"/>
              </w:rPr>
              <w:t>483.12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131沙河市自然资源和规划局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30</w:t>
            </w:r>
            <w:r>
              <w:rPr>
                <w:rFonts w:hint="eastAsia"/>
                <w:lang w:val="en-US" w:eastAsia="zh-CN"/>
              </w:rPr>
              <w:t>483.12</w:t>
            </w:r>
          </w:p>
        </w:tc>
        <w:tc>
          <w:tcPr>
            <w:tcW w:w="1134" w:type="dxa"/>
            <w:vAlign w:val="center"/>
          </w:tcPr>
          <w:p>
            <w:pPr>
              <w:pStyle w:val="16"/>
            </w:pPr>
            <w:r>
              <w:t>30</w:t>
            </w:r>
            <w:r>
              <w:rPr>
                <w:rFonts w:hint="eastAsia"/>
                <w:lang w:val="en-US" w:eastAsia="zh-CN"/>
              </w:rPr>
              <w:t>483.12</w:t>
            </w:r>
          </w:p>
        </w:tc>
        <w:tc>
          <w:tcPr>
            <w:tcW w:w="1134" w:type="dxa"/>
            <w:vAlign w:val="center"/>
          </w:tcPr>
          <w:p>
            <w:pPr>
              <w:pStyle w:val="16"/>
            </w:pPr>
            <w:r>
              <w:t>30</w:t>
            </w:r>
            <w:r>
              <w:rPr>
                <w:rFonts w:hint="eastAsia"/>
                <w:lang w:val="en-US" w:eastAsia="zh-CN"/>
              </w:rPr>
              <w:t>483.12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172.15</w:t>
            </w:r>
          </w:p>
        </w:tc>
        <w:tc>
          <w:tcPr>
            <w:tcW w:w="1134" w:type="dxa"/>
            <w:vAlign w:val="center"/>
          </w:tcPr>
          <w:p>
            <w:pPr>
              <w:pStyle w:val="12"/>
            </w:pPr>
            <w:r>
              <w:t>172.15</w:t>
            </w:r>
          </w:p>
        </w:tc>
        <w:tc>
          <w:tcPr>
            <w:tcW w:w="1134" w:type="dxa"/>
            <w:vAlign w:val="center"/>
          </w:tcPr>
          <w:p>
            <w:pPr>
              <w:pStyle w:val="12"/>
            </w:pPr>
            <w:r>
              <w:t>172.15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172.15</w:t>
            </w:r>
          </w:p>
        </w:tc>
        <w:tc>
          <w:tcPr>
            <w:tcW w:w="1134" w:type="dxa"/>
            <w:vAlign w:val="center"/>
          </w:tcPr>
          <w:p>
            <w:pPr>
              <w:pStyle w:val="12"/>
            </w:pPr>
            <w:r>
              <w:t>172.15</w:t>
            </w:r>
          </w:p>
        </w:tc>
        <w:tc>
          <w:tcPr>
            <w:tcW w:w="1134" w:type="dxa"/>
            <w:vAlign w:val="center"/>
          </w:tcPr>
          <w:p>
            <w:pPr>
              <w:pStyle w:val="12"/>
            </w:pPr>
            <w:r>
              <w:t>172.15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172.15</w:t>
            </w:r>
          </w:p>
        </w:tc>
        <w:tc>
          <w:tcPr>
            <w:tcW w:w="1134" w:type="dxa"/>
            <w:vAlign w:val="center"/>
          </w:tcPr>
          <w:p>
            <w:pPr>
              <w:pStyle w:val="12"/>
            </w:pPr>
            <w:r>
              <w:t>172.15</w:t>
            </w:r>
          </w:p>
        </w:tc>
        <w:tc>
          <w:tcPr>
            <w:tcW w:w="1134" w:type="dxa"/>
            <w:vAlign w:val="center"/>
          </w:tcPr>
          <w:p>
            <w:pPr>
              <w:pStyle w:val="12"/>
            </w:pPr>
            <w:r>
              <w:t>172.15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74.14</w:t>
            </w:r>
          </w:p>
        </w:tc>
        <w:tc>
          <w:tcPr>
            <w:tcW w:w="1134" w:type="dxa"/>
            <w:vAlign w:val="center"/>
          </w:tcPr>
          <w:p>
            <w:pPr>
              <w:pStyle w:val="12"/>
            </w:pPr>
            <w:r>
              <w:t>74.14</w:t>
            </w:r>
          </w:p>
        </w:tc>
        <w:tc>
          <w:tcPr>
            <w:tcW w:w="1134" w:type="dxa"/>
            <w:vAlign w:val="center"/>
          </w:tcPr>
          <w:p>
            <w:pPr>
              <w:pStyle w:val="12"/>
            </w:pPr>
            <w:r>
              <w:t>74.14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74.14</w:t>
            </w:r>
          </w:p>
        </w:tc>
        <w:tc>
          <w:tcPr>
            <w:tcW w:w="1134" w:type="dxa"/>
            <w:vAlign w:val="center"/>
          </w:tcPr>
          <w:p>
            <w:pPr>
              <w:pStyle w:val="12"/>
            </w:pPr>
            <w:r>
              <w:t>74.14</w:t>
            </w:r>
          </w:p>
        </w:tc>
        <w:tc>
          <w:tcPr>
            <w:tcW w:w="1134" w:type="dxa"/>
            <w:vAlign w:val="center"/>
          </w:tcPr>
          <w:p>
            <w:pPr>
              <w:pStyle w:val="12"/>
            </w:pPr>
            <w:r>
              <w:t>74.14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74.14</w:t>
            </w:r>
          </w:p>
        </w:tc>
        <w:tc>
          <w:tcPr>
            <w:tcW w:w="1134" w:type="dxa"/>
            <w:vAlign w:val="center"/>
          </w:tcPr>
          <w:p>
            <w:pPr>
              <w:pStyle w:val="12"/>
            </w:pPr>
            <w:r>
              <w:t>74.14</w:t>
            </w:r>
          </w:p>
        </w:tc>
        <w:tc>
          <w:tcPr>
            <w:tcW w:w="1134" w:type="dxa"/>
            <w:vAlign w:val="center"/>
          </w:tcPr>
          <w:p>
            <w:pPr>
              <w:pStyle w:val="12"/>
            </w:pPr>
            <w:r>
              <w:t>74.14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27186.00</w:t>
            </w:r>
          </w:p>
        </w:tc>
        <w:tc>
          <w:tcPr>
            <w:tcW w:w="1134" w:type="dxa"/>
            <w:vAlign w:val="center"/>
          </w:tcPr>
          <w:p>
            <w:pPr>
              <w:pStyle w:val="12"/>
            </w:pPr>
            <w:r>
              <w:t>27186.00</w:t>
            </w:r>
          </w:p>
        </w:tc>
        <w:tc>
          <w:tcPr>
            <w:tcW w:w="1134" w:type="dxa"/>
            <w:vAlign w:val="center"/>
          </w:tcPr>
          <w:p>
            <w:pPr>
              <w:pStyle w:val="12"/>
            </w:pPr>
            <w:r>
              <w:t>27186.00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25186.00</w:t>
            </w:r>
          </w:p>
        </w:tc>
        <w:tc>
          <w:tcPr>
            <w:tcW w:w="1134" w:type="dxa"/>
            <w:vAlign w:val="center"/>
          </w:tcPr>
          <w:p>
            <w:pPr>
              <w:pStyle w:val="12"/>
            </w:pPr>
            <w:r>
              <w:t>25186.00</w:t>
            </w:r>
          </w:p>
        </w:tc>
        <w:tc>
          <w:tcPr>
            <w:tcW w:w="1134" w:type="dxa"/>
            <w:vAlign w:val="center"/>
          </w:tcPr>
          <w:p>
            <w:pPr>
              <w:pStyle w:val="12"/>
            </w:pPr>
            <w:r>
              <w:t>25186.00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2120801</w:t>
            </w:r>
          </w:p>
        </w:tc>
        <w:tc>
          <w:tcPr>
            <w:tcW w:w="1559" w:type="dxa"/>
            <w:vAlign w:val="center"/>
          </w:tcPr>
          <w:p>
            <w:pPr>
              <w:pStyle w:val="13"/>
            </w:pPr>
            <w:r>
              <w:t>征地和拆迁补偿支出</w:t>
            </w:r>
          </w:p>
        </w:tc>
        <w:tc>
          <w:tcPr>
            <w:tcW w:w="1134" w:type="dxa"/>
            <w:vAlign w:val="center"/>
          </w:tcPr>
          <w:p>
            <w:pPr>
              <w:pStyle w:val="12"/>
            </w:pPr>
            <w:r>
              <w:t>19186.00</w:t>
            </w:r>
          </w:p>
        </w:tc>
        <w:tc>
          <w:tcPr>
            <w:tcW w:w="1134" w:type="dxa"/>
            <w:vAlign w:val="center"/>
          </w:tcPr>
          <w:p>
            <w:pPr>
              <w:pStyle w:val="12"/>
            </w:pPr>
            <w:r>
              <w:t>19186.00</w:t>
            </w:r>
          </w:p>
        </w:tc>
        <w:tc>
          <w:tcPr>
            <w:tcW w:w="1134" w:type="dxa"/>
            <w:vAlign w:val="center"/>
          </w:tcPr>
          <w:p>
            <w:pPr>
              <w:pStyle w:val="12"/>
            </w:pPr>
            <w:r>
              <w:t>19186.00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2120805</w:t>
            </w:r>
          </w:p>
        </w:tc>
        <w:tc>
          <w:tcPr>
            <w:tcW w:w="1559" w:type="dxa"/>
            <w:vAlign w:val="center"/>
          </w:tcPr>
          <w:p>
            <w:pPr>
              <w:pStyle w:val="13"/>
            </w:pPr>
            <w:r>
              <w:t>补助被征地农民支出</w:t>
            </w:r>
          </w:p>
        </w:tc>
        <w:tc>
          <w:tcPr>
            <w:tcW w:w="1134" w:type="dxa"/>
            <w:vAlign w:val="center"/>
          </w:tcPr>
          <w:p>
            <w:pPr>
              <w:pStyle w:val="12"/>
            </w:pPr>
            <w:r>
              <w:t>3500.00</w:t>
            </w:r>
          </w:p>
        </w:tc>
        <w:tc>
          <w:tcPr>
            <w:tcW w:w="1134" w:type="dxa"/>
            <w:vAlign w:val="center"/>
          </w:tcPr>
          <w:p>
            <w:pPr>
              <w:pStyle w:val="12"/>
            </w:pPr>
            <w:r>
              <w:t>3500.00</w:t>
            </w:r>
          </w:p>
        </w:tc>
        <w:tc>
          <w:tcPr>
            <w:tcW w:w="1134" w:type="dxa"/>
            <w:vAlign w:val="center"/>
          </w:tcPr>
          <w:p>
            <w:pPr>
              <w:pStyle w:val="12"/>
            </w:pPr>
            <w:r>
              <w:t>3500.00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2120806</w:t>
            </w:r>
          </w:p>
        </w:tc>
        <w:tc>
          <w:tcPr>
            <w:tcW w:w="1559" w:type="dxa"/>
            <w:vAlign w:val="center"/>
          </w:tcPr>
          <w:p>
            <w:pPr>
              <w:pStyle w:val="13"/>
            </w:pPr>
            <w:r>
              <w:t>土地出让业务支出</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2120814</w:t>
            </w:r>
          </w:p>
        </w:tc>
        <w:tc>
          <w:tcPr>
            <w:tcW w:w="1559" w:type="dxa"/>
            <w:vAlign w:val="center"/>
          </w:tcPr>
          <w:p>
            <w:pPr>
              <w:pStyle w:val="13"/>
            </w:pPr>
            <w:r>
              <w:t>农业生产发展支出</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21210</w:t>
            </w:r>
          </w:p>
        </w:tc>
        <w:tc>
          <w:tcPr>
            <w:tcW w:w="1559" w:type="dxa"/>
            <w:vAlign w:val="center"/>
          </w:tcPr>
          <w:p>
            <w:pPr>
              <w:pStyle w:val="13"/>
            </w:pPr>
            <w:r>
              <w:t>国有土地收益基金安排的支出</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2121001</w:t>
            </w:r>
          </w:p>
        </w:tc>
        <w:tc>
          <w:tcPr>
            <w:tcW w:w="1559" w:type="dxa"/>
            <w:vAlign w:val="center"/>
          </w:tcPr>
          <w:p>
            <w:pPr>
              <w:pStyle w:val="13"/>
            </w:pPr>
            <w:r>
              <w:t>征地和拆迁补偿支出</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rPr>
                <w:rFonts w:hint="default" w:eastAsia="方正书宋_GBK"/>
                <w:lang w:val="en-US" w:eastAsia="zh-CN"/>
              </w:rPr>
            </w:pPr>
            <w:r>
              <w:rPr>
                <w:rFonts w:hint="eastAsia"/>
                <w:lang w:val="en-US" w:eastAsia="zh-CN"/>
              </w:rPr>
              <w:t>75.00</w:t>
            </w:r>
          </w:p>
        </w:tc>
        <w:tc>
          <w:tcPr>
            <w:tcW w:w="1134" w:type="dxa"/>
            <w:vAlign w:val="center"/>
          </w:tcPr>
          <w:p>
            <w:pPr>
              <w:pStyle w:val="12"/>
              <w:rPr>
                <w:rFonts w:hint="default" w:eastAsia="方正书宋_GBK"/>
                <w:lang w:val="en-US" w:eastAsia="zh-CN"/>
              </w:rPr>
            </w:pPr>
            <w:r>
              <w:rPr>
                <w:rFonts w:hint="eastAsia"/>
                <w:lang w:val="en-US" w:eastAsia="zh-CN"/>
              </w:rPr>
              <w:t>75.00</w:t>
            </w:r>
          </w:p>
        </w:tc>
        <w:tc>
          <w:tcPr>
            <w:tcW w:w="1134" w:type="dxa"/>
            <w:vAlign w:val="center"/>
          </w:tcPr>
          <w:p>
            <w:pPr>
              <w:pStyle w:val="12"/>
              <w:rPr>
                <w:rFonts w:hint="default" w:eastAsia="方正书宋_GBK"/>
                <w:lang w:val="en-US" w:eastAsia="zh-CN"/>
              </w:rPr>
            </w:pPr>
            <w:r>
              <w:rPr>
                <w:rFonts w:hint="eastAsia"/>
                <w:lang w:val="en-US" w:eastAsia="zh-CN"/>
              </w:rPr>
              <w:t>75.00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2"/>
              <w:ind w:firstLine="0" w:firstLineChars="0"/>
            </w:pPr>
            <w:r>
              <w:rPr>
                <w:rFonts w:hint="eastAsia"/>
                <w:lang w:val="en-US" w:eastAsia="zh-CN"/>
              </w:rPr>
              <w:t>75.00</w:t>
            </w:r>
          </w:p>
        </w:tc>
        <w:tc>
          <w:tcPr>
            <w:tcW w:w="1134" w:type="dxa"/>
            <w:vAlign w:val="center"/>
          </w:tcPr>
          <w:p>
            <w:pPr>
              <w:pStyle w:val="12"/>
              <w:ind w:firstLine="0" w:firstLineChars="0"/>
            </w:pPr>
            <w:r>
              <w:rPr>
                <w:rFonts w:hint="eastAsia"/>
                <w:lang w:val="en-US" w:eastAsia="zh-CN"/>
              </w:rPr>
              <w:t>75.00</w:t>
            </w:r>
          </w:p>
        </w:tc>
        <w:tc>
          <w:tcPr>
            <w:tcW w:w="1134" w:type="dxa"/>
            <w:vAlign w:val="center"/>
          </w:tcPr>
          <w:p>
            <w:pPr>
              <w:pStyle w:val="12"/>
              <w:ind w:firstLine="0" w:firstLineChars="0"/>
            </w:pPr>
            <w:r>
              <w:rPr>
                <w:rFonts w:hint="eastAsia"/>
                <w:lang w:val="en-US" w:eastAsia="zh-CN"/>
              </w:rPr>
              <w:t>75.00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2130205</w:t>
            </w:r>
          </w:p>
        </w:tc>
        <w:tc>
          <w:tcPr>
            <w:tcW w:w="1559" w:type="dxa"/>
            <w:vAlign w:val="center"/>
          </w:tcPr>
          <w:p>
            <w:pPr>
              <w:pStyle w:val="13"/>
            </w:pPr>
            <w:r>
              <w:t>森林资源培育</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2130209</w:t>
            </w:r>
          </w:p>
        </w:tc>
        <w:tc>
          <w:tcPr>
            <w:tcW w:w="1559" w:type="dxa"/>
            <w:vAlign w:val="center"/>
          </w:tcPr>
          <w:p>
            <w:pPr>
              <w:pStyle w:val="13"/>
            </w:pPr>
            <w:r>
              <w:t>森林生态效益补偿</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2130211</w:t>
            </w:r>
          </w:p>
        </w:tc>
        <w:tc>
          <w:tcPr>
            <w:tcW w:w="1559" w:type="dxa"/>
            <w:vAlign w:val="center"/>
          </w:tcPr>
          <w:p>
            <w:pPr>
              <w:pStyle w:val="13"/>
            </w:pPr>
            <w:r>
              <w:t>动植物保护</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2130234</w:t>
            </w:r>
          </w:p>
        </w:tc>
        <w:tc>
          <w:tcPr>
            <w:tcW w:w="1559" w:type="dxa"/>
            <w:vAlign w:val="center"/>
          </w:tcPr>
          <w:p>
            <w:pPr>
              <w:pStyle w:val="13"/>
            </w:pPr>
            <w:r>
              <w:t>林业草原防灾减灾</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2130299</w:t>
            </w:r>
          </w:p>
        </w:tc>
        <w:tc>
          <w:tcPr>
            <w:tcW w:w="1559" w:type="dxa"/>
            <w:vAlign w:val="center"/>
          </w:tcPr>
          <w:p>
            <w:pPr>
              <w:pStyle w:val="13"/>
            </w:pPr>
            <w:r>
              <w:t>其他林业和草原支出</w:t>
            </w:r>
          </w:p>
        </w:tc>
        <w:tc>
          <w:tcPr>
            <w:tcW w:w="1134" w:type="dxa"/>
            <w:vAlign w:val="center"/>
          </w:tcPr>
          <w:p>
            <w:pPr>
              <w:pStyle w:val="12"/>
              <w:rPr>
                <w:rFonts w:hint="default" w:eastAsia="方正书宋_GBK"/>
                <w:lang w:val="en-US" w:eastAsia="zh-CN"/>
              </w:rPr>
            </w:pPr>
            <w:r>
              <w:rPr>
                <w:rFonts w:hint="eastAsia"/>
                <w:lang w:val="en-US" w:eastAsia="zh-CN"/>
              </w:rPr>
              <w:t>65.00</w:t>
            </w:r>
          </w:p>
        </w:tc>
        <w:tc>
          <w:tcPr>
            <w:tcW w:w="1134" w:type="dxa"/>
            <w:vAlign w:val="center"/>
          </w:tcPr>
          <w:p>
            <w:pPr>
              <w:pStyle w:val="12"/>
            </w:pPr>
            <w:r>
              <w:rPr>
                <w:rFonts w:hint="eastAsia"/>
                <w:lang w:val="en-US" w:eastAsia="zh-CN"/>
              </w:rPr>
              <w:t>65.00</w:t>
            </w:r>
          </w:p>
        </w:tc>
        <w:tc>
          <w:tcPr>
            <w:tcW w:w="1134" w:type="dxa"/>
            <w:vAlign w:val="center"/>
          </w:tcPr>
          <w:p>
            <w:pPr>
              <w:pStyle w:val="12"/>
            </w:pPr>
            <w:r>
              <w:rPr>
                <w:rFonts w:hint="eastAsia"/>
                <w:lang w:val="en-US" w:eastAsia="zh-CN"/>
              </w:rPr>
              <w:t>65.00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2835.52</w:t>
            </w:r>
          </w:p>
        </w:tc>
        <w:tc>
          <w:tcPr>
            <w:tcW w:w="1134" w:type="dxa"/>
            <w:vAlign w:val="center"/>
          </w:tcPr>
          <w:p>
            <w:pPr>
              <w:pStyle w:val="12"/>
            </w:pPr>
            <w:r>
              <w:t>2835.52</w:t>
            </w:r>
          </w:p>
        </w:tc>
        <w:tc>
          <w:tcPr>
            <w:tcW w:w="1134" w:type="dxa"/>
            <w:vAlign w:val="center"/>
          </w:tcPr>
          <w:p>
            <w:pPr>
              <w:pStyle w:val="12"/>
            </w:pPr>
            <w:r>
              <w:t>2835.52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2835.52</w:t>
            </w:r>
          </w:p>
        </w:tc>
        <w:tc>
          <w:tcPr>
            <w:tcW w:w="1134" w:type="dxa"/>
            <w:vAlign w:val="center"/>
          </w:tcPr>
          <w:p>
            <w:pPr>
              <w:pStyle w:val="12"/>
            </w:pPr>
            <w:r>
              <w:t>2835.52</w:t>
            </w:r>
          </w:p>
        </w:tc>
        <w:tc>
          <w:tcPr>
            <w:tcW w:w="1134" w:type="dxa"/>
            <w:vAlign w:val="center"/>
          </w:tcPr>
          <w:p>
            <w:pPr>
              <w:pStyle w:val="12"/>
            </w:pPr>
            <w:r>
              <w:t>2835.52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2200101</w:t>
            </w:r>
          </w:p>
        </w:tc>
        <w:tc>
          <w:tcPr>
            <w:tcW w:w="1559" w:type="dxa"/>
            <w:vAlign w:val="center"/>
          </w:tcPr>
          <w:p>
            <w:pPr>
              <w:pStyle w:val="13"/>
            </w:pPr>
            <w:r>
              <w:t>行政运行</w:t>
            </w:r>
          </w:p>
        </w:tc>
        <w:tc>
          <w:tcPr>
            <w:tcW w:w="1134" w:type="dxa"/>
            <w:vAlign w:val="center"/>
          </w:tcPr>
          <w:p>
            <w:pPr>
              <w:pStyle w:val="12"/>
            </w:pPr>
            <w:r>
              <w:t>1915.52</w:t>
            </w:r>
          </w:p>
        </w:tc>
        <w:tc>
          <w:tcPr>
            <w:tcW w:w="1134" w:type="dxa"/>
            <w:vAlign w:val="center"/>
          </w:tcPr>
          <w:p>
            <w:pPr>
              <w:pStyle w:val="12"/>
            </w:pPr>
            <w:r>
              <w:t>1915.52</w:t>
            </w:r>
          </w:p>
        </w:tc>
        <w:tc>
          <w:tcPr>
            <w:tcW w:w="1134" w:type="dxa"/>
            <w:vAlign w:val="center"/>
          </w:tcPr>
          <w:p>
            <w:pPr>
              <w:pStyle w:val="12"/>
            </w:pPr>
            <w:r>
              <w:t>1915.52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2200106</w:t>
            </w:r>
          </w:p>
        </w:tc>
        <w:tc>
          <w:tcPr>
            <w:tcW w:w="1559" w:type="dxa"/>
            <w:vAlign w:val="center"/>
          </w:tcPr>
          <w:p>
            <w:pPr>
              <w:pStyle w:val="13"/>
            </w:pPr>
            <w:r>
              <w:t>自然资源利用与保护</w:t>
            </w:r>
          </w:p>
        </w:tc>
        <w:tc>
          <w:tcPr>
            <w:tcW w:w="1134" w:type="dxa"/>
            <w:vAlign w:val="center"/>
          </w:tcPr>
          <w:p>
            <w:pPr>
              <w:pStyle w:val="12"/>
            </w:pPr>
            <w:r>
              <w:t>700.00</w:t>
            </w:r>
          </w:p>
        </w:tc>
        <w:tc>
          <w:tcPr>
            <w:tcW w:w="1134" w:type="dxa"/>
            <w:vAlign w:val="center"/>
          </w:tcPr>
          <w:p>
            <w:pPr>
              <w:pStyle w:val="12"/>
            </w:pPr>
            <w:r>
              <w:t>700.00</w:t>
            </w:r>
          </w:p>
        </w:tc>
        <w:tc>
          <w:tcPr>
            <w:tcW w:w="1134" w:type="dxa"/>
            <w:vAlign w:val="center"/>
          </w:tcPr>
          <w:p>
            <w:pPr>
              <w:pStyle w:val="12"/>
            </w:pPr>
            <w:r>
              <w:t>700.00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2200199</w:t>
            </w:r>
          </w:p>
        </w:tc>
        <w:tc>
          <w:tcPr>
            <w:tcW w:w="1559" w:type="dxa"/>
            <w:vAlign w:val="center"/>
          </w:tcPr>
          <w:p>
            <w:pPr>
              <w:pStyle w:val="13"/>
            </w:pPr>
            <w:r>
              <w:t>其他自然资源事务支出</w:t>
            </w:r>
          </w:p>
        </w:tc>
        <w:tc>
          <w:tcPr>
            <w:tcW w:w="1134" w:type="dxa"/>
            <w:vAlign w:val="center"/>
          </w:tcPr>
          <w:p>
            <w:pPr>
              <w:pStyle w:val="12"/>
            </w:pPr>
            <w:r>
              <w:t>220.00</w:t>
            </w:r>
          </w:p>
        </w:tc>
        <w:tc>
          <w:tcPr>
            <w:tcW w:w="1134" w:type="dxa"/>
            <w:vAlign w:val="center"/>
          </w:tcPr>
          <w:p>
            <w:pPr>
              <w:pStyle w:val="12"/>
            </w:pPr>
            <w:r>
              <w:t>220.00</w:t>
            </w:r>
          </w:p>
        </w:tc>
        <w:tc>
          <w:tcPr>
            <w:tcW w:w="1134" w:type="dxa"/>
            <w:vAlign w:val="center"/>
          </w:tcPr>
          <w:p>
            <w:pPr>
              <w:pStyle w:val="12"/>
            </w:pPr>
            <w:r>
              <w:t>220.00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140.31</w:t>
            </w:r>
          </w:p>
        </w:tc>
        <w:tc>
          <w:tcPr>
            <w:tcW w:w="1134" w:type="dxa"/>
            <w:vAlign w:val="center"/>
          </w:tcPr>
          <w:p>
            <w:pPr>
              <w:pStyle w:val="12"/>
            </w:pPr>
            <w:r>
              <w:t>140.31</w:t>
            </w:r>
          </w:p>
        </w:tc>
        <w:tc>
          <w:tcPr>
            <w:tcW w:w="1134" w:type="dxa"/>
            <w:vAlign w:val="center"/>
          </w:tcPr>
          <w:p>
            <w:pPr>
              <w:pStyle w:val="12"/>
            </w:pPr>
            <w:r>
              <w:t>140.31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140.31</w:t>
            </w:r>
          </w:p>
        </w:tc>
        <w:tc>
          <w:tcPr>
            <w:tcW w:w="1134" w:type="dxa"/>
            <w:vAlign w:val="center"/>
          </w:tcPr>
          <w:p>
            <w:pPr>
              <w:pStyle w:val="12"/>
            </w:pPr>
            <w:r>
              <w:t>140.31</w:t>
            </w:r>
          </w:p>
        </w:tc>
        <w:tc>
          <w:tcPr>
            <w:tcW w:w="1134" w:type="dxa"/>
            <w:vAlign w:val="center"/>
          </w:tcPr>
          <w:p>
            <w:pPr>
              <w:pStyle w:val="12"/>
            </w:pPr>
            <w:r>
              <w:t>140.31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140.31</w:t>
            </w:r>
          </w:p>
        </w:tc>
        <w:tc>
          <w:tcPr>
            <w:tcW w:w="1134" w:type="dxa"/>
            <w:vAlign w:val="center"/>
          </w:tcPr>
          <w:p>
            <w:pPr>
              <w:pStyle w:val="12"/>
            </w:pPr>
            <w:r>
              <w:t>140.31</w:t>
            </w:r>
          </w:p>
        </w:tc>
        <w:tc>
          <w:tcPr>
            <w:tcW w:w="1134" w:type="dxa"/>
            <w:vAlign w:val="center"/>
          </w:tcPr>
          <w:p>
            <w:pPr>
              <w:pStyle w:val="12"/>
            </w:pPr>
            <w:r>
              <w:t>140.31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131沙河市自然资源和规划局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rPr>
                <w:rFonts w:hint="default" w:eastAsia="方正书宋_GBK"/>
                <w:lang w:val="en-US" w:eastAsia="zh-CN"/>
              </w:rPr>
            </w:pPr>
            <w:r>
              <w:t>30</w:t>
            </w:r>
            <w:r>
              <w:rPr>
                <w:rFonts w:hint="eastAsia"/>
                <w:lang w:val="en-US" w:eastAsia="zh-CN"/>
              </w:rPr>
              <w:t>483.12</w:t>
            </w:r>
          </w:p>
        </w:tc>
        <w:tc>
          <w:tcPr>
            <w:tcW w:w="1361" w:type="dxa"/>
            <w:vAlign w:val="center"/>
          </w:tcPr>
          <w:p>
            <w:pPr>
              <w:pStyle w:val="16"/>
            </w:pPr>
            <w:r>
              <w:t>2302.12</w:t>
            </w:r>
          </w:p>
        </w:tc>
        <w:tc>
          <w:tcPr>
            <w:tcW w:w="1361" w:type="dxa"/>
            <w:vAlign w:val="center"/>
          </w:tcPr>
          <w:p>
            <w:pPr>
              <w:pStyle w:val="16"/>
              <w:rPr>
                <w:rFonts w:hint="default" w:eastAsia="方正书宋_GBK"/>
                <w:lang w:val="en-US" w:eastAsia="zh-CN"/>
              </w:rPr>
            </w:pPr>
            <w:r>
              <w:rPr>
                <w:rFonts w:hint="eastAsia"/>
                <w:lang w:val="en-US" w:eastAsia="zh-CN"/>
              </w:rPr>
              <w:t>28181.00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172.15</w:t>
            </w:r>
          </w:p>
        </w:tc>
        <w:tc>
          <w:tcPr>
            <w:tcW w:w="1361" w:type="dxa"/>
            <w:vAlign w:val="center"/>
          </w:tcPr>
          <w:p>
            <w:pPr>
              <w:pStyle w:val="12"/>
            </w:pPr>
            <w:r>
              <w:t>172.15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172.15</w:t>
            </w:r>
          </w:p>
        </w:tc>
        <w:tc>
          <w:tcPr>
            <w:tcW w:w="1361" w:type="dxa"/>
            <w:vAlign w:val="center"/>
          </w:tcPr>
          <w:p>
            <w:pPr>
              <w:pStyle w:val="12"/>
            </w:pPr>
            <w:r>
              <w:t>172.15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172.15</w:t>
            </w:r>
          </w:p>
        </w:tc>
        <w:tc>
          <w:tcPr>
            <w:tcW w:w="1361" w:type="dxa"/>
            <w:vAlign w:val="center"/>
          </w:tcPr>
          <w:p>
            <w:pPr>
              <w:pStyle w:val="12"/>
            </w:pPr>
            <w:r>
              <w:t>172.15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74.14</w:t>
            </w:r>
          </w:p>
        </w:tc>
        <w:tc>
          <w:tcPr>
            <w:tcW w:w="1361" w:type="dxa"/>
            <w:vAlign w:val="center"/>
          </w:tcPr>
          <w:p>
            <w:pPr>
              <w:pStyle w:val="12"/>
            </w:pPr>
            <w:r>
              <w:t>74.14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74.14</w:t>
            </w:r>
          </w:p>
        </w:tc>
        <w:tc>
          <w:tcPr>
            <w:tcW w:w="1361" w:type="dxa"/>
            <w:vAlign w:val="center"/>
          </w:tcPr>
          <w:p>
            <w:pPr>
              <w:pStyle w:val="12"/>
            </w:pPr>
            <w:r>
              <w:t>74.14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74.14</w:t>
            </w:r>
          </w:p>
        </w:tc>
        <w:tc>
          <w:tcPr>
            <w:tcW w:w="1361" w:type="dxa"/>
            <w:vAlign w:val="center"/>
          </w:tcPr>
          <w:p>
            <w:pPr>
              <w:pStyle w:val="12"/>
            </w:pPr>
            <w:r>
              <w:t>74.14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27186.00</w:t>
            </w:r>
          </w:p>
        </w:tc>
        <w:tc>
          <w:tcPr>
            <w:tcW w:w="1361" w:type="dxa"/>
            <w:vAlign w:val="center"/>
          </w:tcPr>
          <w:p>
            <w:pPr>
              <w:pStyle w:val="12"/>
            </w:pPr>
          </w:p>
        </w:tc>
        <w:tc>
          <w:tcPr>
            <w:tcW w:w="1361" w:type="dxa"/>
            <w:vAlign w:val="center"/>
          </w:tcPr>
          <w:p>
            <w:pPr>
              <w:pStyle w:val="12"/>
            </w:pPr>
            <w:r>
              <w:t>27186.00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25186.00</w:t>
            </w:r>
          </w:p>
        </w:tc>
        <w:tc>
          <w:tcPr>
            <w:tcW w:w="1361" w:type="dxa"/>
            <w:vAlign w:val="center"/>
          </w:tcPr>
          <w:p>
            <w:pPr>
              <w:pStyle w:val="12"/>
            </w:pPr>
          </w:p>
        </w:tc>
        <w:tc>
          <w:tcPr>
            <w:tcW w:w="1361" w:type="dxa"/>
            <w:vAlign w:val="center"/>
          </w:tcPr>
          <w:p>
            <w:pPr>
              <w:pStyle w:val="12"/>
            </w:pPr>
            <w:r>
              <w:t>25186.00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2120801</w:t>
            </w:r>
          </w:p>
        </w:tc>
        <w:tc>
          <w:tcPr>
            <w:tcW w:w="4535" w:type="dxa"/>
            <w:vAlign w:val="center"/>
          </w:tcPr>
          <w:p>
            <w:pPr>
              <w:pStyle w:val="13"/>
            </w:pPr>
            <w:r>
              <w:t>征地和拆迁补偿支出</w:t>
            </w:r>
          </w:p>
        </w:tc>
        <w:tc>
          <w:tcPr>
            <w:tcW w:w="1361" w:type="dxa"/>
            <w:vAlign w:val="center"/>
          </w:tcPr>
          <w:p>
            <w:pPr>
              <w:pStyle w:val="12"/>
            </w:pPr>
            <w:r>
              <w:t>19186.00</w:t>
            </w:r>
          </w:p>
        </w:tc>
        <w:tc>
          <w:tcPr>
            <w:tcW w:w="1361" w:type="dxa"/>
            <w:vAlign w:val="center"/>
          </w:tcPr>
          <w:p>
            <w:pPr>
              <w:pStyle w:val="12"/>
            </w:pPr>
          </w:p>
        </w:tc>
        <w:tc>
          <w:tcPr>
            <w:tcW w:w="1361" w:type="dxa"/>
            <w:vAlign w:val="center"/>
          </w:tcPr>
          <w:p>
            <w:pPr>
              <w:pStyle w:val="12"/>
            </w:pPr>
            <w:r>
              <w:t>19186.00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2120805</w:t>
            </w:r>
          </w:p>
        </w:tc>
        <w:tc>
          <w:tcPr>
            <w:tcW w:w="4535" w:type="dxa"/>
            <w:vAlign w:val="center"/>
          </w:tcPr>
          <w:p>
            <w:pPr>
              <w:pStyle w:val="13"/>
            </w:pPr>
            <w:r>
              <w:t>补助被征地农民支出</w:t>
            </w:r>
          </w:p>
        </w:tc>
        <w:tc>
          <w:tcPr>
            <w:tcW w:w="1361" w:type="dxa"/>
            <w:vAlign w:val="center"/>
          </w:tcPr>
          <w:p>
            <w:pPr>
              <w:pStyle w:val="12"/>
            </w:pPr>
            <w:r>
              <w:t>3500.00</w:t>
            </w:r>
          </w:p>
        </w:tc>
        <w:tc>
          <w:tcPr>
            <w:tcW w:w="1361" w:type="dxa"/>
            <w:vAlign w:val="center"/>
          </w:tcPr>
          <w:p>
            <w:pPr>
              <w:pStyle w:val="12"/>
            </w:pPr>
          </w:p>
        </w:tc>
        <w:tc>
          <w:tcPr>
            <w:tcW w:w="1361" w:type="dxa"/>
            <w:vAlign w:val="center"/>
          </w:tcPr>
          <w:p>
            <w:pPr>
              <w:pStyle w:val="12"/>
            </w:pPr>
            <w:r>
              <w:t>3500.00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2120806</w:t>
            </w:r>
          </w:p>
        </w:tc>
        <w:tc>
          <w:tcPr>
            <w:tcW w:w="4535" w:type="dxa"/>
            <w:vAlign w:val="center"/>
          </w:tcPr>
          <w:p>
            <w:pPr>
              <w:pStyle w:val="13"/>
            </w:pPr>
            <w:r>
              <w:t>土地出让业务支出</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2120814</w:t>
            </w:r>
          </w:p>
        </w:tc>
        <w:tc>
          <w:tcPr>
            <w:tcW w:w="4535" w:type="dxa"/>
            <w:vAlign w:val="center"/>
          </w:tcPr>
          <w:p>
            <w:pPr>
              <w:pStyle w:val="13"/>
            </w:pPr>
            <w:r>
              <w:t>农业生产发展支出</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21210</w:t>
            </w:r>
          </w:p>
        </w:tc>
        <w:tc>
          <w:tcPr>
            <w:tcW w:w="4535" w:type="dxa"/>
            <w:vAlign w:val="center"/>
          </w:tcPr>
          <w:p>
            <w:pPr>
              <w:pStyle w:val="13"/>
            </w:pPr>
            <w:r>
              <w:t>国有土地收益基金安排的支出</w:t>
            </w: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2121001</w:t>
            </w:r>
          </w:p>
        </w:tc>
        <w:tc>
          <w:tcPr>
            <w:tcW w:w="4535" w:type="dxa"/>
            <w:vAlign w:val="center"/>
          </w:tcPr>
          <w:p>
            <w:pPr>
              <w:pStyle w:val="13"/>
            </w:pPr>
            <w:r>
              <w:t>征地和拆迁补偿支出</w:t>
            </w: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r>
              <w:t>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rPr>
                <w:rFonts w:hint="default" w:eastAsia="方正书宋_GBK"/>
                <w:lang w:val="en-US" w:eastAsia="zh-CN"/>
              </w:rPr>
            </w:pPr>
            <w:r>
              <w:rPr>
                <w:rFonts w:hint="eastAsia"/>
                <w:lang w:val="en-US" w:eastAsia="zh-CN"/>
              </w:rPr>
              <w:t>75.00</w:t>
            </w:r>
          </w:p>
        </w:tc>
        <w:tc>
          <w:tcPr>
            <w:tcW w:w="1361" w:type="dxa"/>
            <w:vAlign w:val="center"/>
          </w:tcPr>
          <w:p>
            <w:pPr>
              <w:pStyle w:val="12"/>
            </w:pPr>
          </w:p>
        </w:tc>
        <w:tc>
          <w:tcPr>
            <w:tcW w:w="1361" w:type="dxa"/>
            <w:vAlign w:val="center"/>
          </w:tcPr>
          <w:p>
            <w:pPr>
              <w:pStyle w:val="12"/>
            </w:pPr>
            <w:r>
              <w:rPr>
                <w:rFonts w:hint="eastAsia"/>
                <w:lang w:val="en-US" w:eastAsia="zh-CN"/>
              </w:rPr>
              <w:t>75.00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21302</w:t>
            </w:r>
          </w:p>
        </w:tc>
        <w:tc>
          <w:tcPr>
            <w:tcW w:w="4535" w:type="dxa"/>
            <w:vAlign w:val="center"/>
          </w:tcPr>
          <w:p>
            <w:pPr>
              <w:pStyle w:val="13"/>
            </w:pPr>
            <w:r>
              <w:t>林业和草原</w:t>
            </w:r>
          </w:p>
        </w:tc>
        <w:tc>
          <w:tcPr>
            <w:tcW w:w="1361" w:type="dxa"/>
            <w:vAlign w:val="center"/>
          </w:tcPr>
          <w:p>
            <w:pPr>
              <w:pStyle w:val="12"/>
            </w:pPr>
            <w:r>
              <w:rPr>
                <w:rFonts w:hint="eastAsia"/>
                <w:lang w:val="en-US" w:eastAsia="zh-CN"/>
              </w:rPr>
              <w:t>75.00</w:t>
            </w:r>
          </w:p>
        </w:tc>
        <w:tc>
          <w:tcPr>
            <w:tcW w:w="1361" w:type="dxa"/>
            <w:vAlign w:val="center"/>
          </w:tcPr>
          <w:p>
            <w:pPr>
              <w:pStyle w:val="12"/>
            </w:pPr>
          </w:p>
        </w:tc>
        <w:tc>
          <w:tcPr>
            <w:tcW w:w="1361" w:type="dxa"/>
            <w:vAlign w:val="center"/>
          </w:tcPr>
          <w:p>
            <w:pPr>
              <w:pStyle w:val="12"/>
            </w:pPr>
            <w:r>
              <w:rPr>
                <w:rFonts w:hint="eastAsia"/>
                <w:lang w:val="en-US" w:eastAsia="zh-CN"/>
              </w:rPr>
              <w:t>75.00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2130205</w:t>
            </w:r>
          </w:p>
        </w:tc>
        <w:tc>
          <w:tcPr>
            <w:tcW w:w="4535" w:type="dxa"/>
            <w:vAlign w:val="center"/>
          </w:tcPr>
          <w:p>
            <w:pPr>
              <w:pStyle w:val="13"/>
            </w:pPr>
            <w:r>
              <w:t>森林资源培育</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2130209</w:t>
            </w:r>
          </w:p>
        </w:tc>
        <w:tc>
          <w:tcPr>
            <w:tcW w:w="4535" w:type="dxa"/>
            <w:vAlign w:val="center"/>
          </w:tcPr>
          <w:p>
            <w:pPr>
              <w:pStyle w:val="13"/>
            </w:pPr>
            <w:r>
              <w:t>森林生态效益补偿</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2130211</w:t>
            </w:r>
          </w:p>
        </w:tc>
        <w:tc>
          <w:tcPr>
            <w:tcW w:w="4535" w:type="dxa"/>
            <w:vAlign w:val="center"/>
          </w:tcPr>
          <w:p>
            <w:pPr>
              <w:pStyle w:val="13"/>
            </w:pPr>
            <w:r>
              <w:t>动植物保护</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2130234</w:t>
            </w:r>
          </w:p>
        </w:tc>
        <w:tc>
          <w:tcPr>
            <w:tcW w:w="4535" w:type="dxa"/>
            <w:vAlign w:val="center"/>
          </w:tcPr>
          <w:p>
            <w:pPr>
              <w:pStyle w:val="13"/>
            </w:pPr>
            <w:r>
              <w:t>林业草原防灾减灾</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2130299</w:t>
            </w:r>
          </w:p>
        </w:tc>
        <w:tc>
          <w:tcPr>
            <w:tcW w:w="4535" w:type="dxa"/>
            <w:vAlign w:val="center"/>
          </w:tcPr>
          <w:p>
            <w:pPr>
              <w:pStyle w:val="13"/>
            </w:pPr>
            <w:r>
              <w:t>其他林业和草原支出</w:t>
            </w:r>
          </w:p>
        </w:tc>
        <w:tc>
          <w:tcPr>
            <w:tcW w:w="1361" w:type="dxa"/>
            <w:vAlign w:val="center"/>
          </w:tcPr>
          <w:p>
            <w:pPr>
              <w:pStyle w:val="12"/>
              <w:rPr>
                <w:rFonts w:hint="default" w:eastAsia="方正书宋_GBK"/>
                <w:lang w:val="en-US" w:eastAsia="zh-CN"/>
              </w:rPr>
            </w:pPr>
            <w:r>
              <w:rPr>
                <w:rFonts w:hint="eastAsia"/>
                <w:lang w:val="en-US" w:eastAsia="zh-CN"/>
              </w:rPr>
              <w:t>65.00.</w:t>
            </w:r>
          </w:p>
        </w:tc>
        <w:tc>
          <w:tcPr>
            <w:tcW w:w="1361" w:type="dxa"/>
            <w:vAlign w:val="center"/>
          </w:tcPr>
          <w:p>
            <w:pPr>
              <w:pStyle w:val="12"/>
            </w:pPr>
          </w:p>
        </w:tc>
        <w:tc>
          <w:tcPr>
            <w:tcW w:w="1361" w:type="dxa"/>
            <w:vAlign w:val="center"/>
          </w:tcPr>
          <w:p>
            <w:pPr>
              <w:pStyle w:val="12"/>
              <w:rPr>
                <w:rFonts w:hint="default" w:eastAsia="方正书宋_GBK"/>
                <w:lang w:val="en-US" w:eastAsia="zh-CN"/>
              </w:rPr>
            </w:pPr>
            <w:r>
              <w:rPr>
                <w:rFonts w:hint="eastAsia"/>
                <w:lang w:val="en-US" w:eastAsia="zh-CN"/>
              </w:rPr>
              <w:t>65.00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2835.52</w:t>
            </w:r>
          </w:p>
        </w:tc>
        <w:tc>
          <w:tcPr>
            <w:tcW w:w="1361" w:type="dxa"/>
            <w:vAlign w:val="center"/>
          </w:tcPr>
          <w:p>
            <w:pPr>
              <w:pStyle w:val="12"/>
            </w:pPr>
            <w:r>
              <w:t>1915.52</w:t>
            </w:r>
          </w:p>
        </w:tc>
        <w:tc>
          <w:tcPr>
            <w:tcW w:w="1361" w:type="dxa"/>
            <w:vAlign w:val="center"/>
          </w:tcPr>
          <w:p>
            <w:pPr>
              <w:pStyle w:val="12"/>
            </w:pPr>
            <w:r>
              <w:t>920.00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2835.52</w:t>
            </w:r>
          </w:p>
        </w:tc>
        <w:tc>
          <w:tcPr>
            <w:tcW w:w="1361" w:type="dxa"/>
            <w:vAlign w:val="center"/>
          </w:tcPr>
          <w:p>
            <w:pPr>
              <w:pStyle w:val="12"/>
            </w:pPr>
            <w:r>
              <w:t>1915.52</w:t>
            </w:r>
          </w:p>
        </w:tc>
        <w:tc>
          <w:tcPr>
            <w:tcW w:w="1361" w:type="dxa"/>
            <w:vAlign w:val="center"/>
          </w:tcPr>
          <w:p>
            <w:pPr>
              <w:pStyle w:val="12"/>
            </w:pPr>
            <w:r>
              <w:t>920.00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2200101</w:t>
            </w:r>
          </w:p>
        </w:tc>
        <w:tc>
          <w:tcPr>
            <w:tcW w:w="4535" w:type="dxa"/>
            <w:vAlign w:val="center"/>
          </w:tcPr>
          <w:p>
            <w:pPr>
              <w:pStyle w:val="13"/>
            </w:pPr>
            <w:r>
              <w:t>行政运行</w:t>
            </w:r>
          </w:p>
        </w:tc>
        <w:tc>
          <w:tcPr>
            <w:tcW w:w="1361" w:type="dxa"/>
            <w:vAlign w:val="center"/>
          </w:tcPr>
          <w:p>
            <w:pPr>
              <w:pStyle w:val="12"/>
            </w:pPr>
            <w:r>
              <w:t>1915.52</w:t>
            </w:r>
          </w:p>
        </w:tc>
        <w:tc>
          <w:tcPr>
            <w:tcW w:w="1361" w:type="dxa"/>
            <w:vAlign w:val="center"/>
          </w:tcPr>
          <w:p>
            <w:pPr>
              <w:pStyle w:val="12"/>
            </w:pPr>
            <w:r>
              <w:t>1915.52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2200106</w:t>
            </w:r>
          </w:p>
        </w:tc>
        <w:tc>
          <w:tcPr>
            <w:tcW w:w="4535" w:type="dxa"/>
            <w:vAlign w:val="center"/>
          </w:tcPr>
          <w:p>
            <w:pPr>
              <w:pStyle w:val="13"/>
            </w:pPr>
            <w:r>
              <w:t>自然资源利用与保护</w:t>
            </w:r>
          </w:p>
        </w:tc>
        <w:tc>
          <w:tcPr>
            <w:tcW w:w="1361" w:type="dxa"/>
            <w:vAlign w:val="center"/>
          </w:tcPr>
          <w:p>
            <w:pPr>
              <w:pStyle w:val="12"/>
            </w:pPr>
            <w:r>
              <w:t>700.00</w:t>
            </w:r>
          </w:p>
        </w:tc>
        <w:tc>
          <w:tcPr>
            <w:tcW w:w="1361" w:type="dxa"/>
            <w:vAlign w:val="center"/>
          </w:tcPr>
          <w:p>
            <w:pPr>
              <w:pStyle w:val="12"/>
            </w:pPr>
          </w:p>
        </w:tc>
        <w:tc>
          <w:tcPr>
            <w:tcW w:w="1361" w:type="dxa"/>
            <w:vAlign w:val="center"/>
          </w:tcPr>
          <w:p>
            <w:pPr>
              <w:pStyle w:val="12"/>
            </w:pPr>
            <w:r>
              <w:t>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2200199</w:t>
            </w:r>
          </w:p>
        </w:tc>
        <w:tc>
          <w:tcPr>
            <w:tcW w:w="4535" w:type="dxa"/>
            <w:vAlign w:val="center"/>
          </w:tcPr>
          <w:p>
            <w:pPr>
              <w:pStyle w:val="13"/>
            </w:pPr>
            <w:r>
              <w:t>其他自然资源事务支出</w:t>
            </w:r>
          </w:p>
        </w:tc>
        <w:tc>
          <w:tcPr>
            <w:tcW w:w="1361" w:type="dxa"/>
            <w:vAlign w:val="center"/>
          </w:tcPr>
          <w:p>
            <w:pPr>
              <w:pStyle w:val="12"/>
            </w:pPr>
            <w:r>
              <w:t>220.00</w:t>
            </w:r>
          </w:p>
        </w:tc>
        <w:tc>
          <w:tcPr>
            <w:tcW w:w="1361" w:type="dxa"/>
            <w:vAlign w:val="center"/>
          </w:tcPr>
          <w:p>
            <w:pPr>
              <w:pStyle w:val="12"/>
            </w:pPr>
          </w:p>
        </w:tc>
        <w:tc>
          <w:tcPr>
            <w:tcW w:w="1361" w:type="dxa"/>
            <w:vAlign w:val="center"/>
          </w:tcPr>
          <w:p>
            <w:pPr>
              <w:pStyle w:val="12"/>
            </w:pPr>
            <w:r>
              <w:t>220.00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140.31</w:t>
            </w:r>
          </w:p>
        </w:tc>
        <w:tc>
          <w:tcPr>
            <w:tcW w:w="1361" w:type="dxa"/>
            <w:vAlign w:val="center"/>
          </w:tcPr>
          <w:p>
            <w:pPr>
              <w:pStyle w:val="12"/>
            </w:pPr>
            <w:r>
              <w:t>140.31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140.31</w:t>
            </w:r>
          </w:p>
        </w:tc>
        <w:tc>
          <w:tcPr>
            <w:tcW w:w="1361" w:type="dxa"/>
            <w:vAlign w:val="center"/>
          </w:tcPr>
          <w:p>
            <w:pPr>
              <w:pStyle w:val="12"/>
            </w:pPr>
            <w:r>
              <w:t>140.31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140.31</w:t>
            </w:r>
          </w:p>
        </w:tc>
        <w:tc>
          <w:tcPr>
            <w:tcW w:w="1361" w:type="dxa"/>
            <w:vAlign w:val="center"/>
          </w:tcPr>
          <w:p>
            <w:pPr>
              <w:pStyle w:val="12"/>
            </w:pPr>
            <w:r>
              <w:t>140.31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131沙河市自然资源和规划局</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rPr>
                <w:rFonts w:hint="default" w:eastAsia="方正书宋_GBK"/>
                <w:lang w:val="en-US" w:eastAsia="zh-CN"/>
              </w:rPr>
            </w:pPr>
            <w:r>
              <w:rPr>
                <w:rFonts w:hint="eastAsia"/>
                <w:lang w:val="en-US" w:eastAsia="zh-CN"/>
              </w:rPr>
              <w:t>3297.12</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r>
              <w:t>27186.00</w:t>
            </w: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172.15</w:t>
            </w:r>
          </w:p>
        </w:tc>
        <w:tc>
          <w:tcPr>
            <w:tcW w:w="1232" w:type="dxa"/>
            <w:vAlign w:val="center"/>
          </w:tcPr>
          <w:p>
            <w:pPr>
              <w:pStyle w:val="12"/>
            </w:pPr>
            <w:r>
              <w:t>172.15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74.14</w:t>
            </w:r>
          </w:p>
        </w:tc>
        <w:tc>
          <w:tcPr>
            <w:tcW w:w="1232" w:type="dxa"/>
            <w:vAlign w:val="center"/>
          </w:tcPr>
          <w:p>
            <w:pPr>
              <w:pStyle w:val="12"/>
            </w:pPr>
            <w:r>
              <w:t>74.14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r>
              <w:t>27186.00</w:t>
            </w:r>
          </w:p>
        </w:tc>
        <w:tc>
          <w:tcPr>
            <w:tcW w:w="1232" w:type="dxa"/>
            <w:vAlign w:val="center"/>
          </w:tcPr>
          <w:p>
            <w:pPr>
              <w:pStyle w:val="12"/>
            </w:pPr>
          </w:p>
        </w:tc>
        <w:tc>
          <w:tcPr>
            <w:tcW w:w="1232" w:type="dxa"/>
            <w:vAlign w:val="center"/>
          </w:tcPr>
          <w:p>
            <w:pPr>
              <w:pStyle w:val="12"/>
            </w:pPr>
            <w:r>
              <w:t>27186.00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rPr>
                <w:rFonts w:hint="default" w:eastAsia="方正书宋_GBK"/>
                <w:lang w:val="en-US" w:eastAsia="zh-CN"/>
              </w:rPr>
            </w:pPr>
            <w:r>
              <w:rPr>
                <w:rFonts w:hint="eastAsia"/>
                <w:lang w:val="en-US" w:eastAsia="zh-CN"/>
              </w:rPr>
              <w:t>75.00</w:t>
            </w:r>
          </w:p>
        </w:tc>
        <w:tc>
          <w:tcPr>
            <w:tcW w:w="1232" w:type="dxa"/>
            <w:vAlign w:val="center"/>
          </w:tcPr>
          <w:p>
            <w:pPr>
              <w:pStyle w:val="12"/>
              <w:rPr>
                <w:rFonts w:hint="default" w:eastAsia="方正书宋_GBK"/>
                <w:lang w:val="en-US" w:eastAsia="zh-CN"/>
              </w:rPr>
            </w:pPr>
            <w:r>
              <w:rPr>
                <w:rFonts w:hint="eastAsia"/>
                <w:lang w:val="en-US" w:eastAsia="zh-CN"/>
              </w:rPr>
              <w:t>75.00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r>
              <w:t>2835.52</w:t>
            </w:r>
          </w:p>
        </w:tc>
        <w:tc>
          <w:tcPr>
            <w:tcW w:w="1232" w:type="dxa"/>
            <w:vAlign w:val="center"/>
          </w:tcPr>
          <w:p>
            <w:pPr>
              <w:pStyle w:val="12"/>
            </w:pPr>
            <w:r>
              <w:t>2835.52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140.31</w:t>
            </w:r>
          </w:p>
        </w:tc>
        <w:tc>
          <w:tcPr>
            <w:tcW w:w="1232" w:type="dxa"/>
            <w:vAlign w:val="center"/>
          </w:tcPr>
          <w:p>
            <w:pPr>
              <w:pStyle w:val="12"/>
            </w:pPr>
            <w:r>
              <w:t>140.31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rPr>
                <w:rFonts w:hint="default" w:eastAsia="方正书宋_GBK"/>
                <w:lang w:val="en-US" w:eastAsia="zh-CN"/>
              </w:rPr>
            </w:pPr>
            <w:r>
              <w:t>30</w:t>
            </w:r>
            <w:r>
              <w:rPr>
                <w:rFonts w:hint="eastAsia"/>
                <w:lang w:val="en-US" w:eastAsia="zh-CN"/>
              </w:rPr>
              <w:t>483.12</w:t>
            </w:r>
          </w:p>
        </w:tc>
        <w:tc>
          <w:tcPr>
            <w:tcW w:w="1232" w:type="dxa"/>
            <w:vAlign w:val="center"/>
          </w:tcPr>
          <w:p>
            <w:pPr>
              <w:pStyle w:val="15"/>
            </w:pPr>
            <w:r>
              <w:t>本年支出合计</w:t>
            </w:r>
          </w:p>
        </w:tc>
        <w:tc>
          <w:tcPr>
            <w:tcW w:w="1232" w:type="dxa"/>
            <w:vAlign w:val="center"/>
          </w:tcPr>
          <w:p>
            <w:pPr>
              <w:pStyle w:val="16"/>
              <w:ind w:firstLine="0" w:firstLineChars="0"/>
              <w:rPr>
                <w:rFonts w:hint="default" w:ascii="方正书宋_GBK" w:hAnsi="方正书宋_GBK" w:eastAsia="方正书宋_GBK" w:cs="方正书宋_GBK"/>
                <w:b/>
                <w:sz w:val="21"/>
                <w:szCs w:val="24"/>
                <w:lang w:val="en-US" w:eastAsia="zh-CN" w:bidi="ar-SA"/>
              </w:rPr>
            </w:pPr>
            <w:r>
              <w:t>30</w:t>
            </w:r>
            <w:r>
              <w:rPr>
                <w:rFonts w:hint="eastAsia"/>
                <w:lang w:val="en-US" w:eastAsia="zh-CN"/>
              </w:rPr>
              <w:t>483.12</w:t>
            </w:r>
          </w:p>
        </w:tc>
        <w:tc>
          <w:tcPr>
            <w:tcW w:w="1232" w:type="dxa"/>
            <w:vAlign w:val="center"/>
          </w:tcPr>
          <w:p>
            <w:pPr>
              <w:pStyle w:val="16"/>
              <w:rPr>
                <w:rFonts w:hint="default" w:eastAsia="方正书宋_GBK"/>
                <w:lang w:val="en-US" w:eastAsia="zh-CN"/>
              </w:rPr>
            </w:pPr>
            <w:r>
              <w:rPr>
                <w:rFonts w:hint="eastAsia"/>
                <w:lang w:val="en-US" w:eastAsia="zh-CN"/>
              </w:rPr>
              <w:t>3297.12</w:t>
            </w:r>
          </w:p>
        </w:tc>
        <w:tc>
          <w:tcPr>
            <w:tcW w:w="1232" w:type="dxa"/>
            <w:vAlign w:val="center"/>
          </w:tcPr>
          <w:p>
            <w:pPr>
              <w:pStyle w:val="16"/>
            </w:pPr>
            <w:r>
              <w:t>27186.00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30</w:t>
            </w:r>
            <w:r>
              <w:rPr>
                <w:rFonts w:hint="eastAsia"/>
                <w:lang w:val="en-US" w:eastAsia="zh-CN"/>
              </w:rPr>
              <w:t>483.12</w:t>
            </w:r>
          </w:p>
        </w:tc>
        <w:tc>
          <w:tcPr>
            <w:tcW w:w="1232" w:type="dxa"/>
            <w:vAlign w:val="center"/>
          </w:tcPr>
          <w:p>
            <w:pPr>
              <w:pStyle w:val="15"/>
            </w:pPr>
            <w:r>
              <w:t>支出总计</w:t>
            </w:r>
          </w:p>
        </w:tc>
        <w:tc>
          <w:tcPr>
            <w:tcW w:w="1232" w:type="dxa"/>
            <w:vAlign w:val="center"/>
          </w:tcPr>
          <w:p>
            <w:pPr>
              <w:pStyle w:val="16"/>
              <w:ind w:firstLine="0" w:firstLineChars="0"/>
            </w:pPr>
            <w:r>
              <w:t>30</w:t>
            </w:r>
            <w:r>
              <w:rPr>
                <w:rFonts w:hint="eastAsia"/>
                <w:lang w:val="en-US" w:eastAsia="zh-CN"/>
              </w:rPr>
              <w:t>483.12</w:t>
            </w:r>
          </w:p>
        </w:tc>
        <w:tc>
          <w:tcPr>
            <w:tcW w:w="1232" w:type="dxa"/>
            <w:vAlign w:val="center"/>
          </w:tcPr>
          <w:p>
            <w:pPr>
              <w:pStyle w:val="16"/>
              <w:ind w:firstLine="0" w:firstLineChars="0"/>
            </w:pPr>
            <w:r>
              <w:rPr>
                <w:rFonts w:hint="eastAsia"/>
                <w:lang w:val="en-US" w:eastAsia="zh-CN"/>
              </w:rPr>
              <w:t>3297.12</w:t>
            </w:r>
          </w:p>
        </w:tc>
        <w:tc>
          <w:tcPr>
            <w:tcW w:w="1232" w:type="dxa"/>
            <w:vAlign w:val="center"/>
          </w:tcPr>
          <w:p>
            <w:pPr>
              <w:pStyle w:val="16"/>
              <w:ind w:firstLine="0" w:firstLineChars="0"/>
            </w:pPr>
            <w:r>
              <w:t>27186.00</w:t>
            </w: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131沙河市自然资源和规划局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rFonts w:hint="default" w:eastAsia="方正书宋_GBK"/>
                <w:lang w:val="en-US" w:eastAsia="zh-CN"/>
              </w:rPr>
            </w:pPr>
            <w:r>
              <w:rPr>
                <w:rFonts w:hint="eastAsia"/>
                <w:lang w:val="en-US" w:eastAsia="zh-CN"/>
              </w:rPr>
              <w:t>3297.12</w:t>
            </w:r>
          </w:p>
        </w:tc>
        <w:tc>
          <w:tcPr>
            <w:tcW w:w="2551" w:type="dxa"/>
            <w:vAlign w:val="center"/>
          </w:tcPr>
          <w:p>
            <w:pPr>
              <w:pStyle w:val="16"/>
            </w:pPr>
            <w:r>
              <w:t>2302.12</w:t>
            </w:r>
          </w:p>
        </w:tc>
        <w:tc>
          <w:tcPr>
            <w:tcW w:w="2551" w:type="dxa"/>
            <w:vAlign w:val="center"/>
          </w:tcPr>
          <w:p>
            <w:pPr>
              <w:pStyle w:val="16"/>
              <w:rPr>
                <w:rFonts w:hint="default" w:eastAsia="方正书宋_GBK"/>
                <w:lang w:val="en-US" w:eastAsia="zh-CN"/>
              </w:rPr>
            </w:pPr>
            <w:r>
              <w:rPr>
                <w:rFonts w:hint="eastAsia"/>
                <w:lang w:val="en-US" w:eastAsia="zh-CN"/>
              </w:rPr>
              <w:t>995.00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172.15</w:t>
            </w:r>
          </w:p>
        </w:tc>
        <w:tc>
          <w:tcPr>
            <w:tcW w:w="2551" w:type="dxa"/>
            <w:vAlign w:val="center"/>
          </w:tcPr>
          <w:p>
            <w:pPr>
              <w:pStyle w:val="12"/>
            </w:pPr>
            <w:r>
              <w:t>172.15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172.15</w:t>
            </w:r>
          </w:p>
        </w:tc>
        <w:tc>
          <w:tcPr>
            <w:tcW w:w="2551" w:type="dxa"/>
            <w:vAlign w:val="center"/>
          </w:tcPr>
          <w:p>
            <w:pPr>
              <w:pStyle w:val="12"/>
            </w:pPr>
            <w:r>
              <w:t>172.15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172.15</w:t>
            </w:r>
          </w:p>
        </w:tc>
        <w:tc>
          <w:tcPr>
            <w:tcW w:w="2551" w:type="dxa"/>
            <w:vAlign w:val="center"/>
          </w:tcPr>
          <w:p>
            <w:pPr>
              <w:pStyle w:val="12"/>
            </w:pPr>
            <w:r>
              <w:t>172.15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74.14</w:t>
            </w:r>
          </w:p>
        </w:tc>
        <w:tc>
          <w:tcPr>
            <w:tcW w:w="2551" w:type="dxa"/>
            <w:vAlign w:val="center"/>
          </w:tcPr>
          <w:p>
            <w:pPr>
              <w:pStyle w:val="12"/>
            </w:pPr>
            <w:r>
              <w:t>74.14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74.14</w:t>
            </w:r>
          </w:p>
        </w:tc>
        <w:tc>
          <w:tcPr>
            <w:tcW w:w="2551" w:type="dxa"/>
            <w:vAlign w:val="center"/>
          </w:tcPr>
          <w:p>
            <w:pPr>
              <w:pStyle w:val="12"/>
            </w:pPr>
            <w:r>
              <w:t>74.14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74.14</w:t>
            </w:r>
          </w:p>
        </w:tc>
        <w:tc>
          <w:tcPr>
            <w:tcW w:w="2551" w:type="dxa"/>
            <w:vAlign w:val="center"/>
          </w:tcPr>
          <w:p>
            <w:pPr>
              <w:pStyle w:val="12"/>
            </w:pPr>
            <w:r>
              <w:t>74.14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ind w:firstLine="0" w:firstLineChars="0"/>
            </w:pPr>
            <w:r>
              <w:rPr>
                <w:rFonts w:hint="eastAsia"/>
                <w:lang w:val="en-US" w:eastAsia="zh-CN"/>
              </w:rPr>
              <w:t>75.00</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ind w:firstLine="0" w:firstLineChars="0"/>
            </w:pPr>
            <w:r>
              <w:rPr>
                <w:rFonts w:hint="eastAsia"/>
                <w:lang w:val="en-US" w:eastAsia="zh-CN"/>
              </w:rPr>
              <w:t>75.00</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2130205</w:t>
            </w:r>
          </w:p>
        </w:tc>
        <w:tc>
          <w:tcPr>
            <w:tcW w:w="4535" w:type="dxa"/>
            <w:vAlign w:val="center"/>
          </w:tcPr>
          <w:p>
            <w:pPr>
              <w:pStyle w:val="13"/>
            </w:pPr>
            <w:r>
              <w:t>森林资源培育</w:t>
            </w:r>
          </w:p>
        </w:tc>
        <w:tc>
          <w:tcPr>
            <w:tcW w:w="2551" w:type="dxa"/>
            <w:vAlign w:val="center"/>
          </w:tcPr>
          <w:p>
            <w:pPr>
              <w:pStyle w:val="12"/>
              <w:ind w:firstLine="0" w:firstLineChars="0"/>
            </w:pPr>
          </w:p>
        </w:tc>
        <w:tc>
          <w:tcPr>
            <w:tcW w:w="2551" w:type="dxa"/>
            <w:vAlign w:val="center"/>
          </w:tcPr>
          <w:p>
            <w:pPr>
              <w:pStyle w:val="12"/>
            </w:pP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2130209</w:t>
            </w:r>
          </w:p>
        </w:tc>
        <w:tc>
          <w:tcPr>
            <w:tcW w:w="4535" w:type="dxa"/>
            <w:vAlign w:val="center"/>
          </w:tcPr>
          <w:p>
            <w:pPr>
              <w:pStyle w:val="13"/>
            </w:pPr>
            <w:r>
              <w:t>森林生态效益补偿</w:t>
            </w:r>
          </w:p>
        </w:tc>
        <w:tc>
          <w:tcPr>
            <w:tcW w:w="2551" w:type="dxa"/>
            <w:vAlign w:val="center"/>
          </w:tcPr>
          <w:p>
            <w:pPr>
              <w:pStyle w:val="12"/>
              <w:ind w:firstLine="0" w:firstLineChars="0"/>
            </w:pPr>
          </w:p>
        </w:tc>
        <w:tc>
          <w:tcPr>
            <w:tcW w:w="2551" w:type="dxa"/>
            <w:vAlign w:val="center"/>
          </w:tcPr>
          <w:p>
            <w:pPr>
              <w:pStyle w:val="12"/>
            </w:pP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2130211</w:t>
            </w:r>
          </w:p>
        </w:tc>
        <w:tc>
          <w:tcPr>
            <w:tcW w:w="4535" w:type="dxa"/>
            <w:vAlign w:val="center"/>
          </w:tcPr>
          <w:p>
            <w:pPr>
              <w:pStyle w:val="13"/>
            </w:pPr>
            <w:r>
              <w:t>动植物保护</w:t>
            </w:r>
          </w:p>
        </w:tc>
        <w:tc>
          <w:tcPr>
            <w:tcW w:w="2551" w:type="dxa"/>
            <w:vAlign w:val="center"/>
          </w:tcPr>
          <w:p>
            <w:pPr>
              <w:pStyle w:val="12"/>
              <w:ind w:firstLine="0" w:firstLineChars="0"/>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2130234</w:t>
            </w:r>
          </w:p>
        </w:tc>
        <w:tc>
          <w:tcPr>
            <w:tcW w:w="4535" w:type="dxa"/>
            <w:vAlign w:val="center"/>
          </w:tcPr>
          <w:p>
            <w:pPr>
              <w:pStyle w:val="13"/>
            </w:pPr>
            <w:r>
              <w:t>林业草原防灾减灾</w:t>
            </w:r>
          </w:p>
        </w:tc>
        <w:tc>
          <w:tcPr>
            <w:tcW w:w="2551" w:type="dxa"/>
            <w:vAlign w:val="center"/>
          </w:tcPr>
          <w:p>
            <w:pPr>
              <w:pStyle w:val="12"/>
              <w:ind w:firstLine="0" w:firstLineChars="0"/>
            </w:pPr>
          </w:p>
        </w:tc>
        <w:tc>
          <w:tcPr>
            <w:tcW w:w="2551" w:type="dxa"/>
            <w:vAlign w:val="center"/>
          </w:tcPr>
          <w:p>
            <w:pPr>
              <w:pStyle w:val="12"/>
            </w:pP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2130299</w:t>
            </w:r>
          </w:p>
        </w:tc>
        <w:tc>
          <w:tcPr>
            <w:tcW w:w="4535" w:type="dxa"/>
            <w:vAlign w:val="center"/>
          </w:tcPr>
          <w:p>
            <w:pPr>
              <w:pStyle w:val="13"/>
            </w:pPr>
            <w:r>
              <w:t>其他林业和草原支出</w:t>
            </w:r>
          </w:p>
        </w:tc>
        <w:tc>
          <w:tcPr>
            <w:tcW w:w="2551" w:type="dxa"/>
            <w:vAlign w:val="center"/>
          </w:tcPr>
          <w:p>
            <w:pPr>
              <w:pStyle w:val="12"/>
              <w:ind w:firstLine="0" w:firstLineChars="0"/>
            </w:pPr>
            <w:r>
              <w:rPr>
                <w:rFonts w:hint="eastAsia"/>
                <w:lang w:val="en-US" w:eastAsia="zh-CN"/>
              </w:rPr>
              <w:t>65.00</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2835.52</w:t>
            </w:r>
          </w:p>
        </w:tc>
        <w:tc>
          <w:tcPr>
            <w:tcW w:w="2551" w:type="dxa"/>
            <w:vAlign w:val="center"/>
          </w:tcPr>
          <w:p>
            <w:pPr>
              <w:pStyle w:val="12"/>
            </w:pPr>
            <w:r>
              <w:t>1915.52</w:t>
            </w:r>
          </w:p>
        </w:tc>
        <w:tc>
          <w:tcPr>
            <w:tcW w:w="2551" w:type="dxa"/>
            <w:vAlign w:val="center"/>
          </w:tcPr>
          <w:p>
            <w:pPr>
              <w:pStyle w:val="12"/>
            </w:pPr>
            <w:r>
              <w:t>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2835.52</w:t>
            </w:r>
          </w:p>
        </w:tc>
        <w:tc>
          <w:tcPr>
            <w:tcW w:w="2551" w:type="dxa"/>
            <w:vAlign w:val="center"/>
          </w:tcPr>
          <w:p>
            <w:pPr>
              <w:pStyle w:val="12"/>
            </w:pPr>
            <w:r>
              <w:t>1915.52</w:t>
            </w:r>
          </w:p>
        </w:tc>
        <w:tc>
          <w:tcPr>
            <w:tcW w:w="2551" w:type="dxa"/>
            <w:vAlign w:val="center"/>
          </w:tcPr>
          <w:p>
            <w:pPr>
              <w:pStyle w:val="12"/>
            </w:pPr>
            <w:r>
              <w:t>920.00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2200101</w:t>
            </w:r>
          </w:p>
        </w:tc>
        <w:tc>
          <w:tcPr>
            <w:tcW w:w="4535" w:type="dxa"/>
            <w:vAlign w:val="center"/>
          </w:tcPr>
          <w:p>
            <w:pPr>
              <w:pStyle w:val="13"/>
            </w:pPr>
            <w:r>
              <w:t>行政运行</w:t>
            </w:r>
          </w:p>
        </w:tc>
        <w:tc>
          <w:tcPr>
            <w:tcW w:w="2551" w:type="dxa"/>
            <w:vAlign w:val="center"/>
          </w:tcPr>
          <w:p>
            <w:pPr>
              <w:pStyle w:val="12"/>
            </w:pPr>
            <w:r>
              <w:t>1915.52</w:t>
            </w:r>
          </w:p>
        </w:tc>
        <w:tc>
          <w:tcPr>
            <w:tcW w:w="2551" w:type="dxa"/>
            <w:vAlign w:val="center"/>
          </w:tcPr>
          <w:p>
            <w:pPr>
              <w:pStyle w:val="12"/>
            </w:pPr>
            <w:r>
              <w:t>1915.52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2200106</w:t>
            </w:r>
          </w:p>
        </w:tc>
        <w:tc>
          <w:tcPr>
            <w:tcW w:w="4535" w:type="dxa"/>
            <w:vAlign w:val="center"/>
          </w:tcPr>
          <w:p>
            <w:pPr>
              <w:pStyle w:val="13"/>
            </w:pPr>
            <w:r>
              <w:t>自然资源利用与保护</w:t>
            </w:r>
          </w:p>
        </w:tc>
        <w:tc>
          <w:tcPr>
            <w:tcW w:w="2551" w:type="dxa"/>
            <w:vAlign w:val="center"/>
          </w:tcPr>
          <w:p>
            <w:pPr>
              <w:pStyle w:val="12"/>
            </w:pPr>
            <w:r>
              <w:t>700.00</w:t>
            </w:r>
          </w:p>
        </w:tc>
        <w:tc>
          <w:tcPr>
            <w:tcW w:w="2551" w:type="dxa"/>
            <w:vAlign w:val="center"/>
          </w:tcPr>
          <w:p>
            <w:pPr>
              <w:pStyle w:val="12"/>
            </w:pPr>
          </w:p>
        </w:tc>
        <w:tc>
          <w:tcPr>
            <w:tcW w:w="2551" w:type="dxa"/>
            <w:vAlign w:val="center"/>
          </w:tcPr>
          <w:p>
            <w:pPr>
              <w:pStyle w:val="12"/>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2200199</w:t>
            </w:r>
          </w:p>
        </w:tc>
        <w:tc>
          <w:tcPr>
            <w:tcW w:w="4535" w:type="dxa"/>
            <w:vAlign w:val="center"/>
          </w:tcPr>
          <w:p>
            <w:pPr>
              <w:pStyle w:val="13"/>
            </w:pPr>
            <w:r>
              <w:t>其他自然资源事务支出</w:t>
            </w:r>
          </w:p>
        </w:tc>
        <w:tc>
          <w:tcPr>
            <w:tcW w:w="2551" w:type="dxa"/>
            <w:vAlign w:val="center"/>
          </w:tcPr>
          <w:p>
            <w:pPr>
              <w:pStyle w:val="12"/>
            </w:pPr>
            <w:r>
              <w:t>220.00</w:t>
            </w:r>
          </w:p>
        </w:tc>
        <w:tc>
          <w:tcPr>
            <w:tcW w:w="2551" w:type="dxa"/>
            <w:vAlign w:val="center"/>
          </w:tcPr>
          <w:p>
            <w:pPr>
              <w:pStyle w:val="12"/>
            </w:pPr>
          </w:p>
        </w:tc>
        <w:tc>
          <w:tcPr>
            <w:tcW w:w="2551" w:type="dxa"/>
            <w:vAlign w:val="center"/>
          </w:tcPr>
          <w:p>
            <w:pPr>
              <w:pStyle w:val="12"/>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140.31</w:t>
            </w:r>
          </w:p>
        </w:tc>
        <w:tc>
          <w:tcPr>
            <w:tcW w:w="2551" w:type="dxa"/>
            <w:vAlign w:val="center"/>
          </w:tcPr>
          <w:p>
            <w:pPr>
              <w:pStyle w:val="12"/>
            </w:pPr>
            <w:r>
              <w:t>140.31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140.31</w:t>
            </w:r>
          </w:p>
        </w:tc>
        <w:tc>
          <w:tcPr>
            <w:tcW w:w="2551" w:type="dxa"/>
            <w:vAlign w:val="center"/>
          </w:tcPr>
          <w:p>
            <w:pPr>
              <w:pStyle w:val="12"/>
            </w:pPr>
            <w:r>
              <w:t>140.31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140.31</w:t>
            </w:r>
          </w:p>
        </w:tc>
        <w:tc>
          <w:tcPr>
            <w:tcW w:w="2551" w:type="dxa"/>
            <w:vAlign w:val="center"/>
          </w:tcPr>
          <w:p>
            <w:pPr>
              <w:pStyle w:val="12"/>
            </w:pPr>
            <w:r>
              <w:t>140.31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131沙河市自然资源和规划局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2302.12</w:t>
            </w:r>
          </w:p>
        </w:tc>
        <w:tc>
          <w:tcPr>
            <w:tcW w:w="2551" w:type="dxa"/>
            <w:vAlign w:val="center"/>
          </w:tcPr>
          <w:p>
            <w:pPr>
              <w:pStyle w:val="16"/>
            </w:pPr>
            <w:r>
              <w:t>2223.05</w:t>
            </w:r>
          </w:p>
        </w:tc>
        <w:tc>
          <w:tcPr>
            <w:tcW w:w="2551" w:type="dxa"/>
            <w:vAlign w:val="center"/>
          </w:tcPr>
          <w:p>
            <w:pPr>
              <w:pStyle w:val="16"/>
            </w:pPr>
            <w:r>
              <w:t>79.07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2058.88</w:t>
            </w:r>
          </w:p>
        </w:tc>
        <w:tc>
          <w:tcPr>
            <w:tcW w:w="2551" w:type="dxa"/>
            <w:vAlign w:val="center"/>
          </w:tcPr>
          <w:p>
            <w:pPr>
              <w:pStyle w:val="12"/>
            </w:pPr>
            <w:r>
              <w:t>2058.88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1109.12</w:t>
            </w:r>
          </w:p>
        </w:tc>
        <w:tc>
          <w:tcPr>
            <w:tcW w:w="2551" w:type="dxa"/>
            <w:vAlign w:val="center"/>
          </w:tcPr>
          <w:p>
            <w:pPr>
              <w:pStyle w:val="12"/>
            </w:pPr>
            <w:r>
              <w:t>1109.12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81.04</w:t>
            </w:r>
          </w:p>
        </w:tc>
        <w:tc>
          <w:tcPr>
            <w:tcW w:w="2551" w:type="dxa"/>
            <w:vAlign w:val="center"/>
          </w:tcPr>
          <w:p>
            <w:pPr>
              <w:pStyle w:val="12"/>
            </w:pPr>
            <w:r>
              <w:t>81.04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36.50</w:t>
            </w:r>
          </w:p>
        </w:tc>
        <w:tc>
          <w:tcPr>
            <w:tcW w:w="2551" w:type="dxa"/>
            <w:vAlign w:val="center"/>
          </w:tcPr>
          <w:p>
            <w:pPr>
              <w:pStyle w:val="12"/>
            </w:pPr>
            <w:r>
              <w:t>36.50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445.62</w:t>
            </w:r>
          </w:p>
        </w:tc>
        <w:tc>
          <w:tcPr>
            <w:tcW w:w="2551" w:type="dxa"/>
            <w:vAlign w:val="center"/>
          </w:tcPr>
          <w:p>
            <w:pPr>
              <w:pStyle w:val="12"/>
            </w:pPr>
            <w:r>
              <w:t>445.62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172.15</w:t>
            </w:r>
          </w:p>
        </w:tc>
        <w:tc>
          <w:tcPr>
            <w:tcW w:w="2551" w:type="dxa"/>
            <w:vAlign w:val="center"/>
          </w:tcPr>
          <w:p>
            <w:pPr>
              <w:pStyle w:val="12"/>
            </w:pPr>
            <w:r>
              <w:t>172.15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74.14</w:t>
            </w:r>
          </w:p>
        </w:tc>
        <w:tc>
          <w:tcPr>
            <w:tcW w:w="2551" w:type="dxa"/>
            <w:vAlign w:val="center"/>
          </w:tcPr>
          <w:p>
            <w:pPr>
              <w:pStyle w:val="12"/>
            </w:pPr>
            <w:r>
              <w:t>74.14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140.31</w:t>
            </w:r>
          </w:p>
        </w:tc>
        <w:tc>
          <w:tcPr>
            <w:tcW w:w="2551" w:type="dxa"/>
            <w:vAlign w:val="center"/>
          </w:tcPr>
          <w:p>
            <w:pPr>
              <w:pStyle w:val="12"/>
            </w:pPr>
            <w:r>
              <w:t>140.31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79.07</w:t>
            </w:r>
          </w:p>
        </w:tc>
        <w:tc>
          <w:tcPr>
            <w:tcW w:w="2551" w:type="dxa"/>
            <w:vAlign w:val="center"/>
          </w:tcPr>
          <w:p>
            <w:pPr>
              <w:pStyle w:val="12"/>
            </w:pPr>
          </w:p>
        </w:tc>
        <w:tc>
          <w:tcPr>
            <w:tcW w:w="2551" w:type="dxa"/>
            <w:vAlign w:val="center"/>
          </w:tcPr>
          <w:p>
            <w:pPr>
              <w:pStyle w:val="12"/>
            </w:pPr>
            <w:r>
              <w:t>79.07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11.20</w:t>
            </w:r>
          </w:p>
        </w:tc>
        <w:tc>
          <w:tcPr>
            <w:tcW w:w="2551" w:type="dxa"/>
            <w:vAlign w:val="center"/>
          </w:tcPr>
          <w:p>
            <w:pPr>
              <w:pStyle w:val="12"/>
            </w:pPr>
          </w:p>
        </w:tc>
        <w:tc>
          <w:tcPr>
            <w:tcW w:w="2551" w:type="dxa"/>
            <w:vAlign w:val="center"/>
          </w:tcPr>
          <w:p>
            <w:pPr>
              <w:pStyle w:val="12"/>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18.12</w:t>
            </w:r>
          </w:p>
        </w:tc>
        <w:tc>
          <w:tcPr>
            <w:tcW w:w="2551" w:type="dxa"/>
            <w:vAlign w:val="center"/>
          </w:tcPr>
          <w:p>
            <w:pPr>
              <w:pStyle w:val="12"/>
            </w:pPr>
          </w:p>
        </w:tc>
        <w:tc>
          <w:tcPr>
            <w:tcW w:w="2551" w:type="dxa"/>
            <w:vAlign w:val="center"/>
          </w:tcPr>
          <w:p>
            <w:pPr>
              <w:pStyle w:val="12"/>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5.60</w:t>
            </w:r>
          </w:p>
        </w:tc>
        <w:tc>
          <w:tcPr>
            <w:tcW w:w="2551" w:type="dxa"/>
            <w:vAlign w:val="center"/>
          </w:tcPr>
          <w:p>
            <w:pPr>
              <w:pStyle w:val="12"/>
            </w:pPr>
          </w:p>
        </w:tc>
        <w:tc>
          <w:tcPr>
            <w:tcW w:w="2551" w:type="dxa"/>
            <w:vAlign w:val="center"/>
          </w:tcPr>
          <w:p>
            <w:pPr>
              <w:pStyle w:val="12"/>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12.37</w:t>
            </w:r>
          </w:p>
        </w:tc>
        <w:tc>
          <w:tcPr>
            <w:tcW w:w="2551" w:type="dxa"/>
            <w:vAlign w:val="center"/>
          </w:tcPr>
          <w:p>
            <w:pPr>
              <w:pStyle w:val="12"/>
            </w:pPr>
          </w:p>
        </w:tc>
        <w:tc>
          <w:tcPr>
            <w:tcW w:w="2551" w:type="dxa"/>
            <w:vAlign w:val="center"/>
          </w:tcPr>
          <w:p>
            <w:pPr>
              <w:pStyle w:val="12"/>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15.46</w:t>
            </w:r>
          </w:p>
        </w:tc>
        <w:tc>
          <w:tcPr>
            <w:tcW w:w="2551" w:type="dxa"/>
            <w:vAlign w:val="center"/>
          </w:tcPr>
          <w:p>
            <w:pPr>
              <w:pStyle w:val="12"/>
            </w:pPr>
          </w:p>
        </w:tc>
        <w:tc>
          <w:tcPr>
            <w:tcW w:w="2551" w:type="dxa"/>
            <w:vAlign w:val="center"/>
          </w:tcPr>
          <w:p>
            <w:pPr>
              <w:pStyle w:val="12"/>
            </w:pPr>
            <w:r>
              <w:t>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16.32</w:t>
            </w:r>
          </w:p>
        </w:tc>
        <w:tc>
          <w:tcPr>
            <w:tcW w:w="2551" w:type="dxa"/>
            <w:vAlign w:val="center"/>
          </w:tcPr>
          <w:p>
            <w:pPr>
              <w:pStyle w:val="12"/>
            </w:pPr>
          </w:p>
        </w:tc>
        <w:tc>
          <w:tcPr>
            <w:tcW w:w="2551" w:type="dxa"/>
            <w:vAlign w:val="center"/>
          </w:tcPr>
          <w:p>
            <w:pPr>
              <w:pStyle w:val="12"/>
            </w:pPr>
            <w:r>
              <w:t>16.32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164.17</w:t>
            </w:r>
          </w:p>
        </w:tc>
        <w:tc>
          <w:tcPr>
            <w:tcW w:w="2551" w:type="dxa"/>
            <w:vAlign w:val="center"/>
          </w:tcPr>
          <w:p>
            <w:pPr>
              <w:pStyle w:val="12"/>
            </w:pPr>
            <w:r>
              <w:t>164.17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103.09</w:t>
            </w:r>
          </w:p>
        </w:tc>
        <w:tc>
          <w:tcPr>
            <w:tcW w:w="2551" w:type="dxa"/>
            <w:vAlign w:val="center"/>
          </w:tcPr>
          <w:p>
            <w:pPr>
              <w:pStyle w:val="12"/>
            </w:pPr>
            <w:r>
              <w:t>103.09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6.08</w:t>
            </w:r>
          </w:p>
        </w:tc>
        <w:tc>
          <w:tcPr>
            <w:tcW w:w="2551" w:type="dxa"/>
            <w:vAlign w:val="center"/>
          </w:tcPr>
          <w:p>
            <w:pPr>
              <w:pStyle w:val="12"/>
            </w:pPr>
            <w:r>
              <w:t>6.08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55.00</w:t>
            </w:r>
          </w:p>
        </w:tc>
        <w:tc>
          <w:tcPr>
            <w:tcW w:w="2551" w:type="dxa"/>
            <w:vAlign w:val="center"/>
          </w:tcPr>
          <w:p>
            <w:pPr>
              <w:pStyle w:val="12"/>
            </w:pPr>
            <w:r>
              <w:t>55.00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131沙河市自然资源和规划局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27186.00</w:t>
            </w:r>
          </w:p>
        </w:tc>
        <w:tc>
          <w:tcPr>
            <w:tcW w:w="2551" w:type="dxa"/>
            <w:vAlign w:val="center"/>
          </w:tcPr>
          <w:p>
            <w:pPr>
              <w:pStyle w:val="16"/>
            </w:pPr>
          </w:p>
        </w:tc>
        <w:tc>
          <w:tcPr>
            <w:tcW w:w="2551" w:type="dxa"/>
            <w:vAlign w:val="center"/>
          </w:tcPr>
          <w:p>
            <w:pPr>
              <w:pStyle w:val="16"/>
            </w:pPr>
            <w:r>
              <w:t>27186.00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27186.00</w:t>
            </w:r>
          </w:p>
        </w:tc>
        <w:tc>
          <w:tcPr>
            <w:tcW w:w="2551" w:type="dxa"/>
            <w:vAlign w:val="center"/>
          </w:tcPr>
          <w:p>
            <w:pPr>
              <w:pStyle w:val="12"/>
            </w:pPr>
          </w:p>
        </w:tc>
        <w:tc>
          <w:tcPr>
            <w:tcW w:w="2551" w:type="dxa"/>
            <w:vAlign w:val="center"/>
          </w:tcPr>
          <w:p>
            <w:pPr>
              <w:pStyle w:val="12"/>
            </w:pPr>
            <w:r>
              <w:t>27186.00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25186.00</w:t>
            </w:r>
          </w:p>
        </w:tc>
        <w:tc>
          <w:tcPr>
            <w:tcW w:w="2551" w:type="dxa"/>
            <w:vAlign w:val="center"/>
          </w:tcPr>
          <w:p>
            <w:pPr>
              <w:pStyle w:val="12"/>
            </w:pPr>
          </w:p>
        </w:tc>
        <w:tc>
          <w:tcPr>
            <w:tcW w:w="2551" w:type="dxa"/>
            <w:vAlign w:val="center"/>
          </w:tcPr>
          <w:p>
            <w:pPr>
              <w:pStyle w:val="12"/>
            </w:pPr>
            <w:r>
              <w:t>25186.00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2120801</w:t>
            </w:r>
          </w:p>
        </w:tc>
        <w:tc>
          <w:tcPr>
            <w:tcW w:w="4535" w:type="dxa"/>
            <w:vAlign w:val="center"/>
          </w:tcPr>
          <w:p>
            <w:pPr>
              <w:pStyle w:val="13"/>
            </w:pPr>
            <w:r>
              <w:t>征地和拆迁补偿支出</w:t>
            </w:r>
          </w:p>
        </w:tc>
        <w:tc>
          <w:tcPr>
            <w:tcW w:w="2551" w:type="dxa"/>
            <w:vAlign w:val="center"/>
          </w:tcPr>
          <w:p>
            <w:pPr>
              <w:pStyle w:val="12"/>
            </w:pPr>
            <w:r>
              <w:t>19186.00</w:t>
            </w:r>
          </w:p>
        </w:tc>
        <w:tc>
          <w:tcPr>
            <w:tcW w:w="2551" w:type="dxa"/>
            <w:vAlign w:val="center"/>
          </w:tcPr>
          <w:p>
            <w:pPr>
              <w:pStyle w:val="12"/>
            </w:pPr>
          </w:p>
        </w:tc>
        <w:tc>
          <w:tcPr>
            <w:tcW w:w="2551" w:type="dxa"/>
            <w:vAlign w:val="center"/>
          </w:tcPr>
          <w:p>
            <w:pPr>
              <w:pStyle w:val="12"/>
            </w:pPr>
            <w:r>
              <w:t>19186.00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2120805</w:t>
            </w:r>
          </w:p>
        </w:tc>
        <w:tc>
          <w:tcPr>
            <w:tcW w:w="4535" w:type="dxa"/>
            <w:vAlign w:val="center"/>
          </w:tcPr>
          <w:p>
            <w:pPr>
              <w:pStyle w:val="13"/>
            </w:pPr>
            <w:r>
              <w:t>补助被征地农民支出</w:t>
            </w:r>
          </w:p>
        </w:tc>
        <w:tc>
          <w:tcPr>
            <w:tcW w:w="2551" w:type="dxa"/>
            <w:vAlign w:val="center"/>
          </w:tcPr>
          <w:p>
            <w:pPr>
              <w:pStyle w:val="12"/>
            </w:pPr>
            <w:r>
              <w:t>3500.00</w:t>
            </w:r>
          </w:p>
        </w:tc>
        <w:tc>
          <w:tcPr>
            <w:tcW w:w="2551" w:type="dxa"/>
            <w:vAlign w:val="center"/>
          </w:tcPr>
          <w:p>
            <w:pPr>
              <w:pStyle w:val="12"/>
            </w:pPr>
          </w:p>
        </w:tc>
        <w:tc>
          <w:tcPr>
            <w:tcW w:w="2551" w:type="dxa"/>
            <w:vAlign w:val="center"/>
          </w:tcPr>
          <w:p>
            <w:pPr>
              <w:pStyle w:val="12"/>
            </w:pPr>
            <w:r>
              <w:t>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2120806</w:t>
            </w:r>
          </w:p>
        </w:tc>
        <w:tc>
          <w:tcPr>
            <w:tcW w:w="4535" w:type="dxa"/>
            <w:vAlign w:val="center"/>
          </w:tcPr>
          <w:p>
            <w:pPr>
              <w:pStyle w:val="13"/>
            </w:pPr>
            <w:r>
              <w:t>土地出让业务支出</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2120814</w:t>
            </w:r>
          </w:p>
        </w:tc>
        <w:tc>
          <w:tcPr>
            <w:tcW w:w="4535" w:type="dxa"/>
            <w:vAlign w:val="center"/>
          </w:tcPr>
          <w:p>
            <w:pPr>
              <w:pStyle w:val="13"/>
            </w:pPr>
            <w:r>
              <w:t>农业生产发展支出</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21210</w:t>
            </w:r>
          </w:p>
        </w:tc>
        <w:tc>
          <w:tcPr>
            <w:tcW w:w="4535" w:type="dxa"/>
            <w:vAlign w:val="center"/>
          </w:tcPr>
          <w:p>
            <w:pPr>
              <w:pStyle w:val="13"/>
            </w:pPr>
            <w:r>
              <w:t>国有土地收益基金安排的支出</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2121001</w:t>
            </w:r>
          </w:p>
        </w:tc>
        <w:tc>
          <w:tcPr>
            <w:tcW w:w="4535" w:type="dxa"/>
            <w:vAlign w:val="center"/>
          </w:tcPr>
          <w:p>
            <w:pPr>
              <w:pStyle w:val="13"/>
            </w:pPr>
            <w:r>
              <w:t>征地和拆迁补偿支出</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131沙河市自然资源和规划局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131沙河市自然资源和规划局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8215" w:type="dxa"/>
            <w:gridSpan w:val="5"/>
            <w:vMerge w:val="restart"/>
            <w:vAlign w:val="center"/>
          </w:tcPr>
          <w:p>
            <w:pPr>
              <w:pStyle w:val="11"/>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6.90</w:t>
            </w:r>
          </w:p>
        </w:tc>
        <w:tc>
          <w:tcPr>
            <w:tcW w:w="1643" w:type="dxa"/>
            <w:vAlign w:val="center"/>
          </w:tcPr>
          <w:p>
            <w:pPr>
              <w:pStyle w:val="16"/>
            </w:pPr>
            <w:r>
              <w:t>6.90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4.90</w:t>
            </w:r>
          </w:p>
        </w:tc>
        <w:tc>
          <w:tcPr>
            <w:tcW w:w="1643" w:type="dxa"/>
            <w:vAlign w:val="center"/>
          </w:tcPr>
          <w:p>
            <w:pPr>
              <w:pStyle w:val="12"/>
            </w:pPr>
            <w:r>
              <w:t>4.90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p>
        </w:tc>
        <w:tc>
          <w:tcPr>
            <w:tcW w:w="1643" w:type="dxa"/>
            <w:vAlign w:val="center"/>
          </w:tcPr>
          <w:p>
            <w:pPr>
              <w:pStyle w:val="12"/>
              <w:jc w:val="center"/>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r>
              <w:t>4.90</w:t>
            </w:r>
          </w:p>
        </w:tc>
        <w:tc>
          <w:tcPr>
            <w:tcW w:w="1643" w:type="dxa"/>
            <w:vAlign w:val="center"/>
          </w:tcPr>
          <w:p>
            <w:pPr>
              <w:pStyle w:val="12"/>
            </w:pPr>
            <w:r>
              <w:t>4.90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10</w:t>
            </w:r>
          </w:p>
        </w:tc>
        <w:tc>
          <w:tcPr>
            <w:tcW w:w="1643" w:type="dxa"/>
            <w:vAlign w:val="center"/>
          </w:tcPr>
          <w:p>
            <w:pPr>
              <w:pStyle w:val="13"/>
            </w:pPr>
            <w:r>
              <w:t>四、会议费</w:t>
            </w:r>
          </w:p>
        </w:tc>
        <w:tc>
          <w:tcPr>
            <w:tcW w:w="1643" w:type="dxa"/>
            <w:vAlign w:val="center"/>
          </w:tcPr>
          <w:p>
            <w:pPr>
              <w:pStyle w:val="12"/>
            </w:pPr>
            <w:r>
              <w:t>2.00</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11</w:t>
            </w:r>
          </w:p>
        </w:tc>
        <w:tc>
          <w:tcPr>
            <w:tcW w:w="1643" w:type="dxa"/>
            <w:vAlign w:val="center"/>
          </w:tcPr>
          <w:p>
            <w:pPr>
              <w:pStyle w:val="13"/>
            </w:pPr>
            <w:r>
              <w:t>五、培训费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沙河市自然资源和规划局2024年部门预算信息公开情况说明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按照《中华人民共和国预算法》、《地方预决算公开操作规程》和《关于进一步推进预算公开工作的实施意见》规定，现将沙河市自然资源和规划局2024年部门预算公开如下：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（一）履行全民所有土地、矿产、森林、草原、湿地、水等自然资源资产所有者职责和所有国土空间用途管制职责。</w:t>
      </w:r>
    </w:p>
    <w:p>
      <w:pPr>
        <w:pStyle w:val="18"/>
      </w:pPr>
      <w:r>
        <w:t>（二）负责全市自然资源调查监测评价。</w:t>
      </w:r>
    </w:p>
    <w:p>
      <w:pPr>
        <w:pStyle w:val="18"/>
      </w:pPr>
      <w:r>
        <w:t>（三）负责全市自然资源统一确权登记工作。</w:t>
      </w:r>
    </w:p>
    <w:p>
      <w:pPr>
        <w:pStyle w:val="18"/>
      </w:pPr>
      <w:r>
        <w:t>（四）负责全市自然资源资产有偿使用工作。</w:t>
      </w:r>
    </w:p>
    <w:p>
      <w:pPr>
        <w:pStyle w:val="18"/>
      </w:pPr>
      <w:r>
        <w:t>（五）负责全市自然资源的合理开发利用。</w:t>
      </w:r>
    </w:p>
    <w:p>
      <w:pPr>
        <w:pStyle w:val="18"/>
      </w:pPr>
      <w:r>
        <w:t>（六）负责建立全市空间规划体系并监督实施。</w:t>
      </w:r>
    </w:p>
    <w:p>
      <w:pPr>
        <w:pStyle w:val="18"/>
      </w:pPr>
      <w:r>
        <w:t>（七）负责统筹全市国土空间生态修复。</w:t>
      </w:r>
    </w:p>
    <w:p>
      <w:pPr>
        <w:pStyle w:val="18"/>
      </w:pPr>
      <w:r>
        <w:t>（八）负责组织实施最严格的耕地保护制度。</w:t>
      </w:r>
    </w:p>
    <w:p>
      <w:pPr>
        <w:pStyle w:val="18"/>
      </w:pPr>
      <w:r>
        <w:t>（九）负责城乡规划的实施和管理。</w:t>
      </w:r>
    </w:p>
    <w:p>
      <w:pPr>
        <w:pStyle w:val="18"/>
      </w:pPr>
      <w:r>
        <w:t>（十）负责全市林业和草原及其生态保护修复的监督管理。</w:t>
      </w:r>
    </w:p>
    <w:p>
      <w:pPr>
        <w:pStyle w:val="18"/>
      </w:pPr>
      <w:r>
        <w:t>（十一）负责管理全市地质勘查行业和地质工作。编制地质勘查规划并监督检查执行情况。管理地质勘查项目。组织实施重大地质矿产勘查专项。负责古生物化石的监督管理。</w:t>
      </w:r>
    </w:p>
    <w:p>
      <w:pPr>
        <w:pStyle w:val="18"/>
      </w:pPr>
      <w:r>
        <w:t>（十二）负责地质灾害预防和治理。</w:t>
      </w:r>
    </w:p>
    <w:p>
      <w:pPr>
        <w:pStyle w:val="18"/>
      </w:pPr>
      <w:r>
        <w:t>（十三）负责全市矿产资源管理工作。</w:t>
      </w:r>
    </w:p>
    <w:p>
      <w:pPr>
        <w:pStyle w:val="18"/>
      </w:pPr>
      <w:r>
        <w:t>（十四）负责全市城乡规划、测绘地理信息管理工作。</w:t>
      </w:r>
    </w:p>
    <w:p>
      <w:pPr>
        <w:pStyle w:val="18"/>
      </w:pPr>
      <w:r>
        <w:t>（十五）推动全市自然资源领域科技发展。</w:t>
      </w:r>
    </w:p>
    <w:p>
      <w:pPr>
        <w:pStyle w:val="18"/>
      </w:pPr>
      <w:r>
        <w:t>（十六）组织开展全市自然资源和规划及林业和草原领域对外交流合作。</w:t>
      </w:r>
    </w:p>
    <w:p>
      <w:pPr>
        <w:pStyle w:val="18"/>
      </w:pPr>
      <w:r>
        <w:t>（十七）查处全市自然资源开发利用、国土空间规划、测绘及林业重大违法案件。</w:t>
      </w:r>
    </w:p>
    <w:p>
      <w:pPr>
        <w:pStyle w:val="18"/>
      </w:pPr>
      <w:r>
        <w:t>（十八）负责全市规划设计单位资质管理，监督注册规划师执业行为；负责自然资源和城乡规划档案的相关管理工作。负责乡村建筑风貌规划管理工作。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沙河市自然资源和规划局本级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按照预算管理有关规定，目前部门预算的编制实行综合预算管理，即全部收入和支出都反映在预算中。沙河市自然资源和规划局机关及所属事业单位的收支包含在部门预算中。</w:t>
      </w:r>
    </w:p>
    <w:p>
      <w:pPr>
        <w:pStyle w:val="19"/>
      </w:pPr>
      <w:r>
        <w:t>1、收入说明</w:t>
      </w:r>
    </w:p>
    <w:p>
      <w:pPr>
        <w:pStyle w:val="19"/>
      </w:pPr>
      <w:r>
        <w:t>反映本部门当年全部收入。2024年预算收入30</w:t>
      </w:r>
      <w:r>
        <w:rPr>
          <w:rFonts w:hint="eastAsia"/>
          <w:lang w:val="en-US" w:eastAsia="zh-CN"/>
        </w:rPr>
        <w:t>483.12</w:t>
      </w:r>
      <w:r>
        <w:t>万元，其中：一般公共预算收入</w:t>
      </w:r>
      <w:r>
        <w:rPr>
          <w:rFonts w:hint="eastAsia"/>
          <w:lang w:val="en-US" w:eastAsia="zh-CN"/>
        </w:rPr>
        <w:t>3297.12</w:t>
      </w:r>
      <w:r>
        <w:t>万元，基金预算收入27186.00万元，国有资本经营预算收入0.00万元，财政专户核拨收入0.00万元，单位资金收入0.00万元，上年结转结余0.00万元。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收支预算总表支出栏、基本支出表、项目支出表按经济分类和支出功能分类科目编制，反映沙河市自然资源和规划局年度部门预算中支出预算的总体情况。2024年支出预算</w:t>
      </w:r>
      <w:r>
        <w:rPr>
          <w:rFonts w:hint="eastAsia"/>
          <w:lang w:val="en-US" w:eastAsia="zh-CN"/>
        </w:rPr>
        <w:t>30483.12</w:t>
      </w:r>
      <w:r>
        <w:t>万元，其中基本支出2302.12万元，包括人员经费2223.05万元和日常公用经费79.07万元；项目支出</w:t>
      </w:r>
      <w:r>
        <w:rPr>
          <w:rFonts w:hint="eastAsia"/>
          <w:lang w:val="en-US" w:eastAsia="zh-CN"/>
        </w:rPr>
        <w:t>28181</w:t>
      </w:r>
      <w:r>
        <w:t>万元，主要为一般公共预算拨款项目支出995万元，其中：高标准农田700万元、野生动物保护经费10万元、自然资源和规划局工作经费20万元、林业行业管理经费5万元、森林植被恢复费60万元、自然资源事务业务经费200万元；政府性基金预算拨款项目支出27186万元，其中：征地和拆迁补偿支出1986万元、补助被征地农民支出（社保费及风险基金）3500万元、农业生产发展支出（土地整合整治）1000万元、土地出让业务支出（土地出让业务费）1500万元、国有土地收益基金安排的征地和拆迁补偿支出2000万元。</w:t>
      </w:r>
    </w:p>
    <w:p>
      <w:pPr>
        <w:pStyle w:val="19"/>
      </w:pPr>
      <w:r>
        <w:t>3、比上年增减情况</w:t>
      </w:r>
    </w:p>
    <w:p>
      <w:pPr>
        <w:pStyle w:val="19"/>
      </w:pPr>
      <w:r>
        <w:t>2024年预算收支安排30891.19万元，较2023年预算</w:t>
      </w:r>
      <w:r>
        <w:rPr>
          <w:rFonts w:hint="eastAsia"/>
          <w:lang w:eastAsia="zh-CN"/>
        </w:rPr>
        <w:t>增加</w:t>
      </w:r>
      <w:r>
        <w:rPr>
          <w:rFonts w:hint="eastAsia"/>
          <w:lang w:val="en-US" w:eastAsia="zh-CN"/>
        </w:rPr>
        <w:t>135.78</w:t>
      </w:r>
      <w:r>
        <w:t>万元，其中：基本支出减少63.43万元，主要为人员经费2223.05万元，其中：财政供养人员代扣个人工资部分218.61万元、财政供养人员工资福利支出1271.17万元（包括：基本工资399.92万元、津补贴54.26万元、奖金（在职人员年终一次性奖金）9.87万元、行政人员基础绩效奖17.83万元、基础性绩效工资183.07万元、奖励性绩效工资118.33万元、补充绩效工资97.02万元、基本养老保险费172.15万元、基本医疗保险费74.14万元、住房公积金140.31万元、乡镇工作补贴4.27万元）、财政供养人员其他工资性支出187.68万元(包括：在职人员住宅取暖费21万元、岗位性及其他津补贴1.51万元、行政人员年度考核奖8.8万元、事业人员年度考核奖47.2万元、退休金1.19万元、退休人员住宅取暖费13.05万元、退休人员月度生活补贴59.49万元、退休人员年度一次性生活补贴29.36万元、遗属补助6.08万元）、离退休人员补助经费55万元、补助经费490.59万元。较上年减少52.2万元，减少2.29%，减少原因为人员正常退休，人员减少。正常公用经费79.07万元，较上年减少11.23万元，减少12.43%，减少原因为压减办公经费。项目支出减少81.41万元，主要为项目支出28181万元，其中一般公共预算拨款项目支出995万元，其中：高标准农田700万元、野生动物保护经费10万元、自然资源和规划局工作经费20万元、林业行业管理经费5万元、森林植被恢复费60万元、自然资源事务业务经费200万元。一般公共预算项目支出减少1762.79万元，较上年度减少63.92%，主要原因为减少高标准农田项目资金等；政府性基金预算拨款项目支出27186万元，其中：征地和拆迁补偿支出1986万元、补助被征地农民支出（社保费及风险基金）3500万元、农业生产发展支出（土地整合整治）1000万元、土地出让业务支出（土地出让业务费）1500万元、国有土地收益基金安排的征地和拆迁补偿支出2000万元。政府性基金预算拨款项目支出增加1962万元，较上年度增加7.77%，主要原因为增加补助被征地农民支出（社保费及风险基金）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6"/>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 </w:t>
      </w:r>
      <w:r>
        <w:rPr>
          <w:rFonts w:hint="eastAsia" w:ascii="Times New Roman" w:hAnsi="Times New Roman" w:eastAsia="方正仿宋_GBK" w:cs="Times New Roman"/>
          <w:sz w:val="28"/>
          <w:szCs w:val="24"/>
          <w:lang w:val="en-US" w:eastAsia="uk-UA" w:bidi="ar-SA"/>
        </w:rPr>
        <w:t>2024年，我</w:t>
      </w:r>
      <w:r>
        <w:rPr>
          <w:rFonts w:hint="eastAsia" w:cs="Times New Roman"/>
          <w:sz w:val="28"/>
          <w:szCs w:val="24"/>
          <w:lang w:val="en-US" w:eastAsia="zh-CN" w:bidi="ar-SA"/>
        </w:rPr>
        <w:t>部门</w:t>
      </w:r>
      <w:r>
        <w:rPr>
          <w:rFonts w:hint="eastAsia"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zh-CN" w:bidi="ar-SA"/>
        </w:rPr>
        <w:t>79.07万元</w:t>
      </w:r>
      <w:r>
        <w:rPr>
          <w:rFonts w:hint="eastAsia" w:ascii="Times New Roman" w:hAnsi="Times New Roman" w:eastAsia="方正仿宋_GBK" w:cs="Times New Roman"/>
          <w:sz w:val="28"/>
          <w:szCs w:val="24"/>
          <w:lang w:val="en-US" w:eastAsia="uk-UA" w:bidi="ar-SA"/>
        </w:rPr>
        <w:t>，主要用于日常维修、办公用房水电费、办公用房取暖费、 办公用房物业管理费等日常运行支出。</w:t>
      </w:r>
    </w:p>
    <w:p>
      <w:pPr>
        <w:pStyle w:val="26"/>
        <w:rPr>
          <w:rFonts w:hint="eastAsia" w:ascii="Times New Roman" w:hAnsi="Times New Roman" w:eastAsia="方正仿宋_GBK" w:cs="Times New Roman"/>
          <w:sz w:val="28"/>
          <w:szCs w:val="24"/>
          <w:lang w:val="en-US" w:eastAsia="uk-UA" w:bidi="ar-SA"/>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widowControl/>
        <w:spacing w:line="610" w:lineRule="atLeast"/>
        <w:ind w:firstLine="480" w:firstLineChars="200"/>
        <w:jc w:val="left"/>
        <w:rPr>
          <w:rFonts w:ascii="Times New Roman" w:hAnsi="Times New Roman" w:eastAsia="方正仿宋_GBK" w:cs="Times New Roman"/>
          <w:sz w:val="28"/>
          <w:szCs w:val="24"/>
          <w:lang w:val="en-US" w:eastAsia="zh-CN" w:bidi="ar-SA"/>
        </w:rPr>
      </w:pPr>
      <w:r>
        <w:t>2</w:t>
      </w:r>
      <w:r>
        <w:rPr>
          <w:rFonts w:ascii="Times New Roman" w:hAnsi="Times New Roman" w:eastAsia="方正仿宋_GBK" w:cs="Times New Roman"/>
          <w:sz w:val="28"/>
          <w:szCs w:val="24"/>
          <w:lang w:val="en-US" w:eastAsia="zh-CN" w:bidi="ar-SA"/>
        </w:rPr>
        <w:t>02</w:t>
      </w:r>
      <w:r>
        <w:rPr>
          <w:rFonts w:hint="eastAsia" w:eastAsia="方正仿宋_GBK" w:cs="Times New Roman"/>
          <w:sz w:val="28"/>
          <w:szCs w:val="24"/>
          <w:lang w:val="en-US" w:eastAsia="zh-CN" w:bidi="ar-SA"/>
        </w:rPr>
        <w:t>4</w:t>
      </w:r>
      <w:r>
        <w:rPr>
          <w:rFonts w:ascii="Times New Roman" w:hAnsi="Times New Roman" w:eastAsia="方正仿宋_GBK" w:cs="Times New Roman"/>
          <w:sz w:val="28"/>
          <w:szCs w:val="24"/>
          <w:lang w:val="en-US" w:eastAsia="zh-CN" w:bidi="ar-SA"/>
        </w:rPr>
        <w:t>年部门预算财政拨款</w:t>
      </w:r>
      <w:r>
        <w:rPr>
          <w:rFonts w:hint="eastAsia" w:eastAsia="方正仿宋_GBK" w:cs="Times New Roman"/>
          <w:sz w:val="28"/>
          <w:szCs w:val="24"/>
          <w:lang w:val="en-US" w:eastAsia="zh-CN" w:bidi="ar-SA"/>
        </w:rPr>
        <w:t>“三公”经费</w:t>
      </w:r>
      <w:r>
        <w:rPr>
          <w:rFonts w:ascii="Times New Roman" w:hAnsi="Times New Roman" w:eastAsia="方正仿宋_GBK" w:cs="Times New Roman"/>
          <w:sz w:val="28"/>
          <w:szCs w:val="24"/>
          <w:lang w:val="en-US" w:eastAsia="zh-CN" w:bidi="ar-SA"/>
        </w:rPr>
        <w:t>支出安排6.9万元，其中一、因公出国（境）费0万元，二</w:t>
      </w:r>
      <w:r>
        <w:rPr>
          <w:rFonts w:hint="eastAsia" w:eastAsia="方正仿宋_GBK" w:cs="Times New Roman"/>
          <w:sz w:val="28"/>
          <w:szCs w:val="24"/>
          <w:lang w:val="en-US" w:eastAsia="zh-CN" w:bidi="ar-SA"/>
        </w:rPr>
        <w:t>、</w:t>
      </w:r>
      <w:r>
        <w:rPr>
          <w:rFonts w:ascii="Times New Roman" w:hAnsi="Times New Roman" w:eastAsia="方正仿宋_GBK" w:cs="Times New Roman"/>
          <w:sz w:val="28"/>
          <w:szCs w:val="24"/>
          <w:lang w:val="en-US" w:eastAsia="zh-CN" w:bidi="ar-SA"/>
        </w:rPr>
        <w:t>公务用车运行费0万元，</w:t>
      </w:r>
      <w:r>
        <w:rPr>
          <w:rFonts w:hint="eastAsia" w:ascii="Times New Roman" w:hAnsi="Times New Roman" w:eastAsia="方正仿宋_GBK" w:cs="Times New Roman"/>
          <w:sz w:val="28"/>
          <w:szCs w:val="24"/>
          <w:lang w:val="en-US" w:eastAsia="zh-CN" w:bidi="ar-SA"/>
        </w:rPr>
        <w:t>较202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年相比持平。</w:t>
      </w:r>
      <w:r>
        <w:rPr>
          <w:rFonts w:ascii="Times New Roman" w:hAnsi="Times New Roman" w:eastAsia="方正仿宋_GBK" w:cs="Times New Roman"/>
          <w:sz w:val="28"/>
          <w:szCs w:val="24"/>
          <w:lang w:val="en-US" w:eastAsia="zh-CN" w:bidi="ar-SA"/>
        </w:rPr>
        <w:t>三</w:t>
      </w:r>
      <w:r>
        <w:rPr>
          <w:rFonts w:hint="eastAsia" w:eastAsia="方正仿宋_GBK" w:cs="Times New Roman"/>
          <w:sz w:val="28"/>
          <w:szCs w:val="24"/>
          <w:lang w:val="en-US" w:eastAsia="zh-CN" w:bidi="ar-SA"/>
        </w:rPr>
        <w:t>、</w:t>
      </w:r>
      <w:r>
        <w:rPr>
          <w:rFonts w:ascii="Times New Roman" w:hAnsi="Times New Roman" w:eastAsia="方正仿宋_GBK" w:cs="Times New Roman"/>
          <w:sz w:val="28"/>
          <w:szCs w:val="24"/>
          <w:lang w:val="en-US" w:eastAsia="zh-CN" w:bidi="ar-SA"/>
        </w:rPr>
        <w:t>公务接待费4.9万元，</w:t>
      </w:r>
      <w:r>
        <w:rPr>
          <w:rFonts w:hint="eastAsia" w:ascii="Times New Roman" w:hAnsi="Times New Roman" w:eastAsia="方正仿宋_GBK" w:cs="Times New Roman"/>
          <w:sz w:val="28"/>
          <w:szCs w:val="24"/>
          <w:lang w:val="en-US" w:eastAsia="zh-CN" w:bidi="ar-SA"/>
        </w:rPr>
        <w:t>较202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年相比持平。</w:t>
      </w:r>
      <w:r>
        <w:rPr>
          <w:rFonts w:ascii="Times New Roman" w:hAnsi="Times New Roman" w:eastAsia="方正仿宋_GBK" w:cs="Times New Roman"/>
          <w:sz w:val="28"/>
          <w:szCs w:val="24"/>
          <w:lang w:val="en-US" w:eastAsia="zh-CN" w:bidi="ar-SA"/>
        </w:rPr>
        <w:t>四</w:t>
      </w:r>
      <w:r>
        <w:rPr>
          <w:rFonts w:hint="eastAsia" w:eastAsia="方正仿宋_GBK" w:cs="Times New Roman"/>
          <w:sz w:val="28"/>
          <w:szCs w:val="24"/>
          <w:lang w:val="en-US" w:eastAsia="zh-CN" w:bidi="ar-SA"/>
        </w:rPr>
        <w:t>、</w:t>
      </w:r>
      <w:r>
        <w:rPr>
          <w:rFonts w:ascii="Times New Roman" w:hAnsi="Times New Roman" w:eastAsia="方正仿宋_GBK" w:cs="Times New Roman"/>
          <w:sz w:val="28"/>
          <w:szCs w:val="24"/>
          <w:lang w:val="en-US" w:eastAsia="zh-CN" w:bidi="ar-SA"/>
        </w:rPr>
        <w:t>会议费2万元</w:t>
      </w:r>
      <w:r>
        <w:rPr>
          <w:rFonts w:hint="eastAsia" w:ascii="Times New Roman" w:hAnsi="Times New Roman" w:eastAsia="方正仿宋_GBK" w:cs="Times New Roman"/>
          <w:sz w:val="28"/>
          <w:szCs w:val="24"/>
          <w:lang w:val="en-US" w:eastAsia="zh-CN" w:bidi="ar-SA"/>
        </w:rPr>
        <w:t>，较202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zh-CN" w:bidi="ar-SA"/>
        </w:rPr>
        <w:t>年相比持平。</w:t>
      </w:r>
      <w:r>
        <w:rPr>
          <w:rFonts w:hint="eastAsia" w:ascii="Times New Roman" w:hAnsi="Times New Roman" w:eastAsia="方正仿宋_GBK" w:cs="Times New Roman"/>
          <w:sz w:val="28"/>
          <w:szCs w:val="24"/>
          <w:lang w:val="en-US" w:eastAsia="uk-UA" w:bidi="ar-SA"/>
        </w:rPr>
        <w:t>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按照省厅、市局及市委</w:t>
      </w:r>
      <w:r>
        <w:rPr>
          <w:rFonts w:hint="eastAsia"/>
          <w:lang w:eastAsia="zh-CN"/>
        </w:rPr>
        <w:t>、</w:t>
      </w:r>
      <w:r>
        <w:t>市政府的安排部署，结合我市自然资源管理工作实际，进一步强化资源保护和合理利用，坚守耕地红线，保障项目用地，加强土地储备，盘活存量土地，强化矿政管理，提高地质灾害群测群防能力，严厉打击各类违法行为，以务实高效的工作作风，进一步提升自然资源管理和服务水平，为全市经济社会发展提供有力支撑。做好矿产资源储量管理、地籍管理、土地调查项目管理、土地利用规划管理、综合事务管理、林业生态建设工作和林业科技支撑和公共服务等工作，保证局机关正常运转，制定编制全市自然资源规划，落实相关政策法规，开展自然资源科技发展研究等。调研提出规划和建议，林业执法、教育培训、信息宣传，工作部署、协调推动、普查统计、督促指导、行政审批、业务监管及市委、</w:t>
      </w:r>
      <w:r>
        <w:rPr>
          <w:rFonts w:hint="eastAsia"/>
          <w:lang w:val="en-US" w:eastAsia="zh-CN"/>
        </w:rPr>
        <w:t>市</w:t>
      </w:r>
      <w:r>
        <w:t>政府交办的其他事项等行政管理事项。圆满完成市委、市政府交办的各类事项，保障自然资源事业又好又快地发展。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目标1：保障职工工资、福利正常发放,提高工作积极性，确保局机关各项工作正常运转，促进自然资源事业更快更好发展。</w:t>
      </w:r>
    </w:p>
    <w:p>
      <w:pPr>
        <w:pStyle w:val="23"/>
      </w:pPr>
      <w:r>
        <w:t>目标2：保障必要办公条件,提高工作效率,确保局机关各项工作正常运转，促进自然资源事业更快更好发展。</w:t>
      </w:r>
    </w:p>
    <w:p>
      <w:pPr>
        <w:pStyle w:val="23"/>
      </w:pPr>
      <w:r>
        <w:t>目标3：持续提升建设用地审批效能。进一步明确审批权限，压缩审批时限，实行全程网办、并联审批，提高建设用地审批效率。进一步简化审批流程，压缩审批时限，确保县级组卷审批时间不超过15天。积极做好预审的并联审批工作，完善联合审批机制。主动做好与发改部门的协调，建立预审的协作制度，切实发挥规划预审对社会经济的宏观调控作用。</w:t>
      </w:r>
    </w:p>
    <w:p>
      <w:pPr>
        <w:pStyle w:val="23"/>
      </w:pPr>
      <w:r>
        <w:t>目标4：严格依据《土地储备管理办法》及相关法律法规，加强土地调控，规范土地市场运行，以土地资源合理利用为目标，提高建设用地保障能力，优先储备闲置、空闲和低效利用的国有存量建设用地继续加大批而未供土地处置力度，严格按照“标准地”234+1.2（1.5）标准要求推进标准地供应工作。</w:t>
      </w:r>
    </w:p>
    <w:p>
      <w:pPr>
        <w:pStyle w:val="23"/>
      </w:pPr>
      <w:r>
        <w:t>目标5：认真履行自然资源管护职责，落实最严格的耕地保护制度和节约集约用地制度，进一步规范矿产资源开发利用秩序，按照自然资源保护“严起来”的总要求，全力抓好抓实土地、矿产卫片问题整改工作；</w:t>
      </w:r>
      <w:r>
        <w:rPr>
          <w:rFonts w:hint="eastAsia"/>
          <w:lang w:val="en-US" w:eastAsia="zh-CN"/>
        </w:rPr>
        <w:t>严</w:t>
      </w:r>
      <w:r>
        <w:t>格执行我市自然资源三级网格化执法监管工作机制，全面压实耕地保护责任，以“零容忍”的态度，坚决遏制新增违法行为。开展形式多样的自然资源法律法规宣传，深入贯彻《</w:t>
      </w:r>
      <w:r>
        <w:rPr>
          <w:rFonts w:hint="eastAsia"/>
          <w:lang w:val="en-US" w:eastAsia="zh-CN"/>
        </w:rPr>
        <w:t>中华人民共和国</w:t>
      </w:r>
      <w:r>
        <w:t>土地管理法》和《基本农田保护条例》，提升全民耕地保护意识，不断提高全社会保护耕地和永久基本农田意识，严守耕地红线，确保粮食安全。</w:t>
      </w:r>
    </w:p>
    <w:p>
      <w:pPr>
        <w:pStyle w:val="23"/>
      </w:pPr>
      <w:r>
        <w:t>目标6：牵头做好地质灾害防治工作，进一步提高防灾减灾水平，汛期前完成我市地质灾害隐患点核（排）查工作，编制沙河市地质灾害防治方案，建立健全群测群防体系，进一步加强地质灾害隐患点监测预报预警。</w:t>
      </w:r>
    </w:p>
    <w:p>
      <w:pPr>
        <w:pStyle w:val="23"/>
      </w:pPr>
      <w:r>
        <w:t>目标7：加强矿山地质环境保护监督检查，督促我市矿山企业按照《矿山地质环境保护与土地复垦方案》履行地质环境保护义务，完成年度恢复治理任务，并对年度恢复治理任务完成情况进行督导检查。</w:t>
      </w:r>
    </w:p>
    <w:p>
      <w:pPr>
        <w:pStyle w:val="23"/>
      </w:pPr>
      <w:r>
        <w:t>目标8：持续推进我市自然资源统一确权登记工作；开展沙河市集体土地所有权确权登记成果更新工作；把处理历史遗留问题作为一项重点工作，采取多种措施，努力解决疑难问题，保障群众的合法权益，处理好各类信访矛盾纠纷。</w:t>
      </w:r>
    </w:p>
    <w:p>
      <w:pPr>
        <w:pStyle w:val="23"/>
      </w:pPr>
      <w:r>
        <w:t>目标9：持续推进国土绿化工作，结合三北工程、太行山绿化工程，开展人工造林、封山育林和森林抚育工作。</w:t>
      </w:r>
    </w:p>
    <w:p>
      <w:pPr>
        <w:pStyle w:val="23"/>
      </w:pPr>
      <w:r>
        <w:t>目标10：完成市委、市政府和上级单位交办的其他任务。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（一）守土有责，全力保发展。</w:t>
      </w:r>
    </w:p>
    <w:p>
      <w:pPr>
        <w:pStyle w:val="24"/>
      </w:pPr>
      <w:r>
        <w:t>一是优化土地利用总体规划。加强向市局、省厅汇报协调，挖掘新增建设用地潜力，积极探索解决建设用地快速增加与建设用地指标不足的矛盾，为我市发展提供用地空间保障；主动做好与发改、规划等部门的协调，建立规划预审的协作制度，切实发挥规划预审对社会经济的宏观调控作用。二是千方百计争取用地指标。加大争取省市支持力度，全力做好重点项目组卷报批工作，确保征地卷按要求时间完成上报任务，严格把握报批质量，提高组卷报批优等率，坚持高标准、严要求，做到报一个，批一个，为完成我市组卷报批工作做出应有贡献。三是规范完善土地储备工作。严格依据《土地储备管理办法》及其他法律法规，加强土地调控，规范土地市场运行，以土地资源合理利用为目标，优先储备闲置、空闲和低效利用的国有存量建设用地。加强土地交易的监管力度，规范土地市场秩序，优化配置土地资源，提高建设用地保障能力。四是加强批后监管提高供地效率。加强国有建设用地批后监管工作力度。继续依据土地市场动态监测与监管系统，深入现场对各建设用地项目供地后加强巡查监管，对其是否按合同约定按时开、竣工、闲置情况如实记录，建立档案资料备查。</w:t>
      </w:r>
    </w:p>
    <w:p>
      <w:pPr>
        <w:pStyle w:val="24"/>
      </w:pPr>
      <w:r>
        <w:t>（二）守土尽责，倾力保资源。</w:t>
      </w:r>
    </w:p>
    <w:p>
      <w:pPr>
        <w:pStyle w:val="24"/>
      </w:pPr>
      <w:r>
        <w:t>一是强化耕地保护责任。严格落实耕地保护责任制度和占补平衡制度，严格控制各类建设占用耕地，确保基本农田总量不减少，用途不改变，质量有提高。完成基本农田划定建库工作，提高群众基本农田保护意识；进一步强化矿山企业土地复垦监管，督促矿山企业切实履行复垦义务。二是做好土地开发整理项目。继续加强和省、市</w:t>
      </w:r>
      <w:r>
        <w:rPr>
          <w:rFonts w:hint="eastAsia"/>
          <w:lang w:val="en-US" w:eastAsia="zh-CN"/>
        </w:rPr>
        <w:t>自然</w:t>
      </w:r>
      <w:r>
        <w:t>资源部门的汇报力度，争取新项目申报立项。三是强化土地执法监察。全面完成年度卫片执法检查，对侵占破坏基本农田等违法行为予以严厉打击，构成犯罪的依法移交司法机关追究刑事责任，营造管理有方、用地用法、规范有序的</w:t>
      </w:r>
      <w:r>
        <w:rPr>
          <w:rFonts w:hint="eastAsia"/>
          <w:lang w:val="en-US" w:eastAsia="zh-CN"/>
        </w:rPr>
        <w:t>自然</w:t>
      </w:r>
      <w:r>
        <w:t>资源管理良好秩序。</w:t>
      </w:r>
    </w:p>
    <w:p>
      <w:pPr>
        <w:pStyle w:val="24"/>
      </w:pPr>
      <w:r>
        <w:t>（三）守土负责，尽力保权益。</w:t>
      </w:r>
    </w:p>
    <w:p>
      <w:pPr>
        <w:pStyle w:val="24"/>
      </w:pPr>
      <w:r>
        <w:t>一是按计划进行集体建设用地使用权、宅基地使用权和房屋所有权确权登记发证工作；按要求做好全市的海洋经济调查工作。二是加快推进不动产登记工作。认真研究不动产登记历史遗留问题，采取多种措施，努力解决疑难问题，保障群众的合法权益，拟将不动产登记中心窗口打造成不动产登记系统内的标杆，作为我局（中心）工作的一张名片。三是主动化解信访矛盾纠纷，严格落实一岗双责制，狠抓信访源头治理，力争把矛盾化解在基层，解决在萌芽状态。</w:t>
      </w:r>
    </w:p>
    <w:p>
      <w:pPr>
        <w:pStyle w:val="24"/>
      </w:pPr>
      <w:r>
        <w:t>（四）安全为重，齐力防地灾。</w:t>
      </w:r>
    </w:p>
    <w:p>
      <w:pPr>
        <w:pStyle w:val="24"/>
      </w:pPr>
      <w:r>
        <w:t>一是健全地灾防治工作机制。进一步完善四级监测网络，在汛期前及时与涉及地质灾害的乡镇签订2018年度地质灾害防御责任书。二是做好安全生产检查工作。坚持每个月至少一次对矿山企业进行安全检查，及时制止不安全开采和非法开采，坚决杜绝矿山超层越界开发诱发地质灾害。三是扎实做好地灾预警预报，进一步加强与防汛、气象等部门的合作，根据我市气象、水情预报和各隐患点的监测资料，提升预警预报精度。</w:t>
      </w:r>
    </w:p>
    <w:p>
      <w:pPr>
        <w:pStyle w:val="24"/>
      </w:pPr>
      <w:r>
        <w:t>（五）改革为要，大力促创新。</w:t>
      </w:r>
    </w:p>
    <w:p>
      <w:pPr>
        <w:pStyle w:val="24"/>
      </w:pPr>
      <w:r>
        <w:t>一是稳步推进地理信息工作。加强对测绘地理信息综合执法检查，加强对测量标志的巡查与维护，加强对地图市场的监管，积极推动地理信息产业发展。二是持续推进行政审批制度改革。按照“简政放权、提速提效”总要求，优化和规范审批流程，完善行政审批窗口集中审批办理模式。</w:t>
      </w:r>
    </w:p>
    <w:p>
      <w:pPr>
        <w:pStyle w:val="24"/>
      </w:pPr>
      <w:r>
        <w:t>（六）服务为本，定力正作风。</w:t>
      </w:r>
    </w:p>
    <w:p>
      <w:pPr>
        <w:pStyle w:val="24"/>
      </w:pPr>
      <w:r>
        <w:t>着力提升依法行政水平，依法做好政府信息公开工作，加大主动公开力度和范围，及时回复公开申请，切实保障公民、法人和其他组织的知情权、参与权和监督权；加大新闻宣传力度，</w:t>
      </w:r>
      <w:r>
        <w:rPr>
          <w:rFonts w:hint="eastAsia"/>
          <w:lang w:val="en-US" w:eastAsia="zh-CN"/>
        </w:rPr>
        <w:t>紧贴自然</w:t>
      </w:r>
      <w:r>
        <w:t>资源中心工作，积极利用网络、报刊、杂志等媒体宣传</w:t>
      </w:r>
      <w:r>
        <w:rPr>
          <w:rFonts w:hint="eastAsia"/>
          <w:lang w:val="en-US" w:eastAsia="zh-CN"/>
        </w:rPr>
        <w:t>自然</w:t>
      </w:r>
      <w:r>
        <w:t>资源管理工作动态。加强党风廉政建设，不断增强干部职工的廉政意识，筑牢思想防线。</w:t>
      </w:r>
    </w:p>
    <w:p>
      <w:pPr>
        <w:pStyle w:val="24"/>
      </w:pPr>
      <w:r>
        <w:t>（七）国土空间规划编制</w:t>
      </w:r>
    </w:p>
    <w:p>
      <w:pPr>
        <w:pStyle w:val="24"/>
      </w:pPr>
      <w:r>
        <w:t>信息平台建设工作已完成相关数据库建设及国土空间规划“一张图”应用、国土空间分析评价、成果审查与管理、国土空间规划实施监督、指标模型管理、社会公众服务等六大功能建设。三是按要求不断完善乡镇国土空间总体规划、控制性详细规划和中心城区控制性详细规划工作。城市总体设计和乡镇国土空间总体规划现已完成阶段性成果。同时指导各乡镇和相关部门开展村庄规划和各类专项规划编制工作。</w:t>
      </w:r>
    </w:p>
    <w:p>
      <w:pPr>
        <w:pStyle w:val="24"/>
      </w:pPr>
      <w:r>
        <w:t>（八）林业管理方面</w:t>
      </w:r>
    </w:p>
    <w:p>
      <w:pPr>
        <w:pStyle w:val="24"/>
        <w:sectPr>
          <w:pgSz w:w="16840" w:h="11900" w:orient="landscape"/>
          <w:pgMar w:top="1361" w:right="1020" w:bottom="1361" w:left="1020" w:header="720" w:footer="720" w:gutter="0"/>
          <w:cols w:space="720" w:num="1"/>
        </w:sectPr>
      </w:pPr>
      <w:r>
        <w:t>在13个乡镇办和2个国有林场全部实行“一长两员”护林机制，实施资源网格化管理，建立,巡林护林记录台账，设立245块林长制公示牌。根据《河北省人民政府办公厅关于印发河北省加强乡村两级森林草原消防队伍和护林员（草）队伍建设工作方案的通知》要求，进一步完善乡村两级森林草原消防队伍建设，提升乡村两级森林草原火灾预防和扑救综合能力。加强部门协作联动，确保全市森林资源安全。根据任务安排和市委、市政府统一安排部署将造林任务分解到各乡（镇、办）、有关单位，及时落实地块并开展造林。</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bookmarkStart w:id="16" w:name="_Toc_3_3_0000000017"/>
      <w:r>
        <w:rPr>
          <w:rFonts w:ascii="方正仿宋_GBK" w:hAnsi="方正仿宋_GBK" w:eastAsia="方正仿宋_GBK" w:cs="方正仿宋_GBK"/>
          <w:b/>
          <w:color w:val="000000"/>
          <w:sz w:val="28"/>
        </w:rPr>
        <w:t>1、被征地农民社保费及风险基金绩效目标表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13058224P00358410003F</w:t>
            </w:r>
          </w:p>
        </w:tc>
        <w:tc>
          <w:tcPr>
            <w:tcW w:w="2835" w:type="dxa"/>
            <w:vAlign w:val="center"/>
          </w:tcPr>
          <w:p>
            <w:pPr>
              <w:pStyle w:val="11"/>
            </w:pPr>
            <w:r>
              <w:t>项目名称</w:t>
            </w:r>
          </w:p>
        </w:tc>
        <w:tc>
          <w:tcPr>
            <w:tcW w:w="6094" w:type="dxa"/>
            <w:gridSpan w:val="3"/>
            <w:vAlign w:val="center"/>
          </w:tcPr>
          <w:p>
            <w:pPr>
              <w:pStyle w:val="13"/>
            </w:pPr>
            <w:r>
              <w:t>被征地农民社保费及风险基金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3500.00</w:t>
            </w:r>
          </w:p>
        </w:tc>
        <w:tc>
          <w:tcPr>
            <w:tcW w:w="2835" w:type="dxa"/>
            <w:vAlign w:val="center"/>
          </w:tcPr>
          <w:p>
            <w:pPr>
              <w:pStyle w:val="11"/>
            </w:pPr>
            <w:r>
              <w:t>其中：财政    资金</w:t>
            </w:r>
          </w:p>
        </w:tc>
        <w:tc>
          <w:tcPr>
            <w:tcW w:w="2551" w:type="dxa"/>
            <w:vAlign w:val="center"/>
          </w:tcPr>
          <w:p>
            <w:pPr>
              <w:pStyle w:val="13"/>
            </w:pPr>
            <w:r>
              <w:t>3500.00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按时拨付被征地农民风险金及社保费，保持被征地农民原有生活水平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875.00</w:t>
            </w:r>
          </w:p>
        </w:tc>
        <w:tc>
          <w:tcPr>
            <w:tcW w:w="2835" w:type="dxa"/>
            <w:vAlign w:val="center"/>
          </w:tcPr>
          <w:p>
            <w:pPr>
              <w:pStyle w:val="14"/>
            </w:pPr>
            <w:r>
              <w:t>1750.00</w:t>
            </w:r>
          </w:p>
        </w:tc>
        <w:tc>
          <w:tcPr>
            <w:tcW w:w="2551" w:type="dxa"/>
            <w:vAlign w:val="center"/>
          </w:tcPr>
          <w:p>
            <w:pPr>
              <w:pStyle w:val="14"/>
            </w:pPr>
            <w:r>
              <w:t>2625.00</w:t>
            </w:r>
          </w:p>
        </w:tc>
        <w:tc>
          <w:tcPr>
            <w:tcW w:w="3543" w:type="dxa"/>
            <w:gridSpan w:val="2"/>
            <w:vAlign w:val="center"/>
          </w:tcPr>
          <w:p>
            <w:pPr>
              <w:pStyle w:val="14"/>
            </w:pPr>
            <w:r>
              <w:t>3500.00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1.按时拨付被征地农民风险金及社保费</w:t>
            </w:r>
          </w:p>
          <w:p>
            <w:pPr>
              <w:pStyle w:val="13"/>
            </w:pPr>
            <w:r>
              <w:t>2.保持被征地农民原有生活水平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完成征地项目数</w:t>
            </w:r>
          </w:p>
        </w:tc>
        <w:tc>
          <w:tcPr>
            <w:tcW w:w="5386" w:type="dxa"/>
            <w:vAlign w:val="center"/>
          </w:tcPr>
          <w:p>
            <w:pPr>
              <w:pStyle w:val="13"/>
            </w:pPr>
            <w:r>
              <w:t>完成征地项目数</w:t>
            </w:r>
          </w:p>
        </w:tc>
        <w:tc>
          <w:tcPr>
            <w:tcW w:w="2268" w:type="dxa"/>
            <w:vAlign w:val="center"/>
          </w:tcPr>
          <w:p>
            <w:pPr>
              <w:pStyle w:val="13"/>
            </w:pPr>
            <w:r>
              <w:t>≥1000亩</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资金投入</w:t>
            </w:r>
          </w:p>
        </w:tc>
        <w:tc>
          <w:tcPr>
            <w:tcW w:w="5386" w:type="dxa"/>
            <w:vAlign w:val="center"/>
          </w:tcPr>
          <w:p>
            <w:pPr>
              <w:pStyle w:val="13"/>
            </w:pPr>
            <w:r>
              <w:t>资金投入金额</w:t>
            </w:r>
          </w:p>
        </w:tc>
        <w:tc>
          <w:tcPr>
            <w:tcW w:w="2268" w:type="dxa"/>
            <w:vAlign w:val="center"/>
          </w:tcPr>
          <w:p>
            <w:pPr>
              <w:pStyle w:val="13"/>
            </w:pPr>
            <w:r>
              <w:t>≤3500万元</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被征地农民生活水平</w:t>
            </w:r>
          </w:p>
        </w:tc>
        <w:tc>
          <w:tcPr>
            <w:tcW w:w="5386" w:type="dxa"/>
            <w:vAlign w:val="center"/>
          </w:tcPr>
          <w:p>
            <w:pPr>
              <w:pStyle w:val="13"/>
            </w:pPr>
            <w:r>
              <w:t>被征地农民生活保障水平</w:t>
            </w:r>
          </w:p>
        </w:tc>
        <w:tc>
          <w:tcPr>
            <w:tcW w:w="2268" w:type="dxa"/>
            <w:vAlign w:val="center"/>
          </w:tcPr>
          <w:p>
            <w:pPr>
              <w:pStyle w:val="13"/>
            </w:pPr>
            <w:r>
              <w:t>高于原生活保障水平</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被征地农民满意度</w:t>
            </w:r>
          </w:p>
        </w:tc>
        <w:tc>
          <w:tcPr>
            <w:tcW w:w="5386" w:type="dxa"/>
            <w:vAlign w:val="center"/>
          </w:tcPr>
          <w:p>
            <w:pPr>
              <w:pStyle w:val="13"/>
            </w:pPr>
            <w:r>
              <w:t>被征地农民满意度</w:t>
            </w:r>
          </w:p>
        </w:tc>
        <w:tc>
          <w:tcPr>
            <w:tcW w:w="2268" w:type="dxa"/>
            <w:vAlign w:val="center"/>
          </w:tcPr>
          <w:p>
            <w:pPr>
              <w:pStyle w:val="13"/>
            </w:pPr>
            <w:r>
              <w:t>≥95百分比</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2、高标准农田项目绩效目标表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13058224P00001610038F</w:t>
            </w:r>
          </w:p>
        </w:tc>
        <w:tc>
          <w:tcPr>
            <w:tcW w:w="2835" w:type="dxa"/>
            <w:vAlign w:val="center"/>
          </w:tcPr>
          <w:p>
            <w:pPr>
              <w:pStyle w:val="11"/>
            </w:pPr>
            <w:r>
              <w:t>项目名称</w:t>
            </w:r>
          </w:p>
        </w:tc>
        <w:tc>
          <w:tcPr>
            <w:tcW w:w="6094" w:type="dxa"/>
            <w:gridSpan w:val="3"/>
            <w:vAlign w:val="center"/>
          </w:tcPr>
          <w:p>
            <w:pPr>
              <w:pStyle w:val="13"/>
            </w:pPr>
            <w:r>
              <w:t>高标准农田项目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w:t>
            </w:r>
          </w:p>
        </w:tc>
        <w:tc>
          <w:tcPr>
            <w:tcW w:w="2835" w:type="dxa"/>
            <w:vAlign w:val="center"/>
          </w:tcPr>
          <w:p>
            <w:pPr>
              <w:pStyle w:val="11"/>
            </w:pPr>
            <w:r>
              <w:t>其中：财政    资金</w:t>
            </w:r>
          </w:p>
        </w:tc>
        <w:tc>
          <w:tcPr>
            <w:tcW w:w="2551" w:type="dxa"/>
            <w:vAlign w:val="center"/>
          </w:tcPr>
          <w:p>
            <w:pPr>
              <w:pStyle w:val="13"/>
            </w:pPr>
            <w:r>
              <w:t>700.00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有效改善项目区农田生产生态条件，提高农民的科技生产水平，带动农民增收，有良好的经济、生态效益和社会效益，改善农田耕作条件，提高耕地复种指数，为项目区粮食及经济作物高产、稳产和农业产业结构调整打下良好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175.00</w:t>
            </w:r>
          </w:p>
        </w:tc>
        <w:tc>
          <w:tcPr>
            <w:tcW w:w="2835" w:type="dxa"/>
            <w:vAlign w:val="center"/>
          </w:tcPr>
          <w:p>
            <w:pPr>
              <w:pStyle w:val="14"/>
            </w:pPr>
            <w:r>
              <w:t>350.00</w:t>
            </w:r>
          </w:p>
        </w:tc>
        <w:tc>
          <w:tcPr>
            <w:tcW w:w="2551" w:type="dxa"/>
            <w:vAlign w:val="center"/>
          </w:tcPr>
          <w:p>
            <w:pPr>
              <w:pStyle w:val="14"/>
            </w:pPr>
            <w:r>
              <w:t>525.00</w:t>
            </w:r>
          </w:p>
        </w:tc>
        <w:tc>
          <w:tcPr>
            <w:tcW w:w="3543" w:type="dxa"/>
            <w:gridSpan w:val="2"/>
            <w:vAlign w:val="center"/>
          </w:tcPr>
          <w:p>
            <w:pPr>
              <w:pStyle w:val="14"/>
            </w:pPr>
            <w:r>
              <w:t>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1.有效改善项目区农田生产生态条件，提高农民的科技生产水平</w:t>
            </w:r>
          </w:p>
          <w:p>
            <w:pPr>
              <w:pStyle w:val="13"/>
            </w:pPr>
            <w:r>
              <w:t>2.带动农民增收，有良好的经济、生态效益和社会效益</w:t>
            </w:r>
          </w:p>
          <w:p>
            <w:pPr>
              <w:pStyle w:val="13"/>
            </w:pPr>
            <w:r>
              <w:t>3.改善农田耕作条件，提高耕地复种指数，为项目区粮食及经济作物高产、稳产和农业产业结构调整打下良好基础。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高标准农田建设面积</w:t>
            </w:r>
          </w:p>
        </w:tc>
        <w:tc>
          <w:tcPr>
            <w:tcW w:w="5386" w:type="dxa"/>
            <w:vAlign w:val="center"/>
          </w:tcPr>
          <w:p>
            <w:pPr>
              <w:pStyle w:val="13"/>
            </w:pPr>
            <w:r>
              <w:t>高标准农田2210.578公顷（33158.67亩）</w:t>
            </w:r>
          </w:p>
        </w:tc>
        <w:tc>
          <w:tcPr>
            <w:tcW w:w="2268" w:type="dxa"/>
            <w:vAlign w:val="center"/>
          </w:tcPr>
          <w:p>
            <w:pPr>
              <w:pStyle w:val="13"/>
            </w:pPr>
            <w:r>
              <w:t>≥33158.67亩</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项目达到验收标准，通过省厅验收</w:t>
            </w:r>
          </w:p>
        </w:tc>
        <w:tc>
          <w:tcPr>
            <w:tcW w:w="2268" w:type="dxa"/>
            <w:vAlign w:val="center"/>
          </w:tcPr>
          <w:p>
            <w:pPr>
              <w:pStyle w:val="13"/>
            </w:pPr>
            <w:r>
              <w:t>≥90%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按时完成工作任务</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资金投入</w:t>
            </w:r>
          </w:p>
        </w:tc>
        <w:tc>
          <w:tcPr>
            <w:tcW w:w="5386" w:type="dxa"/>
            <w:vAlign w:val="center"/>
          </w:tcPr>
          <w:p>
            <w:pPr>
              <w:pStyle w:val="13"/>
            </w:pPr>
            <w:r>
              <w:t>资金投入金额</w:t>
            </w:r>
          </w:p>
        </w:tc>
        <w:tc>
          <w:tcPr>
            <w:tcW w:w="2268" w:type="dxa"/>
            <w:vAlign w:val="center"/>
          </w:tcPr>
          <w:p>
            <w:pPr>
              <w:pStyle w:val="13"/>
            </w:pPr>
            <w:r>
              <w:t>≤700万元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新增粮食和其他作物产能</w:t>
            </w:r>
          </w:p>
        </w:tc>
        <w:tc>
          <w:tcPr>
            <w:tcW w:w="5386" w:type="dxa"/>
            <w:vAlign w:val="center"/>
          </w:tcPr>
          <w:p>
            <w:pPr>
              <w:pStyle w:val="13"/>
            </w:pPr>
            <w:r>
              <w:t>新增粮食和其他作物产能</w:t>
            </w:r>
          </w:p>
        </w:tc>
        <w:tc>
          <w:tcPr>
            <w:tcW w:w="2268" w:type="dxa"/>
            <w:vAlign w:val="center"/>
          </w:tcPr>
          <w:p>
            <w:pPr>
              <w:pStyle w:val="13"/>
            </w:pPr>
            <w:r>
              <w:t>≥125万公斤</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耕地质量</w:t>
            </w:r>
          </w:p>
        </w:tc>
        <w:tc>
          <w:tcPr>
            <w:tcW w:w="5386" w:type="dxa"/>
            <w:vAlign w:val="center"/>
          </w:tcPr>
          <w:p>
            <w:pPr>
              <w:pStyle w:val="13"/>
            </w:pPr>
            <w:r>
              <w:t>耕地等别13.3等，耕地质量等别提高0.3等</w:t>
            </w:r>
          </w:p>
        </w:tc>
        <w:tc>
          <w:tcPr>
            <w:tcW w:w="2268" w:type="dxa"/>
            <w:vAlign w:val="center"/>
          </w:tcPr>
          <w:p>
            <w:pPr>
              <w:pStyle w:val="13"/>
            </w:pPr>
            <w:r>
              <w:t>比上年提高</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区域内受益群众满意度</w:t>
            </w:r>
          </w:p>
        </w:tc>
        <w:tc>
          <w:tcPr>
            <w:tcW w:w="2268" w:type="dxa"/>
            <w:vAlign w:val="center"/>
          </w:tcPr>
          <w:p>
            <w:pPr>
              <w:pStyle w:val="13"/>
            </w:pPr>
            <w:r>
              <w:t>≥90%</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3、国有土地收益基金安排征地和拆迁补偿支出绩效目标表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13058224P00358710002W</w:t>
            </w:r>
          </w:p>
        </w:tc>
        <w:tc>
          <w:tcPr>
            <w:tcW w:w="2835" w:type="dxa"/>
            <w:vAlign w:val="center"/>
          </w:tcPr>
          <w:p>
            <w:pPr>
              <w:pStyle w:val="11"/>
            </w:pPr>
            <w:r>
              <w:t>项目名称</w:t>
            </w:r>
          </w:p>
        </w:tc>
        <w:tc>
          <w:tcPr>
            <w:tcW w:w="6094" w:type="dxa"/>
            <w:gridSpan w:val="3"/>
            <w:vAlign w:val="center"/>
          </w:tcPr>
          <w:p>
            <w:pPr>
              <w:pStyle w:val="13"/>
            </w:pPr>
            <w:r>
              <w:t>国有土地收益基金安排征地和拆迁补偿支出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w:t>
            </w:r>
          </w:p>
        </w:tc>
        <w:tc>
          <w:tcPr>
            <w:tcW w:w="2835" w:type="dxa"/>
            <w:vAlign w:val="center"/>
          </w:tcPr>
          <w:p>
            <w:pPr>
              <w:pStyle w:val="11"/>
            </w:pPr>
            <w:r>
              <w:t>其中：财政    资金</w:t>
            </w:r>
          </w:p>
        </w:tc>
        <w:tc>
          <w:tcPr>
            <w:tcW w:w="2551" w:type="dxa"/>
            <w:vAlign w:val="center"/>
          </w:tcPr>
          <w:p>
            <w:pPr>
              <w:pStyle w:val="13"/>
            </w:pPr>
            <w:r>
              <w:t>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做好征地和拆迁补偿工作，做好资金拨付及时、准确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500.00</w:t>
            </w:r>
          </w:p>
        </w:tc>
        <w:tc>
          <w:tcPr>
            <w:tcW w:w="2835" w:type="dxa"/>
            <w:vAlign w:val="center"/>
          </w:tcPr>
          <w:p>
            <w:pPr>
              <w:pStyle w:val="14"/>
            </w:pPr>
            <w:r>
              <w:t>1000.00</w:t>
            </w:r>
          </w:p>
        </w:tc>
        <w:tc>
          <w:tcPr>
            <w:tcW w:w="2551" w:type="dxa"/>
            <w:vAlign w:val="center"/>
          </w:tcPr>
          <w:p>
            <w:pPr>
              <w:pStyle w:val="14"/>
            </w:pPr>
            <w:r>
              <w:t>1500.00</w:t>
            </w:r>
          </w:p>
        </w:tc>
        <w:tc>
          <w:tcPr>
            <w:tcW w:w="3543" w:type="dxa"/>
            <w:gridSpan w:val="2"/>
            <w:vAlign w:val="center"/>
          </w:tcPr>
          <w:p>
            <w:pPr>
              <w:pStyle w:val="14"/>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1.做好征地和拆迁补偿工作</w:t>
            </w:r>
          </w:p>
          <w:p>
            <w:pPr>
              <w:pStyle w:val="13"/>
            </w:pPr>
          </w:p>
          <w:p>
            <w:pPr>
              <w:pStyle w:val="13"/>
            </w:pPr>
          </w:p>
          <w:p>
            <w:pPr>
              <w:pStyle w:val="13"/>
            </w:pPr>
            <w:r>
              <w:t>2.做好资金拨付及时、准确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完成征地拆迁地块数量</w:t>
            </w:r>
          </w:p>
        </w:tc>
        <w:tc>
          <w:tcPr>
            <w:tcW w:w="5386" w:type="dxa"/>
            <w:vAlign w:val="center"/>
          </w:tcPr>
          <w:p>
            <w:pPr>
              <w:pStyle w:val="13"/>
            </w:pPr>
            <w:r>
              <w:t>完成征地拆迁地块数量</w:t>
            </w:r>
          </w:p>
        </w:tc>
        <w:tc>
          <w:tcPr>
            <w:tcW w:w="2268" w:type="dxa"/>
            <w:vAlign w:val="center"/>
          </w:tcPr>
          <w:p>
            <w:pPr>
              <w:pStyle w:val="13"/>
            </w:pPr>
            <w:r>
              <w:t>≥1000亩</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征地拆迁补偿资金到位率</w:t>
            </w:r>
          </w:p>
        </w:tc>
        <w:tc>
          <w:tcPr>
            <w:tcW w:w="5386" w:type="dxa"/>
            <w:vAlign w:val="center"/>
          </w:tcPr>
          <w:p>
            <w:pPr>
              <w:pStyle w:val="13"/>
            </w:pPr>
            <w:r>
              <w:t>征地拆迁补偿资金到位率</w:t>
            </w:r>
          </w:p>
        </w:tc>
        <w:tc>
          <w:tcPr>
            <w:tcW w:w="2268" w:type="dxa"/>
            <w:vAlign w:val="center"/>
          </w:tcPr>
          <w:p>
            <w:pPr>
              <w:pStyle w:val="13"/>
            </w:pPr>
            <w:r>
              <w:t>≥95百分比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及时拨付资金</w:t>
            </w:r>
          </w:p>
        </w:tc>
        <w:tc>
          <w:tcPr>
            <w:tcW w:w="5386" w:type="dxa"/>
            <w:vAlign w:val="center"/>
          </w:tcPr>
          <w:p>
            <w:pPr>
              <w:pStyle w:val="13"/>
            </w:pPr>
            <w:r>
              <w:t>及时拨付资金</w:t>
            </w:r>
          </w:p>
        </w:tc>
        <w:tc>
          <w:tcPr>
            <w:tcW w:w="2268" w:type="dxa"/>
            <w:vAlign w:val="center"/>
          </w:tcPr>
          <w:p>
            <w:pPr>
              <w:pStyle w:val="13"/>
            </w:pPr>
            <w:r>
              <w:t>≥95百分比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资金投入</w:t>
            </w:r>
          </w:p>
        </w:tc>
        <w:tc>
          <w:tcPr>
            <w:tcW w:w="5386" w:type="dxa"/>
            <w:vAlign w:val="center"/>
          </w:tcPr>
          <w:p>
            <w:pPr>
              <w:pStyle w:val="13"/>
            </w:pPr>
            <w:r>
              <w:t>资金投入金额</w:t>
            </w:r>
          </w:p>
        </w:tc>
        <w:tc>
          <w:tcPr>
            <w:tcW w:w="2268" w:type="dxa"/>
            <w:vAlign w:val="center"/>
          </w:tcPr>
          <w:p>
            <w:pPr>
              <w:pStyle w:val="13"/>
            </w:pPr>
            <w:r>
              <w:t>≤2000万元</w:t>
            </w:r>
          </w:p>
        </w:tc>
        <w:tc>
          <w:tcPr>
            <w:tcW w:w="1276"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工业亩均产值达标</w:t>
            </w:r>
          </w:p>
        </w:tc>
        <w:tc>
          <w:tcPr>
            <w:tcW w:w="5386" w:type="dxa"/>
            <w:vAlign w:val="center"/>
          </w:tcPr>
          <w:p>
            <w:pPr>
              <w:pStyle w:val="13"/>
            </w:pPr>
            <w:r>
              <w:t>符合邢台“234”标准</w:t>
            </w:r>
          </w:p>
        </w:tc>
        <w:tc>
          <w:tcPr>
            <w:tcW w:w="2268" w:type="dxa"/>
            <w:vAlign w:val="center"/>
          </w:tcPr>
          <w:p>
            <w:pPr>
              <w:pStyle w:val="13"/>
            </w:pPr>
            <w:r>
              <w:t>≥100百分比</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、林业行业管理经费绩效目标表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13058224P00001610040E</w:t>
            </w:r>
          </w:p>
        </w:tc>
        <w:tc>
          <w:tcPr>
            <w:tcW w:w="2835" w:type="dxa"/>
            <w:vAlign w:val="center"/>
          </w:tcPr>
          <w:p>
            <w:pPr>
              <w:pStyle w:val="11"/>
            </w:pPr>
            <w:r>
              <w:t>项目名称</w:t>
            </w:r>
          </w:p>
        </w:tc>
        <w:tc>
          <w:tcPr>
            <w:tcW w:w="6094" w:type="dxa"/>
            <w:gridSpan w:val="3"/>
            <w:vAlign w:val="center"/>
          </w:tcPr>
          <w:p>
            <w:pPr>
              <w:pStyle w:val="13"/>
            </w:pPr>
            <w:r>
              <w:t>林业行业管理经费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1.保障必要办公条件,提高工作效率,确保各项工作正常运转，促进各项工作更快更好发展。</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人员总数</w:t>
            </w:r>
          </w:p>
        </w:tc>
        <w:tc>
          <w:tcPr>
            <w:tcW w:w="5386" w:type="dxa"/>
            <w:vAlign w:val="center"/>
          </w:tcPr>
          <w:p>
            <w:pPr>
              <w:pStyle w:val="13"/>
            </w:pPr>
            <w:r>
              <w:t>单位工作人员数量</w:t>
            </w:r>
          </w:p>
        </w:tc>
        <w:tc>
          <w:tcPr>
            <w:tcW w:w="2268" w:type="dxa"/>
            <w:vAlign w:val="center"/>
          </w:tcPr>
          <w:p>
            <w:pPr>
              <w:pStyle w:val="13"/>
            </w:pPr>
            <w:r>
              <w:t>≤182人</w:t>
            </w:r>
          </w:p>
        </w:tc>
        <w:tc>
          <w:tcPr>
            <w:tcW w:w="1276" w:type="dxa"/>
            <w:vAlign w:val="center"/>
          </w:tcPr>
          <w:p>
            <w:pPr>
              <w:pStyle w:val="13"/>
            </w:pPr>
            <w:r>
              <w:t>组织部、人社局批文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工作任务完成率</w:t>
            </w:r>
          </w:p>
        </w:tc>
        <w:tc>
          <w:tcPr>
            <w:tcW w:w="5386" w:type="dxa"/>
            <w:vAlign w:val="center"/>
          </w:tcPr>
          <w:p>
            <w:pPr>
              <w:pStyle w:val="13"/>
            </w:pPr>
            <w:r>
              <w:t>工作任务完成情况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支付进度率</w:t>
            </w:r>
          </w:p>
        </w:tc>
        <w:tc>
          <w:tcPr>
            <w:tcW w:w="5386" w:type="dxa"/>
            <w:vAlign w:val="center"/>
          </w:tcPr>
          <w:p>
            <w:pPr>
              <w:pStyle w:val="13"/>
            </w:pPr>
            <w:r>
              <w:t>实际支付进度与既定支付进度的比率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日常运行成本</w:t>
            </w:r>
          </w:p>
        </w:tc>
        <w:tc>
          <w:tcPr>
            <w:tcW w:w="5386" w:type="dxa"/>
            <w:vAlign w:val="center"/>
          </w:tcPr>
          <w:p>
            <w:pPr>
              <w:pStyle w:val="13"/>
            </w:pPr>
            <w:r>
              <w:t>资金投入金额</w:t>
            </w:r>
          </w:p>
        </w:tc>
        <w:tc>
          <w:tcPr>
            <w:tcW w:w="2268" w:type="dxa"/>
            <w:vAlign w:val="center"/>
          </w:tcPr>
          <w:p>
            <w:pPr>
              <w:pStyle w:val="13"/>
            </w:pPr>
            <w:r>
              <w:t>≥5万元</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实际重点工作完成情况占全年重点工作计划的比率</w:t>
            </w:r>
          </w:p>
          <w:p>
            <w:pPr>
              <w:pStyle w:val="13"/>
            </w:pP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、森林管护人员经费及运转经费绩效目标表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13058224P000016100412</w:t>
            </w:r>
          </w:p>
        </w:tc>
        <w:tc>
          <w:tcPr>
            <w:tcW w:w="2835" w:type="dxa"/>
            <w:vAlign w:val="center"/>
          </w:tcPr>
          <w:p>
            <w:pPr>
              <w:pStyle w:val="11"/>
            </w:pPr>
            <w:r>
              <w:t>项目名称</w:t>
            </w:r>
          </w:p>
        </w:tc>
        <w:tc>
          <w:tcPr>
            <w:tcW w:w="6094" w:type="dxa"/>
            <w:gridSpan w:val="3"/>
            <w:vAlign w:val="center"/>
          </w:tcPr>
          <w:p>
            <w:pPr>
              <w:pStyle w:val="13"/>
            </w:pPr>
            <w:r>
              <w:t>森林管护人员经费及运转经费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必要办公条件,提高工作效率,确保各项工作正常运转，促进各项工作更快更好发展。保障森林资源管护工作日常运转，实现森林资源的可持续发展和合理利用。增强全面绿化意识和生态环境意识，提高义务植树的法制观念。通过对森林资源的管护，预防和减少森林资源的损失。完成异地造林绿化面积，加大森林资源管护力度，改善生态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w:t>
            </w:r>
          </w:p>
        </w:tc>
        <w:tc>
          <w:tcPr>
            <w:tcW w:w="2835" w:type="dxa"/>
            <w:vAlign w:val="center"/>
          </w:tcPr>
          <w:p>
            <w:pPr>
              <w:pStyle w:val="14"/>
            </w:pPr>
            <w:r>
              <w:t>30.00</w:t>
            </w:r>
          </w:p>
        </w:tc>
        <w:tc>
          <w:tcPr>
            <w:tcW w:w="2551" w:type="dxa"/>
            <w:vAlign w:val="center"/>
          </w:tcPr>
          <w:p>
            <w:pPr>
              <w:pStyle w:val="14"/>
            </w:pPr>
            <w:r>
              <w:t>45.00</w:t>
            </w:r>
          </w:p>
        </w:tc>
        <w:tc>
          <w:tcPr>
            <w:tcW w:w="3543" w:type="dxa"/>
            <w:gridSpan w:val="2"/>
            <w:vAlign w:val="center"/>
          </w:tcPr>
          <w:p>
            <w:pPr>
              <w:pStyle w:val="14"/>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1.保障必要办公条件,提高工作效率,确保各项工作正常运转，促进各项工作更快更好发展。</w:t>
            </w:r>
          </w:p>
          <w:p>
            <w:pPr>
              <w:pStyle w:val="13"/>
            </w:pPr>
            <w:r>
              <w:t>2.保障森林资源管护工作日常运转，实现森林资源的可持续发展和合理利用。</w:t>
            </w:r>
          </w:p>
          <w:p>
            <w:pPr>
              <w:pStyle w:val="13"/>
            </w:pPr>
            <w:r>
              <w:t>3.增强全面绿化意识和生态环境意识，提高义务植树的法制观念。通过对森林资源的管护，预防和减少森林资源的损失。完成异地造林绿化面积，加大森林资源管护力度，改善生态环境。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人员总数</w:t>
            </w:r>
          </w:p>
        </w:tc>
        <w:tc>
          <w:tcPr>
            <w:tcW w:w="5386" w:type="dxa"/>
            <w:vAlign w:val="center"/>
          </w:tcPr>
          <w:p>
            <w:pPr>
              <w:pStyle w:val="13"/>
            </w:pPr>
            <w:r>
              <w:t>单位森林管护人员数量</w:t>
            </w:r>
          </w:p>
        </w:tc>
        <w:tc>
          <w:tcPr>
            <w:tcW w:w="2268" w:type="dxa"/>
            <w:vAlign w:val="center"/>
          </w:tcPr>
          <w:p>
            <w:pPr>
              <w:pStyle w:val="13"/>
            </w:pPr>
            <w:r>
              <w:t>≤182人</w:t>
            </w:r>
          </w:p>
        </w:tc>
        <w:tc>
          <w:tcPr>
            <w:tcW w:w="1276" w:type="dxa"/>
            <w:vAlign w:val="center"/>
          </w:tcPr>
          <w:p>
            <w:pPr>
              <w:pStyle w:val="13"/>
            </w:pPr>
            <w:r>
              <w:t>实际数据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成本控制率</w:t>
            </w:r>
          </w:p>
        </w:tc>
        <w:tc>
          <w:tcPr>
            <w:tcW w:w="5386" w:type="dxa"/>
            <w:vAlign w:val="center"/>
          </w:tcPr>
          <w:p>
            <w:pPr>
              <w:pStyle w:val="13"/>
            </w:pPr>
            <w:r>
              <w:t>成本实际支出数占预算数比例</w:t>
            </w:r>
          </w:p>
        </w:tc>
        <w:tc>
          <w:tcPr>
            <w:tcW w:w="2268" w:type="dxa"/>
            <w:vAlign w:val="center"/>
          </w:tcPr>
          <w:p>
            <w:pPr>
              <w:pStyle w:val="13"/>
            </w:pPr>
            <w:r>
              <w:t>≤100%</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支付进度率</w:t>
            </w:r>
          </w:p>
        </w:tc>
        <w:tc>
          <w:tcPr>
            <w:tcW w:w="5386" w:type="dxa"/>
            <w:vAlign w:val="center"/>
          </w:tcPr>
          <w:p>
            <w:pPr>
              <w:pStyle w:val="13"/>
            </w:pPr>
            <w:r>
              <w:t>实际支付进度与既定支付进度的比率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资金投入</w:t>
            </w:r>
          </w:p>
        </w:tc>
        <w:tc>
          <w:tcPr>
            <w:tcW w:w="5386" w:type="dxa"/>
            <w:vAlign w:val="center"/>
          </w:tcPr>
          <w:p>
            <w:pPr>
              <w:pStyle w:val="13"/>
            </w:pPr>
            <w:r>
              <w:t>资金投入金额</w:t>
            </w:r>
          </w:p>
        </w:tc>
        <w:tc>
          <w:tcPr>
            <w:tcW w:w="2268" w:type="dxa"/>
            <w:vAlign w:val="center"/>
          </w:tcPr>
          <w:p>
            <w:pPr>
              <w:pStyle w:val="13"/>
            </w:pPr>
            <w:r>
              <w:t>≤60万元</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实际重点工作完成情况占全年重点工作计划的比率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服务对象对部门管护效果的满意程度</w:t>
            </w:r>
          </w:p>
        </w:tc>
        <w:tc>
          <w:tcPr>
            <w:tcW w:w="2268" w:type="dxa"/>
            <w:vAlign w:val="center"/>
          </w:tcPr>
          <w:p>
            <w:pPr>
              <w:pStyle w:val="13"/>
            </w:pPr>
            <w:r>
              <w:t>≥90%</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、土地出让业务费绩效目标表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13058224P003585100035</w:t>
            </w:r>
          </w:p>
        </w:tc>
        <w:tc>
          <w:tcPr>
            <w:tcW w:w="2835" w:type="dxa"/>
            <w:vAlign w:val="center"/>
          </w:tcPr>
          <w:p>
            <w:pPr>
              <w:pStyle w:val="11"/>
            </w:pPr>
            <w:r>
              <w:t>项目名称</w:t>
            </w:r>
          </w:p>
        </w:tc>
        <w:tc>
          <w:tcPr>
            <w:tcW w:w="6094" w:type="dxa"/>
            <w:gridSpan w:val="3"/>
            <w:vAlign w:val="center"/>
          </w:tcPr>
          <w:p>
            <w:pPr>
              <w:pStyle w:val="13"/>
            </w:pPr>
            <w:r>
              <w:t>土地出让业务费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w:t>
            </w:r>
          </w:p>
        </w:tc>
        <w:tc>
          <w:tcPr>
            <w:tcW w:w="2835" w:type="dxa"/>
            <w:vAlign w:val="center"/>
          </w:tcPr>
          <w:p>
            <w:pPr>
              <w:pStyle w:val="11"/>
            </w:pPr>
            <w:r>
              <w:t>其中：财政    资金</w:t>
            </w:r>
          </w:p>
        </w:tc>
        <w:tc>
          <w:tcPr>
            <w:tcW w:w="2551" w:type="dxa"/>
            <w:vAlign w:val="center"/>
          </w:tcPr>
          <w:p>
            <w:pPr>
              <w:pStyle w:val="13"/>
            </w:pPr>
            <w:r>
              <w:t>1500.00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保障职工工资、福利等正常发放,提高工作积极性，确保各项工作正常运转，促进各项工作更快更好发展。保障职工养老、医疗等社保费正常缴纳。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375.00</w:t>
            </w:r>
          </w:p>
        </w:tc>
        <w:tc>
          <w:tcPr>
            <w:tcW w:w="2835" w:type="dxa"/>
            <w:vAlign w:val="center"/>
          </w:tcPr>
          <w:p>
            <w:pPr>
              <w:pStyle w:val="14"/>
            </w:pPr>
            <w:r>
              <w:t>750.00</w:t>
            </w:r>
          </w:p>
        </w:tc>
        <w:tc>
          <w:tcPr>
            <w:tcW w:w="2551" w:type="dxa"/>
            <w:vAlign w:val="center"/>
          </w:tcPr>
          <w:p>
            <w:pPr>
              <w:pStyle w:val="14"/>
            </w:pPr>
            <w:r>
              <w:t>1125.00</w:t>
            </w:r>
          </w:p>
        </w:tc>
        <w:tc>
          <w:tcPr>
            <w:tcW w:w="3543" w:type="dxa"/>
            <w:gridSpan w:val="2"/>
            <w:vAlign w:val="center"/>
          </w:tcPr>
          <w:p>
            <w:pPr>
              <w:pStyle w:val="14"/>
            </w:pPr>
            <w:r>
              <w:t>1500.00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1.保障职工工资、福利等正常发放,提高工作积极性，确保各项工作正常运转，促进各项工作更快更好发展。保障职工养老、医疗等社保费正常缴纳。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自收自支人员人数</w:t>
            </w:r>
          </w:p>
        </w:tc>
        <w:tc>
          <w:tcPr>
            <w:tcW w:w="2268" w:type="dxa"/>
            <w:vAlign w:val="center"/>
          </w:tcPr>
          <w:p>
            <w:pPr>
              <w:pStyle w:val="13"/>
            </w:pPr>
            <w:r>
              <w:t>≤182人</w:t>
            </w:r>
          </w:p>
        </w:tc>
        <w:tc>
          <w:tcPr>
            <w:tcW w:w="1276" w:type="dxa"/>
            <w:vAlign w:val="center"/>
          </w:tcPr>
          <w:p>
            <w:pPr>
              <w:pStyle w:val="13"/>
            </w:pPr>
            <w: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在职人员控制率</w:t>
            </w:r>
          </w:p>
        </w:tc>
        <w:tc>
          <w:tcPr>
            <w:tcW w:w="5386" w:type="dxa"/>
            <w:vAlign w:val="center"/>
          </w:tcPr>
          <w:p>
            <w:pPr>
              <w:pStyle w:val="13"/>
            </w:pPr>
            <w:r>
              <w:t>本年度实际在职人员数与编制数的比率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奖金、津贴发放及时率</w:t>
            </w:r>
          </w:p>
        </w:tc>
        <w:tc>
          <w:tcPr>
            <w:tcW w:w="5386" w:type="dxa"/>
            <w:vAlign w:val="center"/>
          </w:tcPr>
          <w:p>
            <w:pPr>
              <w:pStyle w:val="13"/>
            </w:pPr>
            <w:r>
              <w:t>奖金、津贴发放及时率</w:t>
            </w:r>
          </w:p>
        </w:tc>
        <w:tc>
          <w:tcPr>
            <w:tcW w:w="2268" w:type="dxa"/>
            <w:vAlign w:val="center"/>
          </w:tcPr>
          <w:p>
            <w:pPr>
              <w:pStyle w:val="13"/>
            </w:pPr>
            <w:r>
              <w:t>及时发放</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工资成本</w:t>
            </w:r>
          </w:p>
        </w:tc>
        <w:tc>
          <w:tcPr>
            <w:tcW w:w="5386" w:type="dxa"/>
            <w:vAlign w:val="center"/>
          </w:tcPr>
          <w:p>
            <w:pPr>
              <w:pStyle w:val="13"/>
            </w:pPr>
            <w:r>
              <w:t>自收自支人员全年工资总数</w:t>
            </w:r>
          </w:p>
        </w:tc>
        <w:tc>
          <w:tcPr>
            <w:tcW w:w="2268" w:type="dxa"/>
            <w:vAlign w:val="center"/>
          </w:tcPr>
          <w:p>
            <w:pPr>
              <w:pStyle w:val="13"/>
            </w:pPr>
            <w:r>
              <w:t>≤1500万元</w:t>
            </w:r>
          </w:p>
        </w:tc>
        <w:tc>
          <w:tcPr>
            <w:tcW w:w="1276" w:type="dxa"/>
            <w:vAlign w:val="center"/>
          </w:tcPr>
          <w:p>
            <w:pPr>
              <w:pStyle w:val="13"/>
            </w:pPr>
            <w: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实际重点工作完成情况占全年重点工作需完成情况的比率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满意人数占全部人数的比率</w:t>
            </w:r>
          </w:p>
        </w:tc>
        <w:tc>
          <w:tcPr>
            <w:tcW w:w="2268" w:type="dxa"/>
            <w:vAlign w:val="center"/>
          </w:tcPr>
          <w:p>
            <w:pPr>
              <w:pStyle w:val="13"/>
            </w:pPr>
            <w:r>
              <w:t>≥90%</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、土地综合整治绩效目标表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13058224P00358610003T</w:t>
            </w:r>
          </w:p>
        </w:tc>
        <w:tc>
          <w:tcPr>
            <w:tcW w:w="2835" w:type="dxa"/>
            <w:vAlign w:val="center"/>
          </w:tcPr>
          <w:p>
            <w:pPr>
              <w:pStyle w:val="11"/>
            </w:pPr>
            <w:r>
              <w:t>项目名称</w:t>
            </w:r>
          </w:p>
        </w:tc>
        <w:tc>
          <w:tcPr>
            <w:tcW w:w="6094" w:type="dxa"/>
            <w:gridSpan w:val="3"/>
            <w:vAlign w:val="center"/>
          </w:tcPr>
          <w:p>
            <w:pPr>
              <w:pStyle w:val="13"/>
            </w:pPr>
            <w:r>
              <w:t>土地综合整治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做好2024年土地开发支出工作，保障自然资源事业正常有序发展。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250.00</w:t>
            </w:r>
          </w:p>
        </w:tc>
        <w:tc>
          <w:tcPr>
            <w:tcW w:w="2835" w:type="dxa"/>
            <w:vAlign w:val="center"/>
          </w:tcPr>
          <w:p>
            <w:pPr>
              <w:pStyle w:val="14"/>
            </w:pPr>
            <w:r>
              <w:t>500.00</w:t>
            </w:r>
          </w:p>
        </w:tc>
        <w:tc>
          <w:tcPr>
            <w:tcW w:w="2551" w:type="dxa"/>
            <w:vAlign w:val="center"/>
          </w:tcPr>
          <w:p>
            <w:pPr>
              <w:pStyle w:val="14"/>
            </w:pPr>
            <w:r>
              <w:t>750.00</w:t>
            </w:r>
          </w:p>
        </w:tc>
        <w:tc>
          <w:tcPr>
            <w:tcW w:w="3543" w:type="dxa"/>
            <w:gridSpan w:val="2"/>
            <w:vAlign w:val="center"/>
          </w:tcPr>
          <w:p>
            <w:pPr>
              <w:pStyle w:val="14"/>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1.做好2024年土地开发支出工作，保障自然资源事业正常有序发展。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土地整治项目</w:t>
            </w:r>
          </w:p>
        </w:tc>
        <w:tc>
          <w:tcPr>
            <w:tcW w:w="5386" w:type="dxa"/>
            <w:vAlign w:val="center"/>
          </w:tcPr>
          <w:p>
            <w:pPr>
              <w:pStyle w:val="13"/>
            </w:pPr>
            <w:r>
              <w:t>土地整治项目数量</w:t>
            </w:r>
          </w:p>
        </w:tc>
        <w:tc>
          <w:tcPr>
            <w:tcW w:w="2268" w:type="dxa"/>
            <w:vAlign w:val="center"/>
          </w:tcPr>
          <w:p>
            <w:pPr>
              <w:pStyle w:val="13"/>
            </w:pPr>
            <w:r>
              <w:t>≥3个</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w:t>
            </w:r>
          </w:p>
        </w:tc>
        <w:tc>
          <w:tcPr>
            <w:tcW w:w="5386" w:type="dxa"/>
            <w:vAlign w:val="center"/>
          </w:tcPr>
          <w:p>
            <w:pPr>
              <w:pStyle w:val="13"/>
            </w:pPr>
            <w:r>
              <w:t>足额支付资金</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≤100%</w:t>
            </w:r>
          </w:p>
        </w:tc>
        <w:tc>
          <w:tcPr>
            <w:tcW w:w="1276" w:type="dxa"/>
            <w:vAlign w:val="center"/>
          </w:tcPr>
          <w:p>
            <w:pPr>
              <w:pStyle w:val="13"/>
            </w:pPr>
            <w:r>
              <w:t>预算安排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资金投入</w:t>
            </w:r>
          </w:p>
        </w:tc>
        <w:tc>
          <w:tcPr>
            <w:tcW w:w="5386" w:type="dxa"/>
            <w:vAlign w:val="center"/>
          </w:tcPr>
          <w:p>
            <w:pPr>
              <w:pStyle w:val="13"/>
            </w:pPr>
            <w:r>
              <w:t>资金投入金额</w:t>
            </w:r>
          </w:p>
        </w:tc>
        <w:tc>
          <w:tcPr>
            <w:tcW w:w="2268" w:type="dxa"/>
            <w:vAlign w:val="center"/>
          </w:tcPr>
          <w:p>
            <w:pPr>
              <w:pStyle w:val="13"/>
            </w:pPr>
            <w:r>
              <w:t>≤1000万元</w:t>
            </w:r>
          </w:p>
        </w:tc>
        <w:tc>
          <w:tcPr>
            <w:tcW w:w="1276" w:type="dxa"/>
            <w:vAlign w:val="center"/>
          </w:tcPr>
          <w:p>
            <w:pPr>
              <w:pStyle w:val="13"/>
            </w:pPr>
            <w:r>
              <w:t>预算安排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业务保障能力</w:t>
            </w:r>
          </w:p>
        </w:tc>
        <w:tc>
          <w:tcPr>
            <w:tcW w:w="2268" w:type="dxa"/>
            <w:vAlign w:val="center"/>
          </w:tcPr>
          <w:p>
            <w:pPr>
              <w:pStyle w:val="13"/>
            </w:pPr>
            <w:r>
              <w:t>提升</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、野生动物保护经费绩效目标表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13058224P000016100393</w:t>
            </w:r>
          </w:p>
        </w:tc>
        <w:tc>
          <w:tcPr>
            <w:tcW w:w="2835" w:type="dxa"/>
            <w:vAlign w:val="center"/>
          </w:tcPr>
          <w:p>
            <w:pPr>
              <w:pStyle w:val="11"/>
            </w:pPr>
            <w:r>
              <w:t>项目名称</w:t>
            </w:r>
          </w:p>
        </w:tc>
        <w:tc>
          <w:tcPr>
            <w:tcW w:w="6094" w:type="dxa"/>
            <w:gridSpan w:val="3"/>
            <w:vAlign w:val="center"/>
          </w:tcPr>
          <w:p>
            <w:pPr>
              <w:pStyle w:val="13"/>
            </w:pPr>
            <w:r>
              <w:t>野生动物保护经费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做好我市野生动植物保护工作，维护生态安全。根据河北省、邢台市有关要求，开展野生动植物保护工作。资金用于伤病、迷途野生动物救助，野生动物疫源调查监测，救助物资购置、野生动植物保护宣传等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1.做好我市野生动植物保护工作，维护生态安全。根据河北省、邢台市有关要求，开展野生动植物保护工作。资金用于伤病、迷途野生动物救助，野生动物疫源调查监测，救助物资购置、野生动植物保护宣传等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野生动植物保护宣传</w:t>
            </w:r>
          </w:p>
        </w:tc>
        <w:tc>
          <w:tcPr>
            <w:tcW w:w="5386" w:type="dxa"/>
            <w:vAlign w:val="center"/>
          </w:tcPr>
          <w:p>
            <w:pPr>
              <w:pStyle w:val="13"/>
            </w:pPr>
            <w:r>
              <w:t>宣传次数</w:t>
            </w:r>
          </w:p>
        </w:tc>
        <w:tc>
          <w:tcPr>
            <w:tcW w:w="2268" w:type="dxa"/>
            <w:vAlign w:val="center"/>
          </w:tcPr>
          <w:p>
            <w:pPr>
              <w:pStyle w:val="13"/>
            </w:pPr>
            <w:r>
              <w:t>≥5次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救助及时率</w:t>
            </w:r>
          </w:p>
        </w:tc>
        <w:tc>
          <w:tcPr>
            <w:tcW w:w="5386" w:type="dxa"/>
            <w:vAlign w:val="center"/>
          </w:tcPr>
          <w:p>
            <w:pPr>
              <w:pStyle w:val="13"/>
            </w:pPr>
            <w:r>
              <w:t>野生动植物救助及时到位</w:t>
            </w:r>
          </w:p>
        </w:tc>
        <w:tc>
          <w:tcPr>
            <w:tcW w:w="2268" w:type="dxa"/>
            <w:vAlign w:val="center"/>
          </w:tcPr>
          <w:p>
            <w:pPr>
              <w:pStyle w:val="13"/>
            </w:pPr>
            <w:r>
              <w:t>及时</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工作计划完成率</w:t>
            </w:r>
          </w:p>
        </w:tc>
        <w:tc>
          <w:tcPr>
            <w:tcW w:w="5386" w:type="dxa"/>
            <w:vAlign w:val="center"/>
          </w:tcPr>
          <w:p>
            <w:pPr>
              <w:pStyle w:val="13"/>
            </w:pPr>
            <w:r>
              <w:t>年度内工作计划完成情况</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资金投入</w:t>
            </w:r>
          </w:p>
        </w:tc>
        <w:tc>
          <w:tcPr>
            <w:tcW w:w="5386" w:type="dxa"/>
            <w:vAlign w:val="center"/>
          </w:tcPr>
          <w:p>
            <w:pPr>
              <w:pStyle w:val="13"/>
            </w:pPr>
            <w:r>
              <w:t>购置物资、宣传费用投入</w:t>
            </w:r>
          </w:p>
        </w:tc>
        <w:tc>
          <w:tcPr>
            <w:tcW w:w="2268" w:type="dxa"/>
            <w:vAlign w:val="center"/>
          </w:tcPr>
          <w:p>
            <w:pPr>
              <w:pStyle w:val="13"/>
            </w:pPr>
            <w:r>
              <w:t>≥10万元</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救助野生动植物</w:t>
            </w:r>
          </w:p>
        </w:tc>
        <w:tc>
          <w:tcPr>
            <w:tcW w:w="5386" w:type="dxa"/>
            <w:vAlign w:val="center"/>
          </w:tcPr>
          <w:p>
            <w:pPr>
              <w:pStyle w:val="13"/>
            </w:pPr>
            <w:r>
              <w:t>减少动植物损失</w:t>
            </w:r>
          </w:p>
        </w:tc>
        <w:tc>
          <w:tcPr>
            <w:tcW w:w="2268" w:type="dxa"/>
            <w:vAlign w:val="center"/>
          </w:tcPr>
          <w:p>
            <w:pPr>
              <w:pStyle w:val="13"/>
            </w:pPr>
            <w:r>
              <w:t>减少损失</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维护生态环境</w:t>
            </w:r>
          </w:p>
        </w:tc>
        <w:tc>
          <w:tcPr>
            <w:tcW w:w="5386" w:type="dxa"/>
            <w:vAlign w:val="center"/>
          </w:tcPr>
          <w:p>
            <w:pPr>
              <w:pStyle w:val="13"/>
            </w:pPr>
            <w:r>
              <w:t>保护生态环境，</w:t>
            </w:r>
          </w:p>
        </w:tc>
        <w:tc>
          <w:tcPr>
            <w:tcW w:w="2268" w:type="dxa"/>
            <w:vAlign w:val="center"/>
          </w:tcPr>
          <w:p>
            <w:pPr>
              <w:pStyle w:val="13"/>
            </w:pPr>
            <w:r>
              <w:t>提升</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公众对保护动植物意识</w:t>
            </w:r>
          </w:p>
        </w:tc>
        <w:tc>
          <w:tcPr>
            <w:tcW w:w="5386" w:type="dxa"/>
            <w:vAlign w:val="center"/>
          </w:tcPr>
          <w:p>
            <w:pPr>
              <w:pStyle w:val="13"/>
            </w:pPr>
            <w:r>
              <w:t>提高公众对保护动植物意识</w:t>
            </w:r>
          </w:p>
          <w:p>
            <w:pPr>
              <w:pStyle w:val="13"/>
            </w:pPr>
          </w:p>
        </w:tc>
        <w:tc>
          <w:tcPr>
            <w:tcW w:w="2268" w:type="dxa"/>
            <w:vAlign w:val="center"/>
          </w:tcPr>
          <w:p>
            <w:pPr>
              <w:pStyle w:val="13"/>
            </w:pPr>
            <w:r>
              <w:t>提升</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区域内群众满意度</w:t>
            </w:r>
          </w:p>
        </w:tc>
        <w:tc>
          <w:tcPr>
            <w:tcW w:w="2268" w:type="dxa"/>
            <w:vAlign w:val="center"/>
          </w:tcPr>
          <w:p>
            <w:pPr>
              <w:pStyle w:val="13"/>
            </w:pPr>
            <w:r>
              <w:t>提升</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、征地和拆迁补偿支出绩效目标表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13058224P003583100051</w:t>
            </w:r>
          </w:p>
        </w:tc>
        <w:tc>
          <w:tcPr>
            <w:tcW w:w="2835" w:type="dxa"/>
            <w:vAlign w:val="center"/>
          </w:tcPr>
          <w:p>
            <w:pPr>
              <w:pStyle w:val="11"/>
            </w:pPr>
            <w:r>
              <w:t>项目名称</w:t>
            </w:r>
          </w:p>
        </w:tc>
        <w:tc>
          <w:tcPr>
            <w:tcW w:w="6094" w:type="dxa"/>
            <w:gridSpan w:val="3"/>
            <w:vAlign w:val="center"/>
          </w:tcPr>
          <w:p>
            <w:pPr>
              <w:pStyle w:val="13"/>
            </w:pPr>
            <w:r>
              <w:t>征地和拆迁补偿支出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19186.00</w:t>
            </w:r>
          </w:p>
        </w:tc>
        <w:tc>
          <w:tcPr>
            <w:tcW w:w="2835" w:type="dxa"/>
            <w:vAlign w:val="center"/>
          </w:tcPr>
          <w:p>
            <w:pPr>
              <w:pStyle w:val="11"/>
            </w:pPr>
            <w:r>
              <w:t>其中：财政    资金</w:t>
            </w:r>
          </w:p>
        </w:tc>
        <w:tc>
          <w:tcPr>
            <w:tcW w:w="2551" w:type="dxa"/>
            <w:vAlign w:val="center"/>
          </w:tcPr>
          <w:p>
            <w:pPr>
              <w:pStyle w:val="13"/>
            </w:pPr>
            <w:r>
              <w:t>19186.00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做好2024年土地收储工作，及时拨付征地和拆迁补偿资金。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500.00</w:t>
            </w:r>
          </w:p>
        </w:tc>
        <w:tc>
          <w:tcPr>
            <w:tcW w:w="2835" w:type="dxa"/>
            <w:vAlign w:val="center"/>
          </w:tcPr>
          <w:p>
            <w:pPr>
              <w:pStyle w:val="14"/>
            </w:pPr>
            <w:r>
              <w:t>1000.00</w:t>
            </w:r>
          </w:p>
        </w:tc>
        <w:tc>
          <w:tcPr>
            <w:tcW w:w="2551" w:type="dxa"/>
            <w:vAlign w:val="center"/>
          </w:tcPr>
          <w:p>
            <w:pPr>
              <w:pStyle w:val="14"/>
            </w:pPr>
            <w:r>
              <w:t>1500.00</w:t>
            </w:r>
          </w:p>
        </w:tc>
        <w:tc>
          <w:tcPr>
            <w:tcW w:w="3543" w:type="dxa"/>
            <w:gridSpan w:val="2"/>
            <w:vAlign w:val="center"/>
          </w:tcPr>
          <w:p>
            <w:pPr>
              <w:pStyle w:val="14"/>
            </w:pPr>
            <w:r>
              <w:t>19186.00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1.做好2024年土地收储工作，及时拨付征地和拆迁补偿资金。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完成征地拆迁地块数量</w:t>
            </w:r>
          </w:p>
        </w:tc>
        <w:tc>
          <w:tcPr>
            <w:tcW w:w="5386" w:type="dxa"/>
            <w:vAlign w:val="center"/>
          </w:tcPr>
          <w:p>
            <w:pPr>
              <w:pStyle w:val="13"/>
            </w:pPr>
            <w:r>
              <w:t>完成征地拆迁地块数量</w:t>
            </w:r>
          </w:p>
        </w:tc>
        <w:tc>
          <w:tcPr>
            <w:tcW w:w="2268" w:type="dxa"/>
            <w:vAlign w:val="center"/>
          </w:tcPr>
          <w:p>
            <w:pPr>
              <w:pStyle w:val="13"/>
            </w:pPr>
            <w:r>
              <w:t>≥1500亩</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征地拆迁补偿资金到位率</w:t>
            </w:r>
          </w:p>
        </w:tc>
        <w:tc>
          <w:tcPr>
            <w:tcW w:w="5386" w:type="dxa"/>
            <w:vAlign w:val="center"/>
          </w:tcPr>
          <w:p>
            <w:pPr>
              <w:pStyle w:val="13"/>
            </w:pPr>
            <w:r>
              <w:t>征地拆迁补偿资金到位率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及时拨付资金</w:t>
            </w:r>
          </w:p>
        </w:tc>
        <w:tc>
          <w:tcPr>
            <w:tcW w:w="5386" w:type="dxa"/>
            <w:vAlign w:val="center"/>
          </w:tcPr>
          <w:p>
            <w:pPr>
              <w:pStyle w:val="13"/>
            </w:pPr>
            <w:r>
              <w:t>及时拨付资金</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资金投入</w:t>
            </w:r>
          </w:p>
        </w:tc>
        <w:tc>
          <w:tcPr>
            <w:tcW w:w="5386" w:type="dxa"/>
            <w:vAlign w:val="center"/>
          </w:tcPr>
          <w:p>
            <w:pPr>
              <w:pStyle w:val="13"/>
            </w:pPr>
            <w:r>
              <w:t>资金投入金额</w:t>
            </w:r>
          </w:p>
        </w:tc>
        <w:tc>
          <w:tcPr>
            <w:tcW w:w="2268" w:type="dxa"/>
            <w:vAlign w:val="center"/>
          </w:tcPr>
          <w:p>
            <w:pPr>
              <w:pStyle w:val="13"/>
            </w:pPr>
            <w:r>
              <w:t>≤19186万元</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工业亩均产值达标</w:t>
            </w:r>
          </w:p>
        </w:tc>
        <w:tc>
          <w:tcPr>
            <w:tcW w:w="5386" w:type="dxa"/>
            <w:vAlign w:val="center"/>
          </w:tcPr>
          <w:p>
            <w:pPr>
              <w:pStyle w:val="13"/>
            </w:pPr>
            <w:r>
              <w:t>符合邢台“234”标准</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、自然资源和规划局工作经费绩效目标表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13058224P000016100439</w:t>
            </w:r>
          </w:p>
        </w:tc>
        <w:tc>
          <w:tcPr>
            <w:tcW w:w="2835" w:type="dxa"/>
            <w:vAlign w:val="center"/>
          </w:tcPr>
          <w:p>
            <w:pPr>
              <w:pStyle w:val="11"/>
            </w:pPr>
            <w:r>
              <w:t>项目名称</w:t>
            </w:r>
          </w:p>
        </w:tc>
        <w:tc>
          <w:tcPr>
            <w:tcW w:w="6094" w:type="dxa"/>
            <w:gridSpan w:val="3"/>
            <w:vAlign w:val="center"/>
          </w:tcPr>
          <w:p>
            <w:pPr>
              <w:pStyle w:val="13"/>
            </w:pPr>
            <w:r>
              <w:t>自然资源和规划局工作经费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保障职工工资、福利等正常发放,提高工作积极性，确保各项工作正常运转，促进各项工作更快更好发展。保障职工养老、医疗等社保费正常缴纳。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1.保障职工工资、福利等正常发放,提高工作积极性，确保各项工作正常运转，促进各项工作更快更好发展。保障职工养老、医疗等社保费正常缴纳。</w:t>
            </w:r>
          </w:p>
          <w:p>
            <w:pPr>
              <w:pStyle w:val="13"/>
            </w:pPr>
            <w:r>
              <w:t>2.保障职工养老、医疗等社保费正常缴纳。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自收自支人员人数</w:t>
            </w:r>
          </w:p>
        </w:tc>
        <w:tc>
          <w:tcPr>
            <w:tcW w:w="2268" w:type="dxa"/>
            <w:vAlign w:val="center"/>
          </w:tcPr>
          <w:p>
            <w:pPr>
              <w:pStyle w:val="13"/>
            </w:pPr>
            <w:r>
              <w:t>≤182人</w:t>
            </w:r>
          </w:p>
        </w:tc>
        <w:tc>
          <w:tcPr>
            <w:tcW w:w="1276" w:type="dxa"/>
            <w:vAlign w:val="center"/>
          </w:tcPr>
          <w:p>
            <w:pPr>
              <w:pStyle w:val="13"/>
            </w:pPr>
            <w: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在职人员控制率</w:t>
            </w:r>
          </w:p>
        </w:tc>
        <w:tc>
          <w:tcPr>
            <w:tcW w:w="5386" w:type="dxa"/>
            <w:vAlign w:val="center"/>
          </w:tcPr>
          <w:p>
            <w:pPr>
              <w:pStyle w:val="13"/>
            </w:pPr>
            <w:r>
              <w:t>本年度实际在职人员数与编制数的比率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奖金、津贴发放及时率</w:t>
            </w:r>
          </w:p>
        </w:tc>
        <w:tc>
          <w:tcPr>
            <w:tcW w:w="5386" w:type="dxa"/>
            <w:vAlign w:val="center"/>
          </w:tcPr>
          <w:p>
            <w:pPr>
              <w:pStyle w:val="13"/>
            </w:pPr>
            <w:r>
              <w:t>奖金、津贴发放及时率</w:t>
            </w:r>
          </w:p>
        </w:tc>
        <w:tc>
          <w:tcPr>
            <w:tcW w:w="2268" w:type="dxa"/>
            <w:vAlign w:val="center"/>
          </w:tcPr>
          <w:p>
            <w:pPr>
              <w:pStyle w:val="13"/>
            </w:pPr>
            <w:r>
              <w:t>及时发放</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工资成本</w:t>
            </w:r>
          </w:p>
        </w:tc>
        <w:tc>
          <w:tcPr>
            <w:tcW w:w="5386" w:type="dxa"/>
            <w:vAlign w:val="center"/>
          </w:tcPr>
          <w:p>
            <w:pPr>
              <w:pStyle w:val="13"/>
            </w:pPr>
            <w:r>
              <w:t>自收自支人员经费投入金额</w:t>
            </w:r>
          </w:p>
        </w:tc>
        <w:tc>
          <w:tcPr>
            <w:tcW w:w="2268" w:type="dxa"/>
            <w:vAlign w:val="center"/>
          </w:tcPr>
          <w:p>
            <w:pPr>
              <w:pStyle w:val="13"/>
            </w:pPr>
            <w:r>
              <w:t>≤20万元</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实际重点工作完成情况占全年重点工作需完成情况的比率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满意人数占全部人数的比率</w:t>
            </w:r>
          </w:p>
        </w:tc>
        <w:tc>
          <w:tcPr>
            <w:tcW w:w="2268" w:type="dxa"/>
            <w:vAlign w:val="center"/>
          </w:tcPr>
          <w:p>
            <w:pPr>
              <w:pStyle w:val="13"/>
            </w:pPr>
            <w:r>
              <w:t>≥90%</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、自然资源事务业务经费绩效目标表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13058224P00001610042M</w:t>
            </w:r>
          </w:p>
        </w:tc>
        <w:tc>
          <w:tcPr>
            <w:tcW w:w="2835" w:type="dxa"/>
            <w:vAlign w:val="center"/>
          </w:tcPr>
          <w:p>
            <w:pPr>
              <w:pStyle w:val="11"/>
            </w:pPr>
            <w:r>
              <w:t>项目名称</w:t>
            </w:r>
          </w:p>
        </w:tc>
        <w:tc>
          <w:tcPr>
            <w:tcW w:w="6094" w:type="dxa"/>
            <w:gridSpan w:val="3"/>
            <w:vAlign w:val="center"/>
          </w:tcPr>
          <w:p>
            <w:pPr>
              <w:pStyle w:val="13"/>
            </w:pPr>
            <w:r>
              <w:t>自然资源事务业务经费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保障职工工资、福利等正常发放,提高工作积极性，确保各项工作正常运转，促进各项工作更快更好发展。保障职工养老、医疗等社保费正常缴纳。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150.00</w:t>
            </w:r>
          </w:p>
        </w:tc>
        <w:tc>
          <w:tcPr>
            <w:tcW w:w="3543" w:type="dxa"/>
            <w:gridSpan w:val="2"/>
            <w:vAlign w:val="center"/>
          </w:tcPr>
          <w:p>
            <w:pPr>
              <w:pStyle w:val="14"/>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1.保障职工工资、福利等正常发放,提高工作积极性，确保各项工作正常运转，促进各项工作更快更好发展。保障职工养老、医疗等社保费正常缴纳。</w:t>
            </w:r>
          </w:p>
          <w:p>
            <w:pPr>
              <w:pStyle w:val="13"/>
            </w:pPr>
            <w:r>
              <w:t>2.保障职工养老、医疗等社保费正常缴纳。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自收自支人员人数</w:t>
            </w:r>
          </w:p>
        </w:tc>
        <w:tc>
          <w:tcPr>
            <w:tcW w:w="2268" w:type="dxa"/>
            <w:vAlign w:val="center"/>
          </w:tcPr>
          <w:p>
            <w:pPr>
              <w:pStyle w:val="13"/>
            </w:pPr>
            <w:r>
              <w:t>≤182人</w:t>
            </w:r>
          </w:p>
        </w:tc>
        <w:tc>
          <w:tcPr>
            <w:tcW w:w="1276" w:type="dxa"/>
            <w:vAlign w:val="center"/>
          </w:tcPr>
          <w:p>
            <w:pPr>
              <w:pStyle w:val="13"/>
            </w:pPr>
            <w:r>
              <w:t>组织部、人社局审批数据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在职人员控制率</w:t>
            </w:r>
          </w:p>
        </w:tc>
        <w:tc>
          <w:tcPr>
            <w:tcW w:w="5386" w:type="dxa"/>
            <w:vAlign w:val="center"/>
          </w:tcPr>
          <w:p>
            <w:pPr>
              <w:pStyle w:val="13"/>
            </w:pPr>
            <w:r>
              <w:t>本年度实际在职人员数与编制数的比率</w:t>
            </w:r>
          </w:p>
        </w:tc>
        <w:tc>
          <w:tcPr>
            <w:tcW w:w="2268" w:type="dxa"/>
            <w:vAlign w:val="center"/>
          </w:tcPr>
          <w:p>
            <w:pPr>
              <w:pStyle w:val="13"/>
            </w:pPr>
            <w:r>
              <w:t>≤100%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奖金、津贴发放及时率</w:t>
            </w:r>
          </w:p>
        </w:tc>
        <w:tc>
          <w:tcPr>
            <w:tcW w:w="5386" w:type="dxa"/>
            <w:vAlign w:val="center"/>
          </w:tcPr>
          <w:p>
            <w:pPr>
              <w:pStyle w:val="13"/>
            </w:pPr>
            <w:r>
              <w:t>奖金、津贴发放及时率</w:t>
            </w:r>
          </w:p>
        </w:tc>
        <w:tc>
          <w:tcPr>
            <w:tcW w:w="2268" w:type="dxa"/>
            <w:vAlign w:val="center"/>
          </w:tcPr>
          <w:p>
            <w:pPr>
              <w:pStyle w:val="13"/>
            </w:pPr>
            <w:r>
              <w:t>及时发放</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工资成本</w:t>
            </w:r>
          </w:p>
        </w:tc>
        <w:tc>
          <w:tcPr>
            <w:tcW w:w="5386" w:type="dxa"/>
            <w:vAlign w:val="center"/>
          </w:tcPr>
          <w:p>
            <w:pPr>
              <w:pStyle w:val="13"/>
            </w:pPr>
            <w:r>
              <w:t>资金投入金额</w:t>
            </w:r>
          </w:p>
        </w:tc>
        <w:tc>
          <w:tcPr>
            <w:tcW w:w="2268" w:type="dxa"/>
            <w:vAlign w:val="center"/>
          </w:tcPr>
          <w:p>
            <w:pPr>
              <w:pStyle w:val="13"/>
            </w:pPr>
            <w:r>
              <w:t>≤200万元</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重点工作完成率</w:t>
            </w:r>
          </w:p>
        </w:tc>
        <w:tc>
          <w:tcPr>
            <w:tcW w:w="5386" w:type="dxa"/>
            <w:vAlign w:val="center"/>
          </w:tcPr>
          <w:p>
            <w:pPr>
              <w:pStyle w:val="13"/>
            </w:pPr>
            <w:r>
              <w:t>实际重点工作完成情况占全年重点工作需完成情况的比率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满意人数占全部人数的比率</w:t>
            </w:r>
          </w:p>
        </w:tc>
        <w:tc>
          <w:tcPr>
            <w:tcW w:w="2268" w:type="dxa"/>
            <w:vAlign w:val="center"/>
          </w:tcPr>
          <w:p>
            <w:pPr>
              <w:pStyle w:val="13"/>
            </w:pPr>
            <w:r>
              <w:t>≥90%</w:t>
            </w:r>
          </w:p>
        </w:tc>
        <w:tc>
          <w:tcPr>
            <w:tcW w:w="1276" w:type="dxa"/>
            <w:vAlign w:val="center"/>
          </w:tcPr>
          <w:p>
            <w:pPr>
              <w:pStyle w:val="13"/>
            </w:pPr>
            <w:r>
              <w:t>走访调查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131沙河市自然资源和规划局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沙河市自然资源和规划局（含所属单位）上年末固定资产金额为6784.66万元（详见下表）。本年度拟购置固定资产总额为50.00万元，已按要求列入政府采购预算，详见政府采购预算表。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131沙河市自然资源和规划局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6784.66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29804.23</w:t>
            </w:r>
          </w:p>
        </w:tc>
        <w:tc>
          <w:tcPr>
            <w:tcW w:w="2835" w:type="dxa"/>
            <w:vAlign w:val="center"/>
          </w:tcPr>
          <w:p>
            <w:pPr>
              <w:pStyle w:val="12"/>
            </w:pPr>
            <w:r>
              <w:t>4872.66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14413</w:t>
            </w:r>
          </w:p>
        </w:tc>
        <w:tc>
          <w:tcPr>
            <w:tcW w:w="2835" w:type="dxa"/>
            <w:vAlign w:val="center"/>
          </w:tcPr>
          <w:p>
            <w:pPr>
              <w:pStyle w:val="12"/>
            </w:pPr>
            <w:r>
              <w:t>3740.35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39</w:t>
            </w:r>
          </w:p>
        </w:tc>
        <w:tc>
          <w:tcPr>
            <w:tcW w:w="2835" w:type="dxa"/>
            <w:vAlign w:val="center"/>
          </w:tcPr>
          <w:p>
            <w:pPr>
              <w:pStyle w:val="12"/>
            </w:pPr>
            <w:r>
              <w:t>427.99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14578</w:t>
            </w:r>
          </w:p>
        </w:tc>
        <w:tc>
          <w:tcPr>
            <w:tcW w:w="2835" w:type="dxa"/>
            <w:vAlign w:val="center"/>
          </w:tcPr>
          <w:p>
            <w:pPr>
              <w:pStyle w:val="12"/>
            </w:pPr>
            <w:r>
              <w:t>1484.01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VkOGY4M2M1MTg2NzE2MWI1MjQ1ZGRlZDlkNjZhOGMifQ=="/>
  </w:docVars>
  <w:rsids>
    <w:rsidRoot w:val="00000000"/>
    <w:rsid w:val="0A667BA0"/>
    <w:rsid w:val="168574DE"/>
    <w:rsid w:val="27CD2009"/>
    <w:rsid w:val="29682246"/>
    <w:rsid w:val="3E7B719B"/>
    <w:rsid w:val="4FB24768"/>
    <w:rsid w:val="55432F3C"/>
    <w:rsid w:val="66D07AF5"/>
    <w:rsid w:val="70812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2024-03-19T14:42:01Z</dcterms:created>
  <dcterms:modified xsi:type="dcterms:W3CDTF">2024-03-19T06:42:01Z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2024-03-19T14:42:01Z</dcterms:created>
  <dcterms:modified xsi:type="dcterms:W3CDTF">2024-03-19T06:42:01Z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2024-03-19T14:42:01Z</dcterms:created>
  <dcterms:modified xsi:type="dcterms:W3CDTF">2024-03-19T06:42:01Z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2024-03-19T14:42:02Z</dcterms:created>
  <dcterms:modified xsi:type="dcterms:W3CDTF">2024-03-19T06:42:01Z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2024-03-19T14:42:00Z</dcterms:created>
  <dcterms:modified xsi:type="dcterms:W3CDTF">2024-03-19T06:42:00Z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2024-03-19T14:42:02Z</dcterms:created>
  <dcterms:modified xsi:type="dcterms:W3CDTF">2024-03-19T06:42:02Z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2024-03-19T14:42:02Z</dcterms:created>
  <dcterms:modified xsi:type="dcterms:W3CDTF">2024-03-19T06:42:02Z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2024-03-19T14:42:02Z</dcterms:created>
  <dcterms:modified xsi:type="dcterms:W3CDTF">2024-03-19T06:42:02Z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2024-03-19T14:42:03Z</dcterms:created>
  <dcterms:modified xsi:type="dcterms:W3CDTF">2024-03-19T06:42:03Z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2024-03-19T14:41:59Z</dcterms:created>
  <dcterms:modified xsi:type="dcterms:W3CDTF">2024-03-19T06:41:59Z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2024-03-19T14:42:03Z</dcterms:created>
  <dcterms:modified xsi:type="dcterms:W3CDTF">2024-03-19T06:42:03Z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2024-03-19T14:42:03Z</dcterms:created>
  <dcterms:modified xsi:type="dcterms:W3CDTF">2024-03-19T06:42:03Z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2024-03-19T14:42:04Z</dcterms:created>
  <dcterms:modified xsi:type="dcterms:W3CDTF">2024-03-19T06:42:03Z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2024-03-19T14:42:04Z</dcterms:created>
  <dcterms:modified xsi:type="dcterms:W3CDTF">2024-03-19T06:42:04Z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2024-03-19T14:42:04Z</dcterms:created>
  <dcterms:modified xsi:type="dcterms:W3CDTF">2024-03-19T06:42:04Z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2024-03-19T14:42:00Z</dcterms:created>
  <dcterms:modified xsi:type="dcterms:W3CDTF">2024-03-19T06:42:00Z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2024-03-19T14:42:04Z</dcterms:created>
  <dcterms:modified xsi:type="dcterms:W3CDTF">2024-03-19T06:42:04Z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2024-03-19T14:42:05Z</dcterms:created>
  <dcterms:modified xsi:type="dcterms:W3CDTF">2024-03-19T06:42:05Z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2024-03-19T14:41:59Z</dcterms:created>
  <dcterms:modified xsi:type="dcterms:W3CDTF">2024-03-19T06:41:59Z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2024-03-19T14:41:57Z</dcterms:created>
  <dcterms:modified xsi:type="dcterms:W3CDTF">2024-03-19T06:41:57Z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2024-03-19T14:42:00Z</dcterms:created>
  <dcterms:modified xsi:type="dcterms:W3CDTF">2024-03-19T06:42:00Z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2024-03-19T14:42:00Z</dcterms:created>
  <dcterms:modified xsi:type="dcterms:W3CDTF">2024-03-19T06:42:00Z</dcterms:modified>
</cp:coreProperties>
</file>

<file path=customXml/itemProps1.xml><?xml version="1.0" encoding="utf-8"?>
<ds:datastoreItem xmlns:ds="http://schemas.openxmlformats.org/officeDocument/2006/customXml" ds:itemID="{4e6902f0-f33c-4dba-b6d8-73cc42e61095}">
  <ds:schemaRefs/>
</ds:datastoreItem>
</file>

<file path=customXml/itemProps10.xml><?xml version="1.0" encoding="utf-8"?>
<ds:datastoreItem xmlns:ds="http://schemas.openxmlformats.org/officeDocument/2006/customXml" ds:itemID="{2ef3f25f-b51e-4633-b04c-040f68738277}">
  <ds:schemaRefs/>
</ds:datastoreItem>
</file>

<file path=customXml/itemProps11.xml><?xml version="1.0" encoding="utf-8"?>
<ds:datastoreItem xmlns:ds="http://schemas.openxmlformats.org/officeDocument/2006/customXml" ds:itemID="{da29b747-2efb-4c94-9e6d-d658e06fb392}">
  <ds:schemaRefs/>
</ds:datastoreItem>
</file>

<file path=customXml/itemProps12.xml><?xml version="1.0" encoding="utf-8"?>
<ds:datastoreItem xmlns:ds="http://schemas.openxmlformats.org/officeDocument/2006/customXml" ds:itemID="{b350663d-973f-4b49-8fdf-fd1597cbc181}">
  <ds:schemaRefs/>
</ds:datastoreItem>
</file>

<file path=customXml/itemProps13.xml><?xml version="1.0" encoding="utf-8"?>
<ds:datastoreItem xmlns:ds="http://schemas.openxmlformats.org/officeDocument/2006/customXml" ds:itemID="{8110f565-2836-4114-b806-5d65e6db9121}">
  <ds:schemaRefs/>
</ds:datastoreItem>
</file>

<file path=customXml/itemProps14.xml><?xml version="1.0" encoding="utf-8"?>
<ds:datastoreItem xmlns:ds="http://schemas.openxmlformats.org/officeDocument/2006/customXml" ds:itemID="{0baf1392-f2ff-43f6-8997-3dd7bc912fc2}">
  <ds:schemaRefs/>
</ds:datastoreItem>
</file>

<file path=customXml/itemProps15.xml><?xml version="1.0" encoding="utf-8"?>
<ds:datastoreItem xmlns:ds="http://schemas.openxmlformats.org/officeDocument/2006/customXml" ds:itemID="{bee9f058-0326-4dfa-b54e-a50efa82a494}">
  <ds:schemaRefs/>
</ds:datastoreItem>
</file>

<file path=customXml/itemProps16.xml><?xml version="1.0" encoding="utf-8"?>
<ds:datastoreItem xmlns:ds="http://schemas.openxmlformats.org/officeDocument/2006/customXml" ds:itemID="{d09f2c8a-93cc-4d9c-9813-ca4aeec3ec9c}">
  <ds:schemaRefs/>
</ds:datastoreItem>
</file>

<file path=customXml/itemProps17.xml><?xml version="1.0" encoding="utf-8"?>
<ds:datastoreItem xmlns:ds="http://schemas.openxmlformats.org/officeDocument/2006/customXml" ds:itemID="{08d73e2b-79da-4835-b1eb-2ccd9a69868b}">
  <ds:schemaRefs/>
</ds:datastoreItem>
</file>

<file path=customXml/itemProps18.xml><?xml version="1.0" encoding="utf-8"?>
<ds:datastoreItem xmlns:ds="http://schemas.openxmlformats.org/officeDocument/2006/customXml" ds:itemID="{cf59a89b-7005-4c0d-bddb-cac89610be5f}">
  <ds:schemaRefs/>
</ds:datastoreItem>
</file>

<file path=customXml/itemProps19.xml><?xml version="1.0" encoding="utf-8"?>
<ds:datastoreItem xmlns:ds="http://schemas.openxmlformats.org/officeDocument/2006/customXml" ds:itemID="{5e657847-dbdf-4def-a560-e7aa099c0e8d}">
  <ds:schemaRefs/>
</ds:datastoreItem>
</file>

<file path=customXml/itemProps2.xml><?xml version="1.0" encoding="utf-8"?>
<ds:datastoreItem xmlns:ds="http://schemas.openxmlformats.org/officeDocument/2006/customXml" ds:itemID="{a12b7f6c-806f-4481-b83e-ce061cae366f}">
  <ds:schemaRefs/>
</ds:datastoreItem>
</file>

<file path=customXml/itemProps20.xml><?xml version="1.0" encoding="utf-8"?>
<ds:datastoreItem xmlns:ds="http://schemas.openxmlformats.org/officeDocument/2006/customXml" ds:itemID="{1a35ee3e-5bac-4e70-bd69-ad105a9eba4c}">
  <ds:schemaRefs/>
</ds:datastoreItem>
</file>

<file path=customXml/itemProps21.xml><?xml version="1.0" encoding="utf-8"?>
<ds:datastoreItem xmlns:ds="http://schemas.openxmlformats.org/officeDocument/2006/customXml" ds:itemID="{1e3bc659-a45d-4bd5-9a5b-92cde8e6dcc7}">
  <ds:schemaRefs/>
</ds:datastoreItem>
</file>

<file path=customXml/itemProps22.xml><?xml version="1.0" encoding="utf-8"?>
<ds:datastoreItem xmlns:ds="http://schemas.openxmlformats.org/officeDocument/2006/customXml" ds:itemID="{80527f13-8344-48bf-80de-f0e4c8368a86}">
  <ds:schemaRefs/>
</ds:datastoreItem>
</file>

<file path=customXml/itemProps23.xml><?xml version="1.0" encoding="utf-8"?>
<ds:datastoreItem xmlns:ds="http://schemas.openxmlformats.org/officeDocument/2006/customXml" ds:itemID="{de2ced48-9d45-4818-9c1d-dd08f398aea5}">
  <ds:schemaRefs/>
</ds:datastoreItem>
</file>

<file path=customXml/itemProps24.xml><?xml version="1.0" encoding="utf-8"?>
<ds:datastoreItem xmlns:ds="http://schemas.openxmlformats.org/officeDocument/2006/customXml" ds:itemID="{820219a4-b3ad-4130-b7c8-a02559fa6f11}">
  <ds:schemaRefs/>
</ds:datastoreItem>
</file>

<file path=customXml/itemProps25.xml><?xml version="1.0" encoding="utf-8"?>
<ds:datastoreItem xmlns:ds="http://schemas.openxmlformats.org/officeDocument/2006/customXml" ds:itemID="{cbe7d254-0c18-49df-b407-6195b26218b0}">
  <ds:schemaRefs/>
</ds:datastoreItem>
</file>

<file path=customXml/itemProps26.xml><?xml version="1.0" encoding="utf-8"?>
<ds:datastoreItem xmlns:ds="http://schemas.openxmlformats.org/officeDocument/2006/customXml" ds:itemID="{392c4f50-1ce5-47af-b0b6-fa77dc12937e}">
  <ds:schemaRefs/>
</ds:datastoreItem>
</file>

<file path=customXml/itemProps27.xml><?xml version="1.0" encoding="utf-8"?>
<ds:datastoreItem xmlns:ds="http://schemas.openxmlformats.org/officeDocument/2006/customXml" ds:itemID="{417cf5ac-5cf8-4b57-a6c7-792849322871}">
  <ds:schemaRefs/>
</ds:datastoreItem>
</file>

<file path=customXml/itemProps28.xml><?xml version="1.0" encoding="utf-8"?>
<ds:datastoreItem xmlns:ds="http://schemas.openxmlformats.org/officeDocument/2006/customXml" ds:itemID="{7fec6eee-b391-4316-8726-b59c04d58d9e}">
  <ds:schemaRefs/>
</ds:datastoreItem>
</file>

<file path=customXml/itemProps29.xml><?xml version="1.0" encoding="utf-8"?>
<ds:datastoreItem xmlns:ds="http://schemas.openxmlformats.org/officeDocument/2006/customXml" ds:itemID="{7d99b29f-9bb1-4c59-93d6-40681d8aa2b5}">
  <ds:schemaRefs/>
</ds:datastoreItem>
</file>

<file path=customXml/itemProps3.xml><?xml version="1.0" encoding="utf-8"?>
<ds:datastoreItem xmlns:ds="http://schemas.openxmlformats.org/officeDocument/2006/customXml" ds:itemID="{d20880f2-ed50-4ba3-9c54-12ad516dff6a}">
  <ds:schemaRefs/>
</ds:datastoreItem>
</file>

<file path=customXml/itemProps30.xml><?xml version="1.0" encoding="utf-8"?>
<ds:datastoreItem xmlns:ds="http://schemas.openxmlformats.org/officeDocument/2006/customXml" ds:itemID="{6143ba47-db1f-4dd3-a201-0143dacc3cd2}">
  <ds:schemaRefs/>
</ds:datastoreItem>
</file>

<file path=customXml/itemProps31.xml><?xml version="1.0" encoding="utf-8"?>
<ds:datastoreItem xmlns:ds="http://schemas.openxmlformats.org/officeDocument/2006/customXml" ds:itemID="{3be10ddf-ea75-43ce-aca5-67de19102c2e}">
  <ds:schemaRefs/>
</ds:datastoreItem>
</file>

<file path=customXml/itemProps32.xml><?xml version="1.0" encoding="utf-8"?>
<ds:datastoreItem xmlns:ds="http://schemas.openxmlformats.org/officeDocument/2006/customXml" ds:itemID="{c69ebbe3-a800-44c9-a1a0-d2f094d3f19f}">
  <ds:schemaRefs/>
</ds:datastoreItem>
</file>

<file path=customXml/itemProps33.xml><?xml version="1.0" encoding="utf-8"?>
<ds:datastoreItem xmlns:ds="http://schemas.openxmlformats.org/officeDocument/2006/customXml" ds:itemID="{62ab7ef7-712e-42ed-9e38-fe469e4cd4fd}">
  <ds:schemaRefs/>
</ds:datastoreItem>
</file>

<file path=customXml/itemProps34.xml><?xml version="1.0" encoding="utf-8"?>
<ds:datastoreItem xmlns:ds="http://schemas.openxmlformats.org/officeDocument/2006/customXml" ds:itemID="{465078c2-c025-4b84-85f5-ac62508198c6}">
  <ds:schemaRefs/>
</ds:datastoreItem>
</file>

<file path=customXml/itemProps35.xml><?xml version="1.0" encoding="utf-8"?>
<ds:datastoreItem xmlns:ds="http://schemas.openxmlformats.org/officeDocument/2006/customXml" ds:itemID="{2c4b34fa-a7c9-455a-8a73-791d313d7772}">
  <ds:schemaRefs/>
</ds:datastoreItem>
</file>

<file path=customXml/itemProps36.xml><?xml version="1.0" encoding="utf-8"?>
<ds:datastoreItem xmlns:ds="http://schemas.openxmlformats.org/officeDocument/2006/customXml" ds:itemID="{1c455a61-c348-4667-87fa-b53d00ada745}">
  <ds:schemaRefs/>
</ds:datastoreItem>
</file>

<file path=customXml/itemProps37.xml><?xml version="1.0" encoding="utf-8"?>
<ds:datastoreItem xmlns:ds="http://schemas.openxmlformats.org/officeDocument/2006/customXml" ds:itemID="{06c531f0-d262-45af-a066-5a41ba258e77}">
  <ds:schemaRefs/>
</ds:datastoreItem>
</file>

<file path=customXml/itemProps38.xml><?xml version="1.0" encoding="utf-8"?>
<ds:datastoreItem xmlns:ds="http://schemas.openxmlformats.org/officeDocument/2006/customXml" ds:itemID="{c1ccca1f-9dc4-4860-9986-30bac8fff8f9}">
  <ds:schemaRefs/>
</ds:datastoreItem>
</file>

<file path=customXml/itemProps39.xml><?xml version="1.0" encoding="utf-8"?>
<ds:datastoreItem xmlns:ds="http://schemas.openxmlformats.org/officeDocument/2006/customXml" ds:itemID="{bfdfaa44-345f-47d8-9b3d-6551b0c781d8}">
  <ds:schemaRefs/>
</ds:datastoreItem>
</file>

<file path=customXml/itemProps4.xml><?xml version="1.0" encoding="utf-8"?>
<ds:datastoreItem xmlns:ds="http://schemas.openxmlformats.org/officeDocument/2006/customXml" ds:itemID="{3e223e55-67e8-4600-868d-ce014f71fabf}">
  <ds:schemaRefs/>
</ds:datastoreItem>
</file>

<file path=customXml/itemProps40.xml><?xml version="1.0" encoding="utf-8"?>
<ds:datastoreItem xmlns:ds="http://schemas.openxmlformats.org/officeDocument/2006/customXml" ds:itemID="{09373da0-44e3-4a5c-9c56-bc15e99a39bc}">
  <ds:schemaRefs/>
</ds:datastoreItem>
</file>

<file path=customXml/itemProps41.xml><?xml version="1.0" encoding="utf-8"?>
<ds:datastoreItem xmlns:ds="http://schemas.openxmlformats.org/officeDocument/2006/customXml" ds:itemID="{d3a7646a-e1e6-4ab5-bf41-b9e1134699b9}">
  <ds:schemaRefs/>
</ds:datastoreItem>
</file>

<file path=customXml/itemProps42.xml><?xml version="1.0" encoding="utf-8"?>
<ds:datastoreItem xmlns:ds="http://schemas.openxmlformats.org/officeDocument/2006/customXml" ds:itemID="{ea7f53f8-1eca-4e92-837a-a03ea2fbd9e6}">
  <ds:schemaRefs/>
</ds:datastoreItem>
</file>

<file path=customXml/itemProps43.xml><?xml version="1.0" encoding="utf-8"?>
<ds:datastoreItem xmlns:ds="http://schemas.openxmlformats.org/officeDocument/2006/customXml" ds:itemID="{f6e02bf0-3968-472b-8bdf-eaddb6c6a11c}">
  <ds:schemaRefs/>
</ds:datastoreItem>
</file>

<file path=customXml/itemProps44.xml><?xml version="1.0" encoding="utf-8"?>
<ds:datastoreItem xmlns:ds="http://schemas.openxmlformats.org/officeDocument/2006/customXml" ds:itemID="{5d617693-282b-45b6-b16f-dfd612d47e0b}">
  <ds:schemaRefs/>
</ds:datastoreItem>
</file>

<file path=customXml/itemProps5.xml><?xml version="1.0" encoding="utf-8"?>
<ds:datastoreItem xmlns:ds="http://schemas.openxmlformats.org/officeDocument/2006/customXml" ds:itemID="{e0b45106-a367-4498-95e1-a244838d0fa7}">
  <ds:schemaRefs/>
</ds:datastoreItem>
</file>

<file path=customXml/itemProps6.xml><?xml version="1.0" encoding="utf-8"?>
<ds:datastoreItem xmlns:ds="http://schemas.openxmlformats.org/officeDocument/2006/customXml" ds:itemID="{c2c09d48-adc0-4787-8e2d-2f183923dbb7}">
  <ds:schemaRefs/>
</ds:datastoreItem>
</file>

<file path=customXml/itemProps7.xml><?xml version="1.0" encoding="utf-8"?>
<ds:datastoreItem xmlns:ds="http://schemas.openxmlformats.org/officeDocument/2006/customXml" ds:itemID="{6ffd654e-795c-4c90-81d8-a59f98aa518c}">
  <ds:schemaRefs/>
</ds:datastoreItem>
</file>

<file path=customXml/itemProps8.xml><?xml version="1.0" encoding="utf-8"?>
<ds:datastoreItem xmlns:ds="http://schemas.openxmlformats.org/officeDocument/2006/customXml" ds:itemID="{2f1c3c53-c060-428a-bb93-e59115aca59c}">
  <ds:schemaRefs/>
</ds:datastoreItem>
</file>

<file path=customXml/itemProps9.xml><?xml version="1.0" encoding="utf-8"?>
<ds:datastoreItem xmlns:ds="http://schemas.openxmlformats.org/officeDocument/2006/customXml" ds:itemID="{f0dd3954-23b3-4c38-9223-493d69d99516}">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2024-03-19T14:42:00Z</dcterms:created>
  <dc:creator>Administrator</dc:creator>
  <cp:lastModifiedBy>不二臣</cp:lastModifiedBy>
  <dcterms:modified xsi:type="dcterms:W3CDTF">2025-04-11T07:37:33Z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C802C31123A04A4EA8A8652D7619C544_12</vt:lpwstr>
  </property>
</Properties>
</file>