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一、河北省沙河玻璃技术研究院本级收支预算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一、河北省沙河玻璃技术研究院本级收支预算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576.30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546.64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576.30</w:t>
            </w:r>
          </w:p>
        </w:tc>
        <w:tc>
          <w:tcPr>
            <w:tcW w:w="4535" w:type="dxa"/>
            <w:vAlign w:val="center"/>
          </w:tcPr>
          <w:p>
            <w:pPr>
              <w:pStyle w:val="14"/>
            </w:pPr>
            <w:r>
              <w:t>本年支出合计</w:t>
            </w:r>
          </w:p>
        </w:tc>
        <w:tc>
          <w:tcPr>
            <w:tcW w:w="2126" w:type="dxa"/>
            <w:vAlign w:val="center"/>
          </w:tcPr>
          <w:p>
            <w:pPr>
              <w:pStyle w:val="15"/>
            </w:pPr>
            <w:r>
              <w:t>576.30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576.30</w:t>
            </w:r>
          </w:p>
        </w:tc>
        <w:tc>
          <w:tcPr>
            <w:tcW w:w="4535" w:type="dxa"/>
            <w:vAlign w:val="center"/>
          </w:tcPr>
          <w:p>
            <w:pPr>
              <w:pStyle w:val="14"/>
            </w:pPr>
            <w:r>
              <w:t>支出总计</w:t>
            </w:r>
          </w:p>
        </w:tc>
        <w:tc>
          <w:tcPr>
            <w:tcW w:w="2126" w:type="dxa"/>
            <w:vAlign w:val="center"/>
          </w:tcPr>
          <w:p>
            <w:pPr>
              <w:pStyle w:val="15"/>
            </w:pPr>
            <w:r>
              <w:t>576.30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576.30</w:t>
            </w:r>
          </w:p>
        </w:tc>
        <w:tc>
          <w:tcPr>
            <w:tcW w:w="1134" w:type="dxa"/>
            <w:vAlign w:val="center"/>
          </w:tcPr>
          <w:p>
            <w:pPr>
              <w:pStyle w:val="15"/>
            </w:pPr>
            <w:r>
              <w:t>576.30</w:t>
            </w:r>
          </w:p>
        </w:tc>
        <w:tc>
          <w:tcPr>
            <w:tcW w:w="1134" w:type="dxa"/>
            <w:vAlign w:val="center"/>
          </w:tcPr>
          <w:p>
            <w:pPr>
              <w:pStyle w:val="15"/>
            </w:pPr>
            <w:r>
              <w:t>576.30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546.64</w:t>
            </w:r>
          </w:p>
        </w:tc>
        <w:tc>
          <w:tcPr>
            <w:tcW w:w="1134" w:type="dxa"/>
            <w:vAlign w:val="center"/>
          </w:tcPr>
          <w:p>
            <w:pPr>
              <w:pStyle w:val="11"/>
            </w:pPr>
            <w:r>
              <w:t>546.64</w:t>
            </w:r>
          </w:p>
        </w:tc>
        <w:tc>
          <w:tcPr>
            <w:tcW w:w="1134" w:type="dxa"/>
            <w:vAlign w:val="center"/>
          </w:tcPr>
          <w:p>
            <w:pPr>
              <w:pStyle w:val="11"/>
            </w:pPr>
            <w:r>
              <w:t>546.64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546.64</w:t>
            </w:r>
          </w:p>
        </w:tc>
        <w:tc>
          <w:tcPr>
            <w:tcW w:w="1134" w:type="dxa"/>
            <w:vAlign w:val="center"/>
          </w:tcPr>
          <w:p>
            <w:pPr>
              <w:pStyle w:val="11"/>
            </w:pPr>
            <w:r>
              <w:t>546.64</w:t>
            </w:r>
          </w:p>
        </w:tc>
        <w:tc>
          <w:tcPr>
            <w:tcW w:w="1134" w:type="dxa"/>
            <w:vAlign w:val="center"/>
          </w:tcPr>
          <w:p>
            <w:pPr>
              <w:pStyle w:val="11"/>
            </w:pPr>
            <w:r>
              <w:t>546.64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2060401</w:t>
            </w:r>
          </w:p>
        </w:tc>
        <w:tc>
          <w:tcPr>
            <w:tcW w:w="1559" w:type="dxa"/>
            <w:vAlign w:val="center"/>
          </w:tcPr>
          <w:p>
            <w:pPr>
              <w:pStyle w:val="12"/>
            </w:pPr>
            <w:r>
              <w:t>机构运行</w:t>
            </w:r>
          </w:p>
        </w:tc>
        <w:tc>
          <w:tcPr>
            <w:tcW w:w="1134" w:type="dxa"/>
            <w:vAlign w:val="center"/>
          </w:tcPr>
          <w:p>
            <w:pPr>
              <w:pStyle w:val="11"/>
            </w:pPr>
            <w:r>
              <w:t>96.64</w:t>
            </w:r>
          </w:p>
        </w:tc>
        <w:tc>
          <w:tcPr>
            <w:tcW w:w="1134" w:type="dxa"/>
            <w:vAlign w:val="center"/>
          </w:tcPr>
          <w:p>
            <w:pPr>
              <w:pStyle w:val="11"/>
            </w:pPr>
            <w:r>
              <w:t>96.64</w:t>
            </w:r>
          </w:p>
        </w:tc>
        <w:tc>
          <w:tcPr>
            <w:tcW w:w="1134" w:type="dxa"/>
            <w:vAlign w:val="center"/>
          </w:tcPr>
          <w:p>
            <w:pPr>
              <w:pStyle w:val="11"/>
            </w:pPr>
            <w:r>
              <w:t>96.64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450.00</w:t>
            </w:r>
          </w:p>
        </w:tc>
        <w:tc>
          <w:tcPr>
            <w:tcW w:w="1134" w:type="dxa"/>
            <w:vAlign w:val="center"/>
          </w:tcPr>
          <w:p>
            <w:pPr>
              <w:pStyle w:val="11"/>
            </w:pPr>
            <w:r>
              <w:t>450.00</w:t>
            </w:r>
          </w:p>
        </w:tc>
        <w:tc>
          <w:tcPr>
            <w:tcW w:w="1134" w:type="dxa"/>
            <w:vAlign w:val="center"/>
          </w:tcPr>
          <w:p>
            <w:pPr>
              <w:pStyle w:val="11"/>
            </w:pPr>
            <w:r>
              <w:t>450.00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13.25</w:t>
            </w:r>
          </w:p>
        </w:tc>
        <w:tc>
          <w:tcPr>
            <w:tcW w:w="1134" w:type="dxa"/>
            <w:vAlign w:val="center"/>
          </w:tcPr>
          <w:p>
            <w:pPr>
              <w:pStyle w:val="11"/>
            </w:pPr>
            <w:r>
              <w:t>13.25</w:t>
            </w:r>
          </w:p>
        </w:tc>
        <w:tc>
          <w:tcPr>
            <w:tcW w:w="1134" w:type="dxa"/>
            <w:vAlign w:val="center"/>
          </w:tcPr>
          <w:p>
            <w:pPr>
              <w:pStyle w:val="11"/>
            </w:pPr>
            <w:r>
              <w:t>13.25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13.25</w:t>
            </w:r>
          </w:p>
        </w:tc>
        <w:tc>
          <w:tcPr>
            <w:tcW w:w="1134" w:type="dxa"/>
            <w:vAlign w:val="center"/>
          </w:tcPr>
          <w:p>
            <w:pPr>
              <w:pStyle w:val="11"/>
            </w:pPr>
            <w:r>
              <w:t>13.25</w:t>
            </w:r>
          </w:p>
        </w:tc>
        <w:tc>
          <w:tcPr>
            <w:tcW w:w="1134" w:type="dxa"/>
            <w:vAlign w:val="center"/>
          </w:tcPr>
          <w:p>
            <w:pPr>
              <w:pStyle w:val="11"/>
            </w:pPr>
            <w:r>
              <w:t>13.25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13.25</w:t>
            </w:r>
          </w:p>
        </w:tc>
        <w:tc>
          <w:tcPr>
            <w:tcW w:w="1134" w:type="dxa"/>
            <w:vAlign w:val="center"/>
          </w:tcPr>
          <w:p>
            <w:pPr>
              <w:pStyle w:val="11"/>
            </w:pPr>
            <w:r>
              <w:t>13.25</w:t>
            </w:r>
          </w:p>
        </w:tc>
        <w:tc>
          <w:tcPr>
            <w:tcW w:w="1134" w:type="dxa"/>
            <w:vAlign w:val="center"/>
          </w:tcPr>
          <w:p>
            <w:pPr>
              <w:pStyle w:val="11"/>
            </w:pPr>
            <w:r>
              <w:t>13.25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5.58</w:t>
            </w:r>
          </w:p>
        </w:tc>
        <w:tc>
          <w:tcPr>
            <w:tcW w:w="1134" w:type="dxa"/>
            <w:vAlign w:val="center"/>
          </w:tcPr>
          <w:p>
            <w:pPr>
              <w:pStyle w:val="11"/>
            </w:pPr>
            <w:r>
              <w:t>5.58</w:t>
            </w:r>
          </w:p>
        </w:tc>
        <w:tc>
          <w:tcPr>
            <w:tcW w:w="1134" w:type="dxa"/>
            <w:vAlign w:val="center"/>
          </w:tcPr>
          <w:p>
            <w:pPr>
              <w:pStyle w:val="11"/>
            </w:pPr>
            <w:r>
              <w:t>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5.58</w:t>
            </w:r>
          </w:p>
        </w:tc>
        <w:tc>
          <w:tcPr>
            <w:tcW w:w="1134" w:type="dxa"/>
            <w:vAlign w:val="center"/>
          </w:tcPr>
          <w:p>
            <w:pPr>
              <w:pStyle w:val="11"/>
            </w:pPr>
            <w:r>
              <w:t>5.58</w:t>
            </w:r>
          </w:p>
        </w:tc>
        <w:tc>
          <w:tcPr>
            <w:tcW w:w="1134" w:type="dxa"/>
            <w:vAlign w:val="center"/>
          </w:tcPr>
          <w:p>
            <w:pPr>
              <w:pStyle w:val="11"/>
            </w:pPr>
            <w:r>
              <w:t>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5.58</w:t>
            </w:r>
          </w:p>
        </w:tc>
        <w:tc>
          <w:tcPr>
            <w:tcW w:w="1134" w:type="dxa"/>
            <w:vAlign w:val="center"/>
          </w:tcPr>
          <w:p>
            <w:pPr>
              <w:pStyle w:val="11"/>
            </w:pPr>
            <w:r>
              <w:t>5.58</w:t>
            </w:r>
          </w:p>
        </w:tc>
        <w:tc>
          <w:tcPr>
            <w:tcW w:w="1134" w:type="dxa"/>
            <w:vAlign w:val="center"/>
          </w:tcPr>
          <w:p>
            <w:pPr>
              <w:pStyle w:val="11"/>
            </w:pPr>
            <w:r>
              <w:t>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10.83</w:t>
            </w:r>
          </w:p>
        </w:tc>
        <w:tc>
          <w:tcPr>
            <w:tcW w:w="1134" w:type="dxa"/>
            <w:vAlign w:val="center"/>
          </w:tcPr>
          <w:p>
            <w:pPr>
              <w:pStyle w:val="11"/>
            </w:pPr>
            <w:r>
              <w:t>10.83</w:t>
            </w:r>
          </w:p>
        </w:tc>
        <w:tc>
          <w:tcPr>
            <w:tcW w:w="1134" w:type="dxa"/>
            <w:vAlign w:val="center"/>
          </w:tcPr>
          <w:p>
            <w:pPr>
              <w:pStyle w:val="11"/>
            </w:pPr>
            <w:r>
              <w:t>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10.83</w:t>
            </w:r>
          </w:p>
        </w:tc>
        <w:tc>
          <w:tcPr>
            <w:tcW w:w="1134" w:type="dxa"/>
            <w:vAlign w:val="center"/>
          </w:tcPr>
          <w:p>
            <w:pPr>
              <w:pStyle w:val="11"/>
            </w:pPr>
            <w:r>
              <w:t>10.83</w:t>
            </w:r>
          </w:p>
        </w:tc>
        <w:tc>
          <w:tcPr>
            <w:tcW w:w="1134" w:type="dxa"/>
            <w:vAlign w:val="center"/>
          </w:tcPr>
          <w:p>
            <w:pPr>
              <w:pStyle w:val="11"/>
            </w:pPr>
            <w:r>
              <w:t>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10.83</w:t>
            </w:r>
          </w:p>
        </w:tc>
        <w:tc>
          <w:tcPr>
            <w:tcW w:w="1134" w:type="dxa"/>
            <w:vAlign w:val="center"/>
          </w:tcPr>
          <w:p>
            <w:pPr>
              <w:pStyle w:val="11"/>
            </w:pPr>
            <w:r>
              <w:t>10.83</w:t>
            </w:r>
          </w:p>
        </w:tc>
        <w:tc>
          <w:tcPr>
            <w:tcW w:w="1134" w:type="dxa"/>
            <w:vAlign w:val="center"/>
          </w:tcPr>
          <w:p>
            <w:pPr>
              <w:pStyle w:val="11"/>
            </w:pPr>
            <w:r>
              <w:t>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576.30</w:t>
            </w:r>
          </w:p>
        </w:tc>
        <w:tc>
          <w:tcPr>
            <w:tcW w:w="1361" w:type="dxa"/>
            <w:vAlign w:val="center"/>
          </w:tcPr>
          <w:p>
            <w:pPr>
              <w:pStyle w:val="15"/>
            </w:pPr>
            <w:r>
              <w:t>126.30</w:t>
            </w:r>
          </w:p>
        </w:tc>
        <w:tc>
          <w:tcPr>
            <w:tcW w:w="1361" w:type="dxa"/>
            <w:vAlign w:val="center"/>
          </w:tcPr>
          <w:p>
            <w:pPr>
              <w:pStyle w:val="15"/>
            </w:pPr>
            <w:r>
              <w:t>450.00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546.64</w:t>
            </w:r>
          </w:p>
        </w:tc>
        <w:tc>
          <w:tcPr>
            <w:tcW w:w="1361" w:type="dxa"/>
            <w:vAlign w:val="center"/>
          </w:tcPr>
          <w:p>
            <w:pPr>
              <w:pStyle w:val="11"/>
            </w:pPr>
            <w:r>
              <w:t>96.64</w:t>
            </w: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546.64</w:t>
            </w:r>
          </w:p>
        </w:tc>
        <w:tc>
          <w:tcPr>
            <w:tcW w:w="1361" w:type="dxa"/>
            <w:vAlign w:val="center"/>
          </w:tcPr>
          <w:p>
            <w:pPr>
              <w:pStyle w:val="11"/>
            </w:pPr>
            <w:r>
              <w:t>96.64</w:t>
            </w: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2060401</w:t>
            </w:r>
          </w:p>
        </w:tc>
        <w:tc>
          <w:tcPr>
            <w:tcW w:w="4535" w:type="dxa"/>
            <w:vAlign w:val="center"/>
          </w:tcPr>
          <w:p>
            <w:pPr>
              <w:pStyle w:val="12"/>
            </w:pPr>
            <w:r>
              <w:t>机构运行</w:t>
            </w:r>
          </w:p>
        </w:tc>
        <w:tc>
          <w:tcPr>
            <w:tcW w:w="1361" w:type="dxa"/>
            <w:vAlign w:val="center"/>
          </w:tcPr>
          <w:p>
            <w:pPr>
              <w:pStyle w:val="11"/>
            </w:pPr>
            <w:r>
              <w:t>96.64</w:t>
            </w:r>
          </w:p>
        </w:tc>
        <w:tc>
          <w:tcPr>
            <w:tcW w:w="1361" w:type="dxa"/>
            <w:vAlign w:val="center"/>
          </w:tcPr>
          <w:p>
            <w:pPr>
              <w:pStyle w:val="11"/>
            </w:pPr>
            <w:r>
              <w:t>96.64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13.25</w:t>
            </w:r>
          </w:p>
        </w:tc>
        <w:tc>
          <w:tcPr>
            <w:tcW w:w="1361" w:type="dxa"/>
            <w:vAlign w:val="center"/>
          </w:tcPr>
          <w:p>
            <w:pPr>
              <w:pStyle w:val="11"/>
            </w:pPr>
            <w:r>
              <w:t>13.25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13.25</w:t>
            </w:r>
          </w:p>
        </w:tc>
        <w:tc>
          <w:tcPr>
            <w:tcW w:w="1361" w:type="dxa"/>
            <w:vAlign w:val="center"/>
          </w:tcPr>
          <w:p>
            <w:pPr>
              <w:pStyle w:val="11"/>
            </w:pPr>
            <w:r>
              <w:t>13.25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13.25</w:t>
            </w:r>
          </w:p>
        </w:tc>
        <w:tc>
          <w:tcPr>
            <w:tcW w:w="1361" w:type="dxa"/>
            <w:vAlign w:val="center"/>
          </w:tcPr>
          <w:p>
            <w:pPr>
              <w:pStyle w:val="11"/>
            </w:pPr>
            <w:r>
              <w:t>13.25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5.58</w:t>
            </w:r>
          </w:p>
        </w:tc>
        <w:tc>
          <w:tcPr>
            <w:tcW w:w="1361" w:type="dxa"/>
            <w:vAlign w:val="center"/>
          </w:tcPr>
          <w:p>
            <w:pPr>
              <w:pStyle w:val="11"/>
            </w:pPr>
            <w:r>
              <w:t>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5.58</w:t>
            </w:r>
          </w:p>
        </w:tc>
        <w:tc>
          <w:tcPr>
            <w:tcW w:w="1361" w:type="dxa"/>
            <w:vAlign w:val="center"/>
          </w:tcPr>
          <w:p>
            <w:pPr>
              <w:pStyle w:val="11"/>
            </w:pPr>
            <w:r>
              <w:t>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5.58</w:t>
            </w:r>
          </w:p>
        </w:tc>
        <w:tc>
          <w:tcPr>
            <w:tcW w:w="1361" w:type="dxa"/>
            <w:vAlign w:val="center"/>
          </w:tcPr>
          <w:p>
            <w:pPr>
              <w:pStyle w:val="11"/>
            </w:pPr>
            <w:r>
              <w:t>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10.83</w:t>
            </w:r>
          </w:p>
        </w:tc>
        <w:tc>
          <w:tcPr>
            <w:tcW w:w="1361" w:type="dxa"/>
            <w:vAlign w:val="center"/>
          </w:tcPr>
          <w:p>
            <w:pPr>
              <w:pStyle w:val="11"/>
            </w:pPr>
            <w:r>
              <w:t>10.83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10.83</w:t>
            </w:r>
          </w:p>
        </w:tc>
        <w:tc>
          <w:tcPr>
            <w:tcW w:w="1361" w:type="dxa"/>
            <w:vAlign w:val="center"/>
          </w:tcPr>
          <w:p>
            <w:pPr>
              <w:pStyle w:val="11"/>
            </w:pPr>
            <w:r>
              <w:t>10.83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10.83</w:t>
            </w:r>
          </w:p>
        </w:tc>
        <w:tc>
          <w:tcPr>
            <w:tcW w:w="1361" w:type="dxa"/>
            <w:vAlign w:val="center"/>
          </w:tcPr>
          <w:p>
            <w:pPr>
              <w:pStyle w:val="11"/>
            </w:pPr>
            <w:r>
              <w:t>10.83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576.30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546.64</w:t>
            </w:r>
          </w:p>
        </w:tc>
        <w:tc>
          <w:tcPr>
            <w:tcW w:w="1474" w:type="dxa"/>
            <w:vAlign w:val="center"/>
          </w:tcPr>
          <w:p>
            <w:pPr>
              <w:pStyle w:val="11"/>
            </w:pPr>
            <w:r>
              <w:t>546.64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13.25</w:t>
            </w:r>
          </w:p>
        </w:tc>
        <w:tc>
          <w:tcPr>
            <w:tcW w:w="1474" w:type="dxa"/>
            <w:vAlign w:val="center"/>
          </w:tcPr>
          <w:p>
            <w:pPr>
              <w:pStyle w:val="11"/>
            </w:pPr>
            <w:r>
              <w:t>13.25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5.58</w:t>
            </w:r>
          </w:p>
        </w:tc>
        <w:tc>
          <w:tcPr>
            <w:tcW w:w="1474" w:type="dxa"/>
            <w:vAlign w:val="center"/>
          </w:tcPr>
          <w:p>
            <w:pPr>
              <w:pStyle w:val="11"/>
            </w:pPr>
            <w:r>
              <w:t>5.58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10.83</w:t>
            </w:r>
          </w:p>
        </w:tc>
        <w:tc>
          <w:tcPr>
            <w:tcW w:w="1474" w:type="dxa"/>
            <w:vAlign w:val="center"/>
          </w:tcPr>
          <w:p>
            <w:pPr>
              <w:pStyle w:val="11"/>
            </w:pPr>
            <w:r>
              <w:t>10.83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576.30</w:t>
            </w:r>
          </w:p>
        </w:tc>
        <w:tc>
          <w:tcPr>
            <w:tcW w:w="3402" w:type="dxa"/>
            <w:vAlign w:val="center"/>
          </w:tcPr>
          <w:p>
            <w:pPr>
              <w:pStyle w:val="14"/>
            </w:pPr>
            <w:r>
              <w:t>本年支出合计</w:t>
            </w:r>
          </w:p>
        </w:tc>
        <w:tc>
          <w:tcPr>
            <w:tcW w:w="1474" w:type="dxa"/>
            <w:vAlign w:val="center"/>
          </w:tcPr>
          <w:p>
            <w:pPr>
              <w:pStyle w:val="15"/>
            </w:pPr>
            <w:r>
              <w:t>576.30</w:t>
            </w:r>
          </w:p>
        </w:tc>
        <w:tc>
          <w:tcPr>
            <w:tcW w:w="1474" w:type="dxa"/>
            <w:vAlign w:val="center"/>
          </w:tcPr>
          <w:p>
            <w:pPr>
              <w:pStyle w:val="15"/>
            </w:pPr>
            <w:r>
              <w:t>576.30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576.30</w:t>
            </w:r>
          </w:p>
        </w:tc>
        <w:tc>
          <w:tcPr>
            <w:tcW w:w="3402" w:type="dxa"/>
            <w:vAlign w:val="center"/>
          </w:tcPr>
          <w:p>
            <w:pPr>
              <w:pStyle w:val="14"/>
            </w:pPr>
            <w:r>
              <w:t>支出总计</w:t>
            </w:r>
          </w:p>
        </w:tc>
        <w:tc>
          <w:tcPr>
            <w:tcW w:w="1474" w:type="dxa"/>
            <w:vAlign w:val="center"/>
          </w:tcPr>
          <w:p>
            <w:pPr>
              <w:pStyle w:val="15"/>
            </w:pPr>
            <w:r>
              <w:t>576.30</w:t>
            </w:r>
          </w:p>
        </w:tc>
        <w:tc>
          <w:tcPr>
            <w:tcW w:w="1474" w:type="dxa"/>
            <w:vAlign w:val="center"/>
          </w:tcPr>
          <w:p>
            <w:pPr>
              <w:pStyle w:val="15"/>
            </w:pPr>
            <w:r>
              <w:t>576.30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576.30</w:t>
            </w:r>
          </w:p>
        </w:tc>
        <w:tc>
          <w:tcPr>
            <w:tcW w:w="2551" w:type="dxa"/>
            <w:vAlign w:val="center"/>
          </w:tcPr>
          <w:p>
            <w:pPr>
              <w:pStyle w:val="15"/>
            </w:pPr>
            <w:r>
              <w:t>126.30</w:t>
            </w:r>
          </w:p>
        </w:tc>
        <w:tc>
          <w:tcPr>
            <w:tcW w:w="2551" w:type="dxa"/>
            <w:vAlign w:val="center"/>
          </w:tcPr>
          <w:p>
            <w:pPr>
              <w:pStyle w:val="15"/>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546.64</w:t>
            </w:r>
          </w:p>
        </w:tc>
        <w:tc>
          <w:tcPr>
            <w:tcW w:w="2551" w:type="dxa"/>
            <w:vAlign w:val="center"/>
          </w:tcPr>
          <w:p>
            <w:pPr>
              <w:pStyle w:val="11"/>
            </w:pPr>
            <w:r>
              <w:t>96.64</w:t>
            </w: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546.64</w:t>
            </w:r>
          </w:p>
        </w:tc>
        <w:tc>
          <w:tcPr>
            <w:tcW w:w="2551" w:type="dxa"/>
            <w:vAlign w:val="center"/>
          </w:tcPr>
          <w:p>
            <w:pPr>
              <w:pStyle w:val="11"/>
            </w:pPr>
            <w:r>
              <w:t>96.64</w:t>
            </w: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2060401</w:t>
            </w:r>
          </w:p>
        </w:tc>
        <w:tc>
          <w:tcPr>
            <w:tcW w:w="4535" w:type="dxa"/>
            <w:vAlign w:val="center"/>
          </w:tcPr>
          <w:p>
            <w:pPr>
              <w:pStyle w:val="12"/>
            </w:pPr>
            <w:r>
              <w:t>机构运行</w:t>
            </w:r>
          </w:p>
        </w:tc>
        <w:tc>
          <w:tcPr>
            <w:tcW w:w="2551" w:type="dxa"/>
            <w:vAlign w:val="center"/>
          </w:tcPr>
          <w:p>
            <w:pPr>
              <w:pStyle w:val="11"/>
            </w:pPr>
            <w:r>
              <w:t>96.64</w:t>
            </w:r>
          </w:p>
        </w:tc>
        <w:tc>
          <w:tcPr>
            <w:tcW w:w="2551" w:type="dxa"/>
            <w:vAlign w:val="center"/>
          </w:tcPr>
          <w:p>
            <w:pPr>
              <w:pStyle w:val="11"/>
            </w:pPr>
            <w:r>
              <w:t>96.64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450.00</w:t>
            </w:r>
          </w:p>
        </w:tc>
        <w:tc>
          <w:tcPr>
            <w:tcW w:w="2551" w:type="dxa"/>
            <w:vAlign w:val="center"/>
          </w:tcPr>
          <w:p>
            <w:pPr>
              <w:pStyle w:val="11"/>
            </w:pP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13.25</w:t>
            </w:r>
          </w:p>
        </w:tc>
        <w:tc>
          <w:tcPr>
            <w:tcW w:w="2551" w:type="dxa"/>
            <w:vAlign w:val="center"/>
          </w:tcPr>
          <w:p>
            <w:pPr>
              <w:pStyle w:val="11"/>
            </w:pPr>
            <w:r>
              <w:t>13.25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13.25</w:t>
            </w:r>
          </w:p>
        </w:tc>
        <w:tc>
          <w:tcPr>
            <w:tcW w:w="2551" w:type="dxa"/>
            <w:vAlign w:val="center"/>
          </w:tcPr>
          <w:p>
            <w:pPr>
              <w:pStyle w:val="11"/>
            </w:pPr>
            <w:r>
              <w:t>13.25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13.25</w:t>
            </w:r>
          </w:p>
        </w:tc>
        <w:tc>
          <w:tcPr>
            <w:tcW w:w="2551" w:type="dxa"/>
            <w:vAlign w:val="center"/>
          </w:tcPr>
          <w:p>
            <w:pPr>
              <w:pStyle w:val="11"/>
            </w:pPr>
            <w:r>
              <w:t>13.25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10.83</w:t>
            </w:r>
          </w:p>
        </w:tc>
        <w:tc>
          <w:tcPr>
            <w:tcW w:w="2551" w:type="dxa"/>
            <w:vAlign w:val="center"/>
          </w:tcPr>
          <w:p>
            <w:pPr>
              <w:pStyle w:val="11"/>
            </w:pPr>
            <w:r>
              <w:t>10.83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10.83</w:t>
            </w:r>
          </w:p>
        </w:tc>
        <w:tc>
          <w:tcPr>
            <w:tcW w:w="2551" w:type="dxa"/>
            <w:vAlign w:val="center"/>
          </w:tcPr>
          <w:p>
            <w:pPr>
              <w:pStyle w:val="11"/>
            </w:pPr>
            <w:r>
              <w:t>10.83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10.83</w:t>
            </w:r>
          </w:p>
        </w:tc>
        <w:tc>
          <w:tcPr>
            <w:tcW w:w="2551" w:type="dxa"/>
            <w:vAlign w:val="center"/>
          </w:tcPr>
          <w:p>
            <w:pPr>
              <w:pStyle w:val="11"/>
            </w:pPr>
            <w:r>
              <w:t>10.83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126.30</w:t>
            </w:r>
          </w:p>
        </w:tc>
        <w:tc>
          <w:tcPr>
            <w:tcW w:w="2551" w:type="dxa"/>
            <w:vAlign w:val="center"/>
          </w:tcPr>
          <w:p>
            <w:pPr>
              <w:pStyle w:val="15"/>
            </w:pPr>
            <w:r>
              <w:t>121.74</w:t>
            </w:r>
          </w:p>
        </w:tc>
        <w:tc>
          <w:tcPr>
            <w:tcW w:w="2551" w:type="dxa"/>
            <w:vAlign w:val="center"/>
          </w:tcPr>
          <w:p>
            <w:pPr>
              <w:pStyle w:val="15"/>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121.74</w:t>
            </w:r>
          </w:p>
        </w:tc>
        <w:tc>
          <w:tcPr>
            <w:tcW w:w="2551" w:type="dxa"/>
            <w:vAlign w:val="center"/>
          </w:tcPr>
          <w:p>
            <w:pPr>
              <w:pStyle w:val="11"/>
            </w:pPr>
            <w:r>
              <w:t>121.74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46.21</w:t>
            </w:r>
          </w:p>
        </w:tc>
        <w:tc>
          <w:tcPr>
            <w:tcW w:w="2551" w:type="dxa"/>
            <w:vAlign w:val="center"/>
          </w:tcPr>
          <w:p>
            <w:pPr>
              <w:pStyle w:val="11"/>
            </w:pPr>
            <w:r>
              <w:t>46.21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1.94</w:t>
            </w:r>
          </w:p>
        </w:tc>
        <w:tc>
          <w:tcPr>
            <w:tcW w:w="2551" w:type="dxa"/>
            <w:vAlign w:val="center"/>
          </w:tcPr>
          <w:p>
            <w:pPr>
              <w:pStyle w:val="11"/>
            </w:pPr>
            <w:r>
              <w:t>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43.93</w:t>
            </w:r>
          </w:p>
        </w:tc>
        <w:tc>
          <w:tcPr>
            <w:tcW w:w="2551" w:type="dxa"/>
            <w:vAlign w:val="center"/>
          </w:tcPr>
          <w:p>
            <w:pPr>
              <w:pStyle w:val="11"/>
            </w:pPr>
            <w:r>
              <w:t>43.93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13.25</w:t>
            </w:r>
          </w:p>
        </w:tc>
        <w:tc>
          <w:tcPr>
            <w:tcW w:w="2551" w:type="dxa"/>
            <w:vAlign w:val="center"/>
          </w:tcPr>
          <w:p>
            <w:pPr>
              <w:pStyle w:val="11"/>
            </w:pPr>
            <w:r>
              <w:t>13.25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10.83</w:t>
            </w:r>
          </w:p>
        </w:tc>
        <w:tc>
          <w:tcPr>
            <w:tcW w:w="2551" w:type="dxa"/>
            <w:vAlign w:val="center"/>
          </w:tcPr>
          <w:p>
            <w:pPr>
              <w:pStyle w:val="11"/>
            </w:pPr>
            <w:r>
              <w:t>10.83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4.56</w:t>
            </w:r>
          </w:p>
        </w:tc>
        <w:tc>
          <w:tcPr>
            <w:tcW w:w="2551" w:type="dxa"/>
            <w:vAlign w:val="center"/>
          </w:tcPr>
          <w:p>
            <w:pPr>
              <w:pStyle w:val="11"/>
            </w:pPr>
          </w:p>
        </w:tc>
        <w:tc>
          <w:tcPr>
            <w:tcW w:w="2551" w:type="dxa"/>
            <w:vAlign w:val="center"/>
          </w:tcPr>
          <w:p>
            <w:pPr>
              <w:pStyle w:val="11"/>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河北省沙河玻璃技术研究院本级2025年单位预算信息公开情况说明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按照《中华人民共和国预算法》、《地方预决算公开操作规程》和《关于进一步推进预算公开工作的实施意见》规定，现将河北省沙河玻璃技术研究院本级2025年单位预算公开如下：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为沙河市政府对玻璃产业发展规划与决策提供咨询；为沙河玻璃企业新项目的建设与新产品的开发提供项目前期研究与论证；为沙河玻璃企业提供产品质量缺陷、玻璃生产过程运行状况的分析与诊断；组织沙河玻璃企业共同申报、承担国家级和省部级重大项目实施；为沙河玻璃产业提供人才引进及培训；加快科技研发及专利申请，加强学术交流带动科技创新，推动沙河玻璃产业的上档升级。</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河北省沙河玻璃技术研究院本级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576.30万元，其中：一般公共预算收入576.30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河北省沙河玻璃技术研究院本级年度单位预算中支出预算的总体情况。2025年支出预算576.30万元，其中基本支出126.30万元，包括人员经费121.74万元和日常公用经费4.56万元；项目支出450.00万元，主要为科研活动运转经费。</w:t>
      </w:r>
    </w:p>
    <w:p>
      <w:pPr>
        <w:pStyle w:val="18"/>
      </w:pPr>
      <w:r>
        <w:t>3、比上年增减情况</w:t>
      </w:r>
    </w:p>
    <w:p>
      <w:pPr>
        <w:pStyle w:val="18"/>
      </w:pPr>
      <w:r>
        <w:t>2025年预算收支安排576.30万元，较2024年预算减少117.24万元，其中：基本支出减少42.36万元，主要为本单位工作人员离职。项目支出减少74.88万元，主要为科研项目经费减少。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9"/>
      </w:pPr>
      <w:r>
        <w:t>2024年，我单位机关运行经费共计安排</w:t>
      </w:r>
      <w:r>
        <w:rPr>
          <w:rFonts w:hint="eastAsia"/>
          <w:lang w:val="en-US" w:eastAsia="zh-CN"/>
        </w:rPr>
        <w:t>4.56</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增减变化的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1、玻璃研究院运行及科研经费绩效目标表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13058225P003546100015</w:t>
            </w:r>
          </w:p>
        </w:tc>
        <w:tc>
          <w:tcPr>
            <w:tcW w:w="2835" w:type="dxa"/>
            <w:vAlign w:val="center"/>
          </w:tcPr>
          <w:p>
            <w:pPr>
              <w:pStyle w:val="10"/>
            </w:pPr>
            <w:r>
              <w:t>项目名称</w:t>
            </w:r>
          </w:p>
        </w:tc>
        <w:tc>
          <w:tcPr>
            <w:tcW w:w="6095" w:type="dxa"/>
            <w:gridSpan w:val="3"/>
            <w:vAlign w:val="center"/>
          </w:tcPr>
          <w:p>
            <w:pPr>
              <w:pStyle w:val="12"/>
            </w:pPr>
            <w:r>
              <w:t>玻璃研究院运行及科研经费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玻璃研究院运行及科研经费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112.50</w:t>
            </w:r>
          </w:p>
        </w:tc>
        <w:tc>
          <w:tcPr>
            <w:tcW w:w="2835" w:type="dxa"/>
            <w:vAlign w:val="center"/>
          </w:tcPr>
          <w:p>
            <w:pPr>
              <w:pStyle w:val="13"/>
            </w:pPr>
            <w:r>
              <w:t>225.00</w:t>
            </w:r>
          </w:p>
        </w:tc>
        <w:tc>
          <w:tcPr>
            <w:tcW w:w="2551" w:type="dxa"/>
            <w:vAlign w:val="center"/>
          </w:tcPr>
          <w:p>
            <w:pPr>
              <w:pStyle w:val="13"/>
            </w:pPr>
            <w:r>
              <w:t>337.50</w:t>
            </w:r>
          </w:p>
        </w:tc>
        <w:tc>
          <w:tcPr>
            <w:tcW w:w="3544" w:type="dxa"/>
            <w:gridSpan w:val="2"/>
            <w:vAlign w:val="center"/>
          </w:tcPr>
          <w:p>
            <w:pPr>
              <w:pStyle w:val="13"/>
            </w:pPr>
            <w:r>
              <w:t>450.00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1.解决全市玻璃产业可持续发展面临的资源、能源和环境等共性关键重大技术难题。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专利申请数量</w:t>
            </w:r>
          </w:p>
        </w:tc>
        <w:tc>
          <w:tcPr>
            <w:tcW w:w="5386" w:type="dxa"/>
            <w:vAlign w:val="center"/>
          </w:tcPr>
          <w:p>
            <w:pPr>
              <w:pStyle w:val="12"/>
            </w:pPr>
            <w:r>
              <w:t>专利申请数量</w:t>
            </w:r>
          </w:p>
        </w:tc>
        <w:tc>
          <w:tcPr>
            <w:tcW w:w="2268" w:type="dxa"/>
            <w:vAlign w:val="center"/>
          </w:tcPr>
          <w:p>
            <w:pPr>
              <w:pStyle w:val="12"/>
            </w:pPr>
            <w:r>
              <w:t>≥1项</w:t>
            </w:r>
          </w:p>
        </w:tc>
        <w:tc>
          <w:tcPr>
            <w:tcW w:w="1276" w:type="dxa"/>
            <w:vAlign w:val="center"/>
          </w:tcPr>
          <w:p>
            <w:pPr>
              <w:pStyle w:val="12"/>
            </w:pPr>
            <w:r>
              <w:t>年初科研办公会计划制定数量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样品检验数据准确率</w:t>
            </w:r>
          </w:p>
        </w:tc>
        <w:tc>
          <w:tcPr>
            <w:tcW w:w="5386" w:type="dxa"/>
            <w:vAlign w:val="center"/>
          </w:tcPr>
          <w:p>
            <w:pPr>
              <w:pStyle w:val="12"/>
            </w:pPr>
            <w:r>
              <w:t>样品检验数据准确率</w:t>
            </w:r>
          </w:p>
        </w:tc>
        <w:tc>
          <w:tcPr>
            <w:tcW w:w="2268" w:type="dxa"/>
            <w:vAlign w:val="center"/>
          </w:tcPr>
          <w:p>
            <w:pPr>
              <w:pStyle w:val="12"/>
            </w:pPr>
            <w:r>
              <w:t>≥90百分比</w:t>
            </w:r>
          </w:p>
        </w:tc>
        <w:tc>
          <w:tcPr>
            <w:tcW w:w="1276" w:type="dxa"/>
            <w:vAlign w:val="center"/>
          </w:tcPr>
          <w:p>
            <w:pPr>
              <w:pStyle w:val="12"/>
            </w:pPr>
            <w:r>
              <w:t>近三年检验检测数量平均数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项目按时完成率</w:t>
            </w:r>
          </w:p>
        </w:tc>
        <w:tc>
          <w:tcPr>
            <w:tcW w:w="2268" w:type="dxa"/>
            <w:vAlign w:val="center"/>
          </w:tcPr>
          <w:p>
            <w:pPr>
              <w:pStyle w:val="12"/>
            </w:pPr>
            <w:r>
              <w:t>≥90百分比</w:t>
            </w:r>
          </w:p>
        </w:tc>
        <w:tc>
          <w:tcPr>
            <w:tcW w:w="1276" w:type="dxa"/>
            <w:vAlign w:val="center"/>
          </w:tcPr>
          <w:p>
            <w:pPr>
              <w:pStyle w:val="12"/>
            </w:pPr>
            <w:r>
              <w:t>近三年平均数据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项目成本控制率</w:t>
            </w:r>
          </w:p>
        </w:tc>
        <w:tc>
          <w:tcPr>
            <w:tcW w:w="5386" w:type="dxa"/>
            <w:vAlign w:val="center"/>
          </w:tcPr>
          <w:p>
            <w:pPr>
              <w:pStyle w:val="12"/>
            </w:pPr>
            <w:r>
              <w:t>项目成本控制率</w:t>
            </w:r>
          </w:p>
        </w:tc>
        <w:tc>
          <w:tcPr>
            <w:tcW w:w="2268" w:type="dxa"/>
            <w:vAlign w:val="center"/>
          </w:tcPr>
          <w:p>
            <w:pPr>
              <w:pStyle w:val="12"/>
            </w:pPr>
            <w:r>
              <w:t>≥100百分比</w:t>
            </w:r>
          </w:p>
        </w:tc>
        <w:tc>
          <w:tcPr>
            <w:tcW w:w="1276" w:type="dxa"/>
            <w:vAlign w:val="center"/>
          </w:tcPr>
          <w:p>
            <w:pPr>
              <w:pStyle w:val="12"/>
            </w:pPr>
            <w:r>
              <w:t>近三年平均数据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≥110批次</w:t>
            </w:r>
          </w:p>
        </w:tc>
        <w:tc>
          <w:tcPr>
            <w:tcW w:w="1276" w:type="dxa"/>
            <w:vAlign w:val="center"/>
          </w:tcPr>
          <w:p>
            <w:pPr>
              <w:pStyle w:val="12"/>
            </w:pPr>
            <w:r>
              <w:t>近三年检验检测数量平均数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≥80百分比</w:t>
            </w:r>
          </w:p>
        </w:tc>
        <w:tc>
          <w:tcPr>
            <w:tcW w:w="1276" w:type="dxa"/>
            <w:vAlign w:val="center"/>
          </w:tcPr>
          <w:p>
            <w:pPr>
              <w:pStyle w:val="12"/>
            </w:pPr>
            <w:r>
              <w:t>近年来服务企业反馈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河北省沙河玻璃技术研究院本级上年末固定资产金额为10127.97万元（详见下表）。本年度拟购置固定资产总额为0.00万元，已按要求列入政府采购预算，详见政府采购预算表。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188001河北省沙河玻璃技术研究院本级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10127.97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17124.56</w:t>
            </w:r>
          </w:p>
        </w:tc>
        <w:tc>
          <w:tcPr>
            <w:tcW w:w="2835" w:type="dxa"/>
            <w:vAlign w:val="center"/>
          </w:tcPr>
          <w:p>
            <w:pPr>
              <w:pStyle w:val="11"/>
            </w:pPr>
            <w:r>
              <w:t>4464.12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130</w:t>
            </w:r>
          </w:p>
        </w:tc>
        <w:tc>
          <w:tcPr>
            <w:tcW w:w="2835" w:type="dxa"/>
            <w:vAlign w:val="center"/>
          </w:tcPr>
          <w:p>
            <w:pPr>
              <w:pStyle w:val="11"/>
            </w:pPr>
            <w:r>
              <w:t>33.89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38</w:t>
            </w:r>
          </w:p>
        </w:tc>
        <w:tc>
          <w:tcPr>
            <w:tcW w:w="2835" w:type="dxa"/>
            <w:vAlign w:val="center"/>
          </w:tcPr>
          <w:p>
            <w:pPr>
              <w:pStyle w:val="11"/>
            </w:pPr>
            <w:r>
              <w:t>4159.92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932</w:t>
            </w:r>
          </w:p>
        </w:tc>
        <w:tc>
          <w:tcPr>
            <w:tcW w:w="2835" w:type="dxa"/>
            <w:vAlign w:val="center"/>
          </w:tcPr>
          <w:p>
            <w:pPr>
              <w:pStyle w:val="11"/>
            </w:pPr>
            <w:r>
              <w:t>1503.93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7BE614"/>
    <w:multiLevelType w:val="singleLevel"/>
    <w:tmpl w:val="F17BE6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D2C4D34"/>
    <w:rsid w:val="6CE5526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TotalTime>3</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2025-02-18T14:53:00Z</dcterms:created>
  <dc:creator>Administrator</dc:creator>
  <cp:lastModifiedBy>Administrator</cp:lastModifiedBy>
  <dcterms:modified xsi:type="dcterms:W3CDTF">2025-02-18T07:21:09Z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