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 xml:space="preserve"> 沙河市</w:t>
      </w:r>
      <w:r>
        <w:rPr>
          <w:rFonts w:hint="eastAsia" w:ascii="方正小标宋简体" w:hAnsi="方正小标宋简体" w:eastAsia="方正小标宋简体" w:cs="方正小标宋简体"/>
          <w:sz w:val="44"/>
          <w:szCs w:val="44"/>
          <w:lang w:eastAsia="zh-CN"/>
        </w:rPr>
        <w:t>市场监督管理局</w:t>
      </w: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2021</w:t>
      </w:r>
      <w:r>
        <w:rPr>
          <w:rFonts w:hint="eastAsia" w:ascii="方正小标宋简体" w:hAnsi="方正小标宋简体" w:eastAsia="方正小标宋简体" w:cs="方正小标宋简体"/>
          <w:color w:val="000000"/>
          <w:sz w:val="44"/>
          <w:szCs w:val="44"/>
          <w:shd w:val="clear" w:color="auto" w:fill="FFFFFF"/>
        </w:rPr>
        <w:t>部门整体支出绩效自评报告</w:t>
      </w:r>
    </w:p>
    <w:p>
      <w:pPr>
        <w:widowControl/>
        <w:spacing w:line="400" w:lineRule="exact"/>
        <w:ind w:firstLine="640" w:firstLineChars="200"/>
        <w:jc w:val="left"/>
        <w:rPr>
          <w:rFonts w:hint="eastAsia" w:ascii="仿宋" w:hAnsi="仿宋" w:eastAsia="仿宋" w:cs="仿宋"/>
          <w:sz w:val="32"/>
          <w:szCs w:val="32"/>
        </w:rPr>
      </w:pPr>
    </w:p>
    <w:p>
      <w:pPr>
        <w:widowControl/>
        <w:spacing w:line="400" w:lineRule="exact"/>
        <w:ind w:firstLine="640" w:firstLineChars="200"/>
        <w:jc w:val="left"/>
        <w:rPr>
          <w:rFonts w:ascii="仿宋" w:hAnsi="仿宋" w:eastAsia="仿宋" w:cs="仿宋"/>
          <w:kern w:val="0"/>
          <w:sz w:val="32"/>
          <w:szCs w:val="32"/>
          <w:shd w:val="clear" w:color="auto" w:fill="FFFFFF"/>
          <w:lang w:bidi="ar"/>
        </w:rPr>
      </w:pPr>
      <w:r>
        <w:rPr>
          <w:rFonts w:hint="eastAsia" w:ascii="仿宋" w:hAnsi="仿宋" w:eastAsia="仿宋" w:cs="仿宋"/>
          <w:sz w:val="32"/>
          <w:szCs w:val="32"/>
        </w:rPr>
        <w:t>根据有关文件及要求，我</w:t>
      </w:r>
      <w:r>
        <w:rPr>
          <w:rFonts w:hint="eastAsia" w:ascii="仿宋" w:hAnsi="仿宋" w:eastAsia="仿宋" w:cs="仿宋"/>
          <w:color w:val="000000"/>
          <w:sz w:val="32"/>
          <w:szCs w:val="32"/>
          <w:shd w:val="clear" w:color="auto" w:fill="FFFFFF"/>
          <w:lang w:eastAsia="zh-CN"/>
        </w:rPr>
        <w:t>局</w:t>
      </w:r>
      <w:r>
        <w:rPr>
          <w:rFonts w:hint="eastAsia" w:ascii="仿宋" w:hAnsi="仿宋" w:eastAsia="仿宋" w:cs="仿宋"/>
          <w:sz w:val="32"/>
          <w:szCs w:val="32"/>
        </w:rPr>
        <w:t>认真组织进行了2021年度预算绩效自评工作，自评分</w:t>
      </w:r>
      <w:r>
        <w:rPr>
          <w:rFonts w:hint="eastAsia" w:ascii="仿宋" w:hAnsi="仿宋" w:eastAsia="仿宋" w:cs="仿宋"/>
          <w:sz w:val="32"/>
          <w:szCs w:val="32"/>
          <w:lang w:val="en-US" w:eastAsia="zh-CN"/>
        </w:rPr>
        <w:t>90</w:t>
      </w:r>
      <w:r>
        <w:rPr>
          <w:rFonts w:hint="eastAsia" w:ascii="仿宋" w:hAnsi="仿宋" w:eastAsia="仿宋" w:cs="仿宋"/>
          <w:sz w:val="32"/>
          <w:szCs w:val="32"/>
        </w:rPr>
        <w:t>分。现将我部门整体支出绩效评价情况报告如下：</w:t>
      </w:r>
    </w:p>
    <w:p>
      <w:pPr>
        <w:spacing w:line="480" w:lineRule="exact"/>
        <w:jc w:val="both"/>
        <w:rPr>
          <w:rFonts w:hint="eastAsia" w:ascii="黑体" w:hAnsi="黑体" w:eastAsia="黑体" w:cs="黑体"/>
          <w:b/>
          <w:sz w:val="32"/>
          <w:szCs w:val="32"/>
          <w:lang w:val="en-US" w:eastAsia="zh-CN"/>
        </w:rPr>
      </w:pPr>
      <w:r>
        <w:rPr>
          <w:rFonts w:hint="eastAsia" w:ascii="黑体" w:hAnsi="黑体" w:eastAsia="黑体" w:cs="黑体"/>
          <w:b/>
          <w:sz w:val="32"/>
          <w:szCs w:val="32"/>
          <w:lang w:val="en-US" w:eastAsia="zh-CN"/>
        </w:rPr>
        <w:t>一、基本概况</w:t>
      </w:r>
    </w:p>
    <w:p>
      <w:pPr>
        <w:pStyle w:val="18"/>
        <w:shd w:val="clear" w:color="auto" w:fill="auto"/>
        <w:spacing w:before="0" w:after="0" w:line="590" w:lineRule="exact"/>
        <w:ind w:firstLine="560" w:firstLineChars="200"/>
        <w:rPr>
          <w:rFonts w:hint="eastAsia" w:ascii="Times New Roman" w:hAnsi="Times New Roman" w:cs="Times New Roman" w:eastAsiaTheme="minorEastAsia"/>
          <w:kern w:val="2"/>
          <w:sz w:val="28"/>
          <w:szCs w:val="28"/>
          <w:lang w:eastAsia="zh-CN"/>
        </w:rPr>
      </w:pPr>
      <w:r>
        <w:rPr>
          <w:rFonts w:hint="eastAsia" w:ascii="Times New Roman" w:hAnsi="Times New Roman" w:cs="Times New Roman"/>
          <w:kern w:val="2"/>
          <w:sz w:val="28"/>
          <w:szCs w:val="28"/>
          <w:lang w:eastAsia="zh-CN"/>
        </w:rPr>
        <w:t>（一）部门职责</w:t>
      </w:r>
    </w:p>
    <w:p>
      <w:pPr>
        <w:pStyle w:val="18"/>
        <w:shd w:val="clear" w:color="auto" w:fill="auto"/>
        <w:spacing w:before="0" w:after="0" w:line="590" w:lineRule="exact"/>
        <w:ind w:firstLine="560" w:firstLineChars="200"/>
        <w:rPr>
          <w:rFonts w:ascii="Times New Roman" w:hAnsi="Times New Roman" w:cs="Times New Roman"/>
          <w:kern w:val="2"/>
          <w:sz w:val="28"/>
          <w:szCs w:val="28"/>
        </w:rPr>
      </w:pPr>
      <w:r>
        <w:rPr>
          <w:rFonts w:hint="eastAsia" w:ascii="Times New Roman" w:hAnsi="Times New Roman" w:cs="Times New Roman"/>
          <w:kern w:val="2"/>
          <w:sz w:val="28"/>
          <w:szCs w:val="28"/>
        </w:rPr>
        <w:t>（1）负责全市市场综合监督管理。制定全市市场监督管理有关政策、标准，组织实施质量强市战略、食品安全战略、标准化战略、知识产权战略，拟订并组织实施有关规划，规范和维护市场秩序，营造诚实守信、公平竞争的市场环境。</w:t>
      </w:r>
    </w:p>
    <w:p>
      <w:pPr>
        <w:pStyle w:val="18"/>
        <w:shd w:val="clear" w:color="auto" w:fill="auto"/>
        <w:tabs>
          <w:tab w:val="left" w:pos="1534"/>
        </w:tabs>
        <w:spacing w:before="0" w:after="0" w:line="590" w:lineRule="exact"/>
        <w:ind w:firstLine="560" w:firstLineChars="200"/>
        <w:rPr>
          <w:rFonts w:hint="eastAsia" w:ascii="Times New Roman" w:hAnsi="Times New Roman" w:cs="Times New Roman"/>
          <w:kern w:val="2"/>
          <w:sz w:val="28"/>
          <w:szCs w:val="28"/>
        </w:rPr>
      </w:pPr>
      <w:r>
        <w:rPr>
          <w:rFonts w:hint="eastAsia" w:ascii="Times New Roman" w:hAnsi="Times New Roman" w:cs="Times New Roman"/>
          <w:kern w:val="2"/>
          <w:sz w:val="28"/>
          <w:szCs w:val="28"/>
        </w:rPr>
        <w:t>（2）负责实施、指导个体工商户的登记注册工作。建立市场主体信息公示和共享机制，依法公示和共享有关信息，加强信用监管，推动市场主体信用体系建设。</w:t>
      </w:r>
    </w:p>
    <w:p>
      <w:pPr>
        <w:autoSpaceDE w:val="0"/>
        <w:autoSpaceDN w:val="0"/>
        <w:adjustRightInd w:val="0"/>
        <w:spacing w:line="590" w:lineRule="exact"/>
        <w:ind w:firstLine="560" w:firstLineChars="200"/>
        <w:rPr>
          <w:sz w:val="28"/>
          <w:szCs w:val="28"/>
        </w:rPr>
      </w:pPr>
      <w:r>
        <w:rPr>
          <w:rFonts w:hint="eastAsia"/>
          <w:sz w:val="28"/>
          <w:szCs w:val="28"/>
        </w:rPr>
        <w:t>（3）负责组织和指导全市市场监管综合执法工作。指导全市市场监管综合执法队伍整合和建设</w:t>
      </w:r>
      <w:r>
        <w:rPr>
          <w:sz w:val="28"/>
          <w:szCs w:val="28"/>
        </w:rPr>
        <w:t>,</w:t>
      </w:r>
      <w:r>
        <w:rPr>
          <w:rFonts w:hint="eastAsia"/>
          <w:sz w:val="28"/>
          <w:szCs w:val="28"/>
        </w:rPr>
        <w:t>推动实行统一的市场监管。组织查处重大违法案件。规范市场监管行政执法行为。</w:t>
      </w:r>
    </w:p>
    <w:p>
      <w:pPr>
        <w:adjustRightInd w:val="0"/>
        <w:snapToGrid w:val="0"/>
        <w:spacing w:line="590" w:lineRule="exact"/>
        <w:ind w:firstLine="560" w:firstLineChars="200"/>
        <w:rPr>
          <w:sz w:val="28"/>
          <w:szCs w:val="28"/>
        </w:rPr>
      </w:pPr>
      <w:r>
        <w:rPr>
          <w:rFonts w:hint="eastAsia"/>
          <w:sz w:val="28"/>
          <w:szCs w:val="28"/>
        </w:rPr>
        <w:t>（4）负责反垄断统一执法。组织推进竞争政策实施，指导实施公平竞争审查制度。依职责负责垄断协议、滥用市场支配地位、经营者违法实施集中和滥用行政权力排除、限制竞争等反垄断执法相关工作。指导企业在国外的反垄断应诉工作。</w:t>
      </w:r>
    </w:p>
    <w:p>
      <w:pPr>
        <w:pStyle w:val="18"/>
        <w:shd w:val="clear" w:color="auto" w:fill="auto"/>
        <w:tabs>
          <w:tab w:val="left" w:pos="1544"/>
        </w:tabs>
        <w:spacing w:before="0" w:after="0" w:line="590" w:lineRule="exact"/>
        <w:ind w:firstLine="560" w:firstLineChars="200"/>
        <w:rPr>
          <w:rFonts w:ascii="Times New Roman" w:hAnsi="Times New Roman" w:cs="Times New Roman"/>
          <w:kern w:val="2"/>
          <w:sz w:val="28"/>
          <w:szCs w:val="28"/>
        </w:rPr>
      </w:pPr>
      <w:r>
        <w:rPr>
          <w:rFonts w:hint="eastAsia" w:ascii="Times New Roman" w:hAnsi="Times New Roman" w:cs="Times New Roman"/>
          <w:kern w:val="2"/>
          <w:sz w:val="28"/>
          <w:szCs w:val="28"/>
        </w:rPr>
        <w:t>（5）负责监督管理市场秩序。依法监督管理全市市场交易、网络商品交易及有关服务的行为。组织指导查处价格收费违法违规、不正当竞争、违法直销、传销、侵犯商标专利知识产权和制售假冒伪劣行为。指导全市广告业发展，监督管理广告活动。指导查处无照生产经营和相关无证生产经营行为。指导市消费者协会开展消费维权工作。</w:t>
      </w:r>
    </w:p>
    <w:p>
      <w:pPr>
        <w:pStyle w:val="18"/>
        <w:shd w:val="clear" w:color="auto" w:fill="auto"/>
        <w:spacing w:before="0" w:after="0" w:line="590" w:lineRule="exact"/>
        <w:ind w:firstLine="560" w:firstLineChars="200"/>
        <w:rPr>
          <w:rFonts w:hint="eastAsia" w:ascii="Times New Roman" w:hAnsi="Times New Roman" w:cs="Times New Roman"/>
          <w:kern w:val="2"/>
          <w:sz w:val="28"/>
          <w:szCs w:val="28"/>
        </w:rPr>
      </w:pPr>
      <w:r>
        <w:rPr>
          <w:rFonts w:hint="eastAsia" w:ascii="Times New Roman" w:hAnsi="Times New Roman" w:cs="Times New Roman"/>
          <w:kern w:val="2"/>
          <w:sz w:val="28"/>
          <w:szCs w:val="28"/>
        </w:rPr>
        <w:t>（6）负责全市宏观质量管理。拟订并实施全市质量发展的制度措施。统筹全市质量基础设施建设与应用，会同有关部门组织实施重大工程设备质量监理制度，组织重大质量事故调查，协助国家、省、邢台市组织实施缺陷产品召回制度，监督管理产品防伪工作。</w:t>
      </w:r>
    </w:p>
    <w:p>
      <w:pPr>
        <w:pStyle w:val="18"/>
        <w:shd w:val="clear" w:color="auto" w:fill="auto"/>
        <w:spacing w:before="0" w:after="0" w:line="590" w:lineRule="exact"/>
        <w:ind w:firstLine="560" w:firstLineChars="200"/>
        <w:rPr>
          <w:rFonts w:hint="eastAsia" w:ascii="Times New Roman" w:hAnsi="Times New Roman" w:cs="Times New Roman"/>
          <w:kern w:val="2"/>
          <w:sz w:val="28"/>
          <w:szCs w:val="28"/>
        </w:rPr>
      </w:pPr>
      <w:r>
        <w:rPr>
          <w:rFonts w:hint="eastAsia" w:ascii="Times New Roman" w:hAnsi="Times New Roman" w:cs="Times New Roman"/>
          <w:kern w:val="2"/>
          <w:sz w:val="28"/>
          <w:szCs w:val="28"/>
        </w:rPr>
        <w:t>（7）负责全市产品质量安全监督管理。承担市级产品质量安全风险监控、监督抽查工作。组织实施质量分级制度、质量安全追溯制度。会同有关部门实施工业产品许可管理。负责纤维质量监督工作。</w:t>
      </w:r>
    </w:p>
    <w:p>
      <w:pPr>
        <w:pStyle w:val="18"/>
        <w:shd w:val="clear" w:color="auto" w:fill="auto"/>
        <w:spacing w:before="0" w:after="0" w:line="590" w:lineRule="exact"/>
        <w:ind w:firstLine="560" w:firstLineChars="200"/>
        <w:rPr>
          <w:rFonts w:ascii="Times New Roman" w:hAnsi="Times New Roman" w:cs="Times New Roman"/>
          <w:kern w:val="2"/>
          <w:sz w:val="28"/>
          <w:szCs w:val="28"/>
        </w:rPr>
      </w:pPr>
      <w:r>
        <w:rPr>
          <w:rFonts w:hint="eastAsia" w:ascii="Times New Roman" w:hAnsi="Times New Roman" w:cs="Times New Roman"/>
          <w:kern w:val="2"/>
          <w:sz w:val="28"/>
          <w:szCs w:val="28"/>
        </w:rPr>
        <w:t>（8）负责全市特种设备安全监督管理。综合管理特种设备安全监察、监督工作，监督检查高耗能特种设备节能标准和锅炉环境保护标准的执行情况。</w:t>
      </w:r>
    </w:p>
    <w:p>
      <w:pPr>
        <w:pStyle w:val="18"/>
        <w:shd w:val="clear" w:color="auto" w:fill="auto"/>
        <w:spacing w:before="0" w:after="0" w:line="590" w:lineRule="exact"/>
        <w:ind w:firstLine="560" w:firstLineChars="200"/>
        <w:rPr>
          <w:rFonts w:hint="eastAsia" w:ascii="Times New Roman" w:hAnsi="Times New Roman" w:cs="Times New Roman"/>
          <w:kern w:val="2"/>
          <w:sz w:val="28"/>
          <w:szCs w:val="28"/>
        </w:rPr>
      </w:pPr>
      <w:r>
        <w:rPr>
          <w:rFonts w:hint="eastAsia" w:ascii="Times New Roman" w:hAnsi="Times New Roman" w:cs="Times New Roman"/>
          <w:kern w:val="2"/>
          <w:sz w:val="28"/>
          <w:szCs w:val="28"/>
        </w:rPr>
        <w:t>（9）负责食品安全监督管理综合协调。组织制定全市食品安全重大政策并组织实施。推动健全食品安全地方党政同责和跨部门协调联动机制。负责食品安全应急体系建设，组织指导全市重大食品安全事件应急处置和调查处理工作。建立健全食品安全信息统一公布和重要信息直报制度。承担沙河市食品安全委员会日常工作。</w:t>
      </w:r>
    </w:p>
    <w:p>
      <w:pPr>
        <w:autoSpaceDE w:val="0"/>
        <w:autoSpaceDN w:val="0"/>
        <w:adjustRightInd w:val="0"/>
        <w:spacing w:line="590" w:lineRule="exact"/>
        <w:ind w:firstLine="560" w:firstLineChars="200"/>
        <w:rPr>
          <w:sz w:val="28"/>
          <w:szCs w:val="28"/>
        </w:rPr>
      </w:pPr>
      <w:r>
        <w:rPr>
          <w:rFonts w:hint="eastAsia"/>
          <w:sz w:val="28"/>
          <w:szCs w:val="28"/>
        </w:rPr>
        <w:t>（10）负责食品安全监督管理。建立覆盖食品生产、流通、消费全过程的监督检查制度和隐患排查治理机制并组织实施，防范区域性、系统性食品安全风险。推动建立食品生产经营者落实主体责任的机制，健全食品安全追溯体系。参与食品安全风险监测，组织开展食品安全监督抽检、核查处置和风险预警、风险交流工作。按职责分工组织实施特殊食品监督管理。组织指导重大活动食品安全保障。</w:t>
      </w:r>
    </w:p>
    <w:p>
      <w:pPr>
        <w:pStyle w:val="18"/>
        <w:shd w:val="clear" w:color="auto" w:fill="auto"/>
        <w:tabs>
          <w:tab w:val="left" w:pos="1536"/>
        </w:tabs>
        <w:spacing w:before="0" w:after="0" w:line="590" w:lineRule="exact"/>
        <w:ind w:firstLine="560" w:firstLineChars="200"/>
        <w:rPr>
          <w:rFonts w:ascii="Times New Roman" w:hAnsi="Times New Roman" w:cs="Times New Roman"/>
          <w:kern w:val="2"/>
          <w:sz w:val="28"/>
          <w:szCs w:val="28"/>
        </w:rPr>
      </w:pPr>
      <w:r>
        <w:rPr>
          <w:rFonts w:hint="eastAsia" w:ascii="Times New Roman" w:hAnsi="Times New Roman" w:cs="Times New Roman"/>
          <w:kern w:val="2"/>
          <w:sz w:val="28"/>
          <w:szCs w:val="28"/>
        </w:rPr>
        <w:t>（11）负责药品（含中药、民族药，下同）、医疗器械和化妆品安全监督管理。贯彻执行国家、省药品、医疗器械和化妆品法律法规以及鼓励药品、医疗器械和化妆品新技术新产品的管理与服务政策。拟订全市监督管理政策规划，组织起草相关措施并组织实施。</w:t>
      </w:r>
    </w:p>
    <w:p>
      <w:pPr>
        <w:tabs>
          <w:tab w:val="left" w:pos="2694"/>
        </w:tabs>
        <w:spacing w:line="590" w:lineRule="exact"/>
        <w:ind w:firstLine="560" w:firstLineChars="200"/>
        <w:rPr>
          <w:sz w:val="28"/>
          <w:szCs w:val="28"/>
        </w:rPr>
      </w:pPr>
      <w:r>
        <w:rPr>
          <w:rFonts w:hint="eastAsia"/>
          <w:sz w:val="28"/>
          <w:szCs w:val="28"/>
        </w:rPr>
        <w:t>（12）负责监督实施国家药品、医疗器械、化妆品标准和中药材地方标准，组织落实分类管理制度。配合实施国家基本药物制度。</w:t>
      </w:r>
    </w:p>
    <w:p>
      <w:pPr>
        <w:pStyle w:val="18"/>
        <w:shd w:val="clear" w:color="auto" w:fill="auto"/>
        <w:tabs>
          <w:tab w:val="left" w:pos="1531"/>
        </w:tabs>
        <w:spacing w:before="0" w:after="0" w:line="590" w:lineRule="exact"/>
        <w:ind w:firstLine="560" w:firstLineChars="200"/>
        <w:rPr>
          <w:rFonts w:ascii="Times New Roman" w:hAnsi="Times New Roman" w:cs="Times New Roman"/>
          <w:kern w:val="2"/>
          <w:sz w:val="28"/>
          <w:szCs w:val="28"/>
        </w:rPr>
      </w:pPr>
      <w:r>
        <w:rPr>
          <w:rFonts w:hint="eastAsia" w:ascii="Times New Roman" w:hAnsi="Times New Roman" w:cs="Times New Roman"/>
          <w:kern w:val="2"/>
          <w:sz w:val="28"/>
          <w:szCs w:val="28"/>
        </w:rPr>
        <w:t>（13）负责药品、医疗器械和化妆品质量管理。依职责监督和指导实施经营、使用质量管理规范。依职责组织实施中药品种保护制度。</w:t>
      </w:r>
    </w:p>
    <w:p>
      <w:pPr>
        <w:pStyle w:val="18"/>
        <w:shd w:val="clear" w:color="auto" w:fill="auto"/>
        <w:spacing w:before="0" w:after="0" w:line="590" w:lineRule="exact"/>
        <w:ind w:firstLine="560" w:firstLineChars="200"/>
        <w:rPr>
          <w:rFonts w:hint="eastAsia" w:ascii="Times New Roman" w:hAnsi="Times New Roman" w:cs="Times New Roman"/>
          <w:kern w:val="2"/>
          <w:sz w:val="28"/>
          <w:szCs w:val="28"/>
        </w:rPr>
      </w:pPr>
      <w:r>
        <w:rPr>
          <w:rFonts w:hint="eastAsia" w:ascii="Times New Roman" w:hAnsi="Times New Roman" w:cs="Times New Roman"/>
          <w:kern w:val="2"/>
          <w:sz w:val="28"/>
          <w:szCs w:val="28"/>
        </w:rPr>
        <w:t>（14）负责药品、医疗器械和化妆品上市后风险管理。建立健全全市药品不良反应、医疗器械不良事件、化妆品不良反应和药物滥用监测体系，并开展监测、评价和处置工作。依法承担药品、医疗器械和化妆品安全应急管理工作。</w:t>
      </w:r>
    </w:p>
    <w:p>
      <w:pPr>
        <w:pStyle w:val="18"/>
        <w:shd w:val="clear" w:color="auto" w:fill="auto"/>
        <w:spacing w:before="0" w:after="0" w:line="590" w:lineRule="exact"/>
        <w:ind w:firstLine="560" w:firstLineChars="200"/>
        <w:rPr>
          <w:rFonts w:hint="eastAsia" w:ascii="Times New Roman" w:hAnsi="Times New Roman" w:cs="Times New Roman"/>
          <w:kern w:val="2"/>
          <w:sz w:val="28"/>
          <w:szCs w:val="28"/>
        </w:rPr>
      </w:pPr>
      <w:r>
        <w:rPr>
          <w:rFonts w:hint="eastAsia" w:ascii="Times New Roman" w:hAnsi="Times New Roman" w:cs="Times New Roman"/>
          <w:kern w:val="2"/>
          <w:sz w:val="28"/>
          <w:szCs w:val="28"/>
        </w:rPr>
        <w:t>（15）负责组织指导药品、医疗器械和化妆品监督检查。贯彻落实国家、省、邢台市检查制度，依法组织指导查处药品零售、医疗器械经营、化妆品经营和药品、医疗器械使用环节的违法行为，规范行政执法行为。</w:t>
      </w:r>
    </w:p>
    <w:p>
      <w:pPr>
        <w:pStyle w:val="19"/>
        <w:tabs>
          <w:tab w:val="left" w:pos="2694"/>
        </w:tabs>
        <w:spacing w:line="590" w:lineRule="exact"/>
        <w:ind w:firstLine="560" w:firstLineChars="200"/>
        <w:jc w:val="both"/>
        <w:rPr>
          <w:rFonts w:ascii="Times New Roman" w:hAnsi="Times New Roman" w:cs="Times New Roman"/>
          <w:kern w:val="2"/>
          <w:sz w:val="28"/>
          <w:szCs w:val="28"/>
        </w:rPr>
      </w:pPr>
      <w:r>
        <w:rPr>
          <w:rFonts w:hint="eastAsia" w:ascii="Times New Roman" w:hAnsi="Times New Roman" w:cs="Times New Roman"/>
          <w:kern w:val="2"/>
          <w:sz w:val="28"/>
          <w:szCs w:val="28"/>
        </w:rPr>
        <w:t>（16）负责统一管理全市计量工作。推行法定计量单位和国家计量制度，管理计量器具及量值传递和比对工作。规范、监督商品量和市场计量行为。</w:t>
      </w:r>
    </w:p>
    <w:p>
      <w:pPr>
        <w:pStyle w:val="18"/>
        <w:shd w:val="clear" w:color="auto" w:fill="auto"/>
        <w:spacing w:before="0" w:after="0" w:line="590" w:lineRule="exact"/>
        <w:ind w:firstLine="560" w:firstLineChars="200"/>
        <w:rPr>
          <w:rFonts w:ascii="Times New Roman" w:hAnsi="Times New Roman" w:cs="Times New Roman"/>
          <w:kern w:val="2"/>
          <w:sz w:val="28"/>
          <w:szCs w:val="28"/>
        </w:rPr>
      </w:pPr>
      <w:r>
        <w:rPr>
          <w:rFonts w:hint="eastAsia" w:ascii="Times New Roman" w:hAnsi="Times New Roman" w:cs="Times New Roman"/>
          <w:kern w:val="2"/>
          <w:sz w:val="28"/>
          <w:szCs w:val="28"/>
        </w:rPr>
        <w:t>（17）负责统一管理全市标准化工作。依法组织制定县级地方标准，宣传贯彻强制性、推荐性国家标准和行业标准、地方标准。依法协调指导和监督团体标准、企业标准制定工作。组织开展标准化国际、区域合作和参与制定、采用国际标准工作。</w:t>
      </w:r>
    </w:p>
    <w:p>
      <w:pPr>
        <w:autoSpaceDE w:val="0"/>
        <w:autoSpaceDN w:val="0"/>
        <w:adjustRightInd w:val="0"/>
        <w:spacing w:line="590" w:lineRule="exact"/>
        <w:ind w:firstLine="560" w:firstLineChars="200"/>
        <w:rPr>
          <w:sz w:val="28"/>
          <w:szCs w:val="28"/>
        </w:rPr>
      </w:pPr>
      <w:r>
        <w:rPr>
          <w:rFonts w:hint="eastAsia"/>
          <w:sz w:val="28"/>
          <w:szCs w:val="28"/>
        </w:rPr>
        <w:t>（18）负责统一管理全市检验检测工作。指导检验检测机构整合和改革，规范检验检测市场，完善检验检测体系，指导协调检验检测行业发展。</w:t>
      </w:r>
    </w:p>
    <w:p>
      <w:pPr>
        <w:autoSpaceDE w:val="0"/>
        <w:autoSpaceDN w:val="0"/>
        <w:adjustRightInd w:val="0"/>
        <w:spacing w:line="590" w:lineRule="exact"/>
        <w:ind w:firstLine="560" w:firstLineChars="200"/>
        <w:rPr>
          <w:sz w:val="28"/>
          <w:szCs w:val="28"/>
        </w:rPr>
      </w:pPr>
      <w:r>
        <w:rPr>
          <w:rFonts w:hint="eastAsia"/>
          <w:sz w:val="28"/>
          <w:szCs w:val="28"/>
        </w:rPr>
        <w:t>（19）负责统一管理、监督和协调全市认证认可工作。组织贯彻实施国家统一的认证认可和合格评定监督管理制度。</w:t>
      </w:r>
    </w:p>
    <w:p>
      <w:pPr>
        <w:pStyle w:val="18"/>
        <w:shd w:val="clear" w:color="auto" w:fill="auto"/>
        <w:spacing w:before="0" w:after="0" w:line="590" w:lineRule="exact"/>
        <w:ind w:firstLine="560" w:firstLineChars="200"/>
        <w:rPr>
          <w:rFonts w:hint="eastAsia" w:ascii="Times New Roman" w:hAnsi="Times New Roman" w:cs="Times New Roman"/>
          <w:kern w:val="2"/>
          <w:sz w:val="28"/>
          <w:szCs w:val="28"/>
        </w:rPr>
      </w:pPr>
      <w:r>
        <w:rPr>
          <w:rFonts w:hint="eastAsia" w:ascii="Times New Roman" w:hAnsi="Times New Roman" w:cs="Times New Roman"/>
          <w:kern w:val="2"/>
          <w:sz w:val="28"/>
          <w:szCs w:val="28"/>
        </w:rPr>
        <w:t>（20）负责推进全市知识产权管理工作。拟订加强知识产权强市建设的政策措施和发展规划。拟订和实施强化知识产权创造、保护和运用的政策和制度。</w:t>
      </w:r>
    </w:p>
    <w:p>
      <w:pPr>
        <w:pStyle w:val="18"/>
        <w:shd w:val="clear" w:color="auto" w:fill="auto"/>
        <w:spacing w:before="0" w:after="0" w:line="590" w:lineRule="exact"/>
        <w:ind w:firstLine="560" w:firstLineChars="200"/>
        <w:rPr>
          <w:rFonts w:hint="eastAsia" w:ascii="Times New Roman" w:hAnsi="Times New Roman" w:cs="Times New Roman"/>
          <w:kern w:val="2"/>
          <w:sz w:val="28"/>
          <w:szCs w:val="28"/>
        </w:rPr>
      </w:pPr>
      <w:r>
        <w:rPr>
          <w:rFonts w:hint="eastAsia" w:ascii="Times New Roman" w:hAnsi="Times New Roman" w:cs="Times New Roman"/>
          <w:kern w:val="2"/>
          <w:sz w:val="28"/>
          <w:szCs w:val="28"/>
        </w:rPr>
        <w:t>（21）负责保护知识产权。组织起草严格保护商标、专利、原产地地理标志、集成电路布图设计等知识产权相关政策措施并监督实施。按照国家和省、邢台市知识产权保护体系建设方案，推动建设知识产权保护体系。负责组织指导商标、专利执法工作，依职责做好知识产权争议处理、维权援助和纠纷调处。积极参与京津冀知识产权执法协作工作。</w:t>
      </w:r>
    </w:p>
    <w:p>
      <w:pPr>
        <w:pStyle w:val="18"/>
        <w:shd w:val="clear" w:color="auto" w:fill="auto"/>
        <w:spacing w:before="0" w:after="0" w:line="590" w:lineRule="exact"/>
        <w:ind w:firstLine="560" w:firstLineChars="200"/>
        <w:rPr>
          <w:rFonts w:hint="eastAsia" w:ascii="Times New Roman" w:hAnsi="Times New Roman" w:cs="Times New Roman"/>
          <w:kern w:val="2"/>
          <w:sz w:val="28"/>
          <w:szCs w:val="28"/>
        </w:rPr>
      </w:pPr>
      <w:r>
        <w:rPr>
          <w:rFonts w:hint="eastAsia" w:ascii="Times New Roman" w:hAnsi="Times New Roman" w:cs="Times New Roman"/>
          <w:kern w:val="2"/>
          <w:sz w:val="28"/>
          <w:szCs w:val="28"/>
        </w:rPr>
        <w:t>（22）负责促进知识产权运用。拟订知识产权运用和规范交易的政策，促进知识产权转移转化。规范知识产权无形资产评估工作。制定实施知识产权中介服务发展与监管的政策措施。</w:t>
      </w:r>
    </w:p>
    <w:p>
      <w:pPr>
        <w:pStyle w:val="18"/>
        <w:shd w:val="clear" w:color="auto" w:fill="auto"/>
        <w:spacing w:before="0" w:after="0" w:line="590" w:lineRule="exact"/>
        <w:ind w:firstLine="560" w:firstLineChars="200"/>
        <w:rPr>
          <w:rFonts w:ascii="Times New Roman" w:hAnsi="Times New Roman" w:cs="Times New Roman"/>
          <w:kern w:val="2"/>
          <w:sz w:val="28"/>
          <w:szCs w:val="28"/>
        </w:rPr>
      </w:pPr>
      <w:r>
        <w:rPr>
          <w:rFonts w:hint="eastAsia" w:ascii="Times New Roman" w:hAnsi="Times New Roman" w:cs="Times New Roman"/>
          <w:kern w:val="2"/>
          <w:sz w:val="28"/>
          <w:szCs w:val="28"/>
        </w:rPr>
        <w:t>（23）负责建立知识产权公共服务体系。建设便企利民、互联互通的全市知识产权信息公共服务平台，推动商标、专利等知识产权信息的传播利用。指导辖区专利信息服务工作。组织实施原产地地理标志统一认定制度。</w:t>
      </w:r>
    </w:p>
    <w:p>
      <w:pPr>
        <w:pStyle w:val="18"/>
        <w:shd w:val="clear" w:color="auto" w:fill="auto"/>
        <w:spacing w:before="0" w:after="0" w:line="590" w:lineRule="exact"/>
        <w:ind w:firstLine="560" w:firstLineChars="200"/>
        <w:rPr>
          <w:rFonts w:hint="eastAsia" w:ascii="Times New Roman" w:hAnsi="Times New Roman" w:cs="Times New Roman"/>
          <w:kern w:val="2"/>
          <w:sz w:val="28"/>
          <w:szCs w:val="28"/>
        </w:rPr>
      </w:pPr>
      <w:r>
        <w:rPr>
          <w:rFonts w:hint="eastAsia" w:ascii="Times New Roman" w:hAnsi="Times New Roman" w:cs="Times New Roman"/>
          <w:kern w:val="2"/>
          <w:sz w:val="28"/>
          <w:szCs w:val="28"/>
        </w:rPr>
        <w:t>（24）负责全市市场监督管理科技和信息化建设、新闻宣传、教育培训、对外交流与合作。按规定承担技术性贸易措施有关工作。负责统筹协调涉外知识产权事宜，承担知识产权对外转让相关工作。推进全市药品、医疗器械和化妆品安全监管信息化建设。负责制定药品、医疗器械和化妆品的安全科技发展规划并组织实施，推动检验检测体系、电子监管追溯体系和信息化建设。完善全市药品、医疗器械和化妆品安全信息统一公布制度和重大信息直报制度，依职责公布重大安全信息。推进诚信体系建设。</w:t>
      </w:r>
    </w:p>
    <w:p>
      <w:pPr>
        <w:autoSpaceDE w:val="0"/>
        <w:autoSpaceDN w:val="0"/>
        <w:adjustRightInd w:val="0"/>
        <w:spacing w:line="590" w:lineRule="exact"/>
        <w:ind w:firstLine="560" w:firstLineChars="200"/>
        <w:rPr>
          <w:rFonts w:hint="eastAsia"/>
          <w:sz w:val="28"/>
          <w:szCs w:val="28"/>
        </w:rPr>
      </w:pPr>
      <w:r>
        <w:rPr>
          <w:rFonts w:hint="eastAsia"/>
          <w:sz w:val="28"/>
          <w:szCs w:val="28"/>
        </w:rPr>
        <w:t>（25）完成市委、市政府交办的其他任务。</w:t>
      </w:r>
    </w:p>
    <w:p>
      <w:pPr>
        <w:spacing w:line="60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（二）组织架构</w:t>
      </w:r>
    </w:p>
    <w:p>
      <w:pPr>
        <w:spacing w:line="600" w:lineRule="exact"/>
        <w:ind w:firstLine="640"/>
        <w:rPr>
          <w:rFonts w:hint="eastAsia" w:ascii="仿宋_GB2312" w:eastAsia="仿宋_GB2312"/>
          <w:sz w:val="32"/>
          <w:szCs w:val="32"/>
        </w:rPr>
      </w:pPr>
      <w:r>
        <w:rPr>
          <w:rFonts w:hint="eastAsia" w:ascii="仿宋_GB2312" w:eastAsia="仿宋_GB2312"/>
          <w:sz w:val="32"/>
          <w:szCs w:val="32"/>
        </w:rPr>
        <w:t>本部门无下级预算单位，部门预算构成只包括沙河市</w:t>
      </w:r>
      <w:r>
        <w:rPr>
          <w:rFonts w:hint="eastAsia" w:ascii="仿宋_GB2312" w:eastAsia="仿宋_GB2312"/>
          <w:sz w:val="32"/>
          <w:szCs w:val="32"/>
          <w:lang w:eastAsia="zh-CN"/>
        </w:rPr>
        <w:t>市场监督管理局</w:t>
      </w:r>
      <w:r>
        <w:rPr>
          <w:rFonts w:hint="eastAsia" w:ascii="仿宋_GB2312" w:eastAsia="仿宋_GB2312"/>
          <w:sz w:val="32"/>
          <w:szCs w:val="32"/>
        </w:rPr>
        <w:t>。</w:t>
      </w:r>
    </w:p>
    <w:p>
      <w:pPr>
        <w:numPr>
          <w:ilvl w:val="0"/>
          <w:numId w:val="0"/>
        </w:numPr>
        <w:spacing w:line="240" w:lineRule="auto"/>
        <w:rPr>
          <w:rFonts w:hint="eastAsia" w:ascii="仿宋_GB2312" w:eastAsia="仿宋_GB2312"/>
          <w:sz w:val="32"/>
          <w:szCs w:val="32"/>
        </w:rPr>
      </w:pPr>
      <w:r>
        <w:rPr>
          <w:rFonts w:hint="eastAsia" w:ascii="仿宋_GB2312" w:eastAsia="仿宋_GB2312"/>
          <w:sz w:val="32"/>
          <w:szCs w:val="32"/>
        </w:rPr>
        <w:t>机构设置</w:t>
      </w:r>
    </w:p>
    <w:tbl>
      <w:tblPr>
        <w:tblStyle w:val="9"/>
        <w:tblpPr w:leftFromText="180" w:rightFromText="180" w:vertAnchor="text" w:horzAnchor="page" w:tblpXSpec="center" w:tblpY="10"/>
        <w:tblOverlap w:val="never"/>
        <w:tblW w:w="90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2571"/>
        <w:gridCol w:w="1804"/>
        <w:gridCol w:w="1965"/>
        <w:gridCol w:w="1"/>
        <w:gridCol w:w="1961"/>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727" w:type="dxa"/>
            <w:vAlign w:val="center"/>
          </w:tcPr>
          <w:p>
            <w:pPr>
              <w:spacing w:after="0" w:line="560" w:lineRule="exact"/>
              <w:jc w:val="center"/>
              <w:rPr>
                <w:rFonts w:hint="eastAsia" w:ascii="仿宋_GB2312" w:hAnsi="Calibri" w:eastAsia="仿宋_GB2312" w:cs="ArialUnicodeMS"/>
                <w:b/>
                <w:bCs/>
                <w:kern w:val="0"/>
                <w:sz w:val="28"/>
                <w:szCs w:val="28"/>
                <w:vertAlign w:val="baseline"/>
                <w:lang w:val="en-US" w:eastAsia="zh-CN"/>
              </w:rPr>
            </w:pPr>
            <w:r>
              <w:rPr>
                <w:rFonts w:hint="eastAsia" w:ascii="仿宋_GB2312" w:hAnsi="Calibri" w:eastAsia="仿宋_GB2312" w:cs="ArialUnicodeMS"/>
                <w:b/>
                <w:bCs/>
                <w:kern w:val="0"/>
                <w:sz w:val="28"/>
                <w:szCs w:val="28"/>
                <w:vertAlign w:val="baseline"/>
                <w:lang w:val="en-US" w:eastAsia="zh-CN"/>
              </w:rPr>
              <w:t>序号</w:t>
            </w:r>
          </w:p>
        </w:tc>
        <w:tc>
          <w:tcPr>
            <w:tcW w:w="2571" w:type="dxa"/>
            <w:vAlign w:val="center"/>
          </w:tcPr>
          <w:p>
            <w:pPr>
              <w:spacing w:after="0" w:line="560" w:lineRule="exact"/>
              <w:jc w:val="center"/>
              <w:rPr>
                <w:rFonts w:hint="eastAsia" w:ascii="仿宋_GB2312" w:hAnsi="Calibri" w:eastAsia="仿宋_GB2312" w:cs="ArialUnicodeMS"/>
                <w:b/>
                <w:bCs/>
                <w:kern w:val="0"/>
                <w:sz w:val="28"/>
                <w:szCs w:val="28"/>
                <w:vertAlign w:val="baseline"/>
                <w:lang w:val="en-US" w:eastAsia="zh-CN"/>
              </w:rPr>
            </w:pPr>
            <w:r>
              <w:rPr>
                <w:rFonts w:hint="eastAsia" w:ascii="仿宋_GB2312" w:hAnsi="Calibri" w:eastAsia="仿宋_GB2312" w:cs="ArialUnicodeMS"/>
                <w:b/>
                <w:bCs/>
                <w:kern w:val="0"/>
                <w:sz w:val="28"/>
                <w:szCs w:val="28"/>
                <w:vertAlign w:val="baseline"/>
                <w:lang w:val="en-US" w:eastAsia="zh-CN"/>
              </w:rPr>
              <w:t>单位名称</w:t>
            </w:r>
          </w:p>
        </w:tc>
        <w:tc>
          <w:tcPr>
            <w:tcW w:w="1804" w:type="dxa"/>
            <w:vAlign w:val="center"/>
          </w:tcPr>
          <w:p>
            <w:pPr>
              <w:spacing w:after="0" w:line="560" w:lineRule="exact"/>
              <w:jc w:val="center"/>
              <w:rPr>
                <w:rFonts w:hint="eastAsia" w:ascii="仿宋_GB2312" w:hAnsi="Calibri" w:eastAsia="仿宋_GB2312" w:cs="ArialUnicodeMS"/>
                <w:b/>
                <w:bCs/>
                <w:kern w:val="0"/>
                <w:sz w:val="28"/>
                <w:szCs w:val="28"/>
                <w:vertAlign w:val="baseline"/>
                <w:lang w:val="en-US" w:eastAsia="zh-CN"/>
              </w:rPr>
            </w:pPr>
            <w:r>
              <w:rPr>
                <w:rFonts w:hint="eastAsia" w:ascii="仿宋_GB2312" w:hAnsi="Calibri" w:eastAsia="仿宋_GB2312" w:cs="ArialUnicodeMS"/>
                <w:b/>
                <w:bCs/>
                <w:kern w:val="0"/>
                <w:sz w:val="28"/>
                <w:szCs w:val="28"/>
                <w:vertAlign w:val="baseline"/>
                <w:lang w:val="en-US" w:eastAsia="zh-CN"/>
              </w:rPr>
              <w:t>单位基本性质</w:t>
            </w:r>
          </w:p>
        </w:tc>
        <w:tc>
          <w:tcPr>
            <w:tcW w:w="1966" w:type="dxa"/>
            <w:gridSpan w:val="2"/>
            <w:vAlign w:val="center"/>
          </w:tcPr>
          <w:p>
            <w:pPr>
              <w:spacing w:after="0" w:line="560" w:lineRule="exact"/>
              <w:jc w:val="center"/>
              <w:rPr>
                <w:rFonts w:hint="eastAsia" w:ascii="仿宋_GB2312" w:hAnsi="Calibri" w:eastAsia="仿宋_GB2312" w:cs="ArialUnicodeMS"/>
                <w:b/>
                <w:bCs/>
                <w:kern w:val="0"/>
                <w:sz w:val="28"/>
                <w:szCs w:val="28"/>
                <w:vertAlign w:val="baseline"/>
                <w:lang w:val="en-US" w:eastAsia="zh-CN"/>
              </w:rPr>
            </w:pPr>
            <w:r>
              <w:rPr>
                <w:rFonts w:hint="eastAsia" w:ascii="仿宋_GB2312" w:hAnsi="Calibri" w:eastAsia="仿宋_GB2312" w:cs="ArialUnicodeMS"/>
                <w:b/>
                <w:bCs/>
                <w:kern w:val="0"/>
                <w:sz w:val="28"/>
                <w:szCs w:val="28"/>
                <w:vertAlign w:val="baseline"/>
                <w:lang w:val="en-US" w:eastAsia="zh-CN"/>
              </w:rPr>
              <w:t>经费形式</w:t>
            </w:r>
          </w:p>
        </w:tc>
        <w:tc>
          <w:tcPr>
            <w:tcW w:w="1962" w:type="dxa"/>
            <w:gridSpan w:val="2"/>
            <w:vAlign w:val="center"/>
          </w:tcPr>
          <w:p>
            <w:pPr>
              <w:spacing w:after="0" w:line="560" w:lineRule="exact"/>
              <w:jc w:val="center"/>
              <w:rPr>
                <w:rFonts w:hint="eastAsia" w:ascii="仿宋_GB2312" w:hAnsi="Calibri" w:eastAsia="仿宋_GB2312" w:cs="ArialUnicodeMS"/>
                <w:b/>
                <w:bCs/>
                <w:kern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27" w:type="dxa"/>
            <w:vAlign w:val="top"/>
          </w:tcPr>
          <w:p>
            <w:pPr>
              <w:spacing w:after="0" w:line="560" w:lineRule="exact"/>
              <w:jc w:val="center"/>
              <w:rPr>
                <w:rFonts w:hint="default" w:ascii="仿宋_GB2312" w:hAnsi="Calibri" w:eastAsia="仿宋_GB2312" w:cs="ArialUnicodeMS"/>
                <w:kern w:val="0"/>
                <w:sz w:val="28"/>
                <w:szCs w:val="28"/>
                <w:vertAlign w:val="baseline"/>
                <w:lang w:val="en-US" w:eastAsia="zh-CN"/>
              </w:rPr>
            </w:pPr>
            <w:r>
              <w:rPr>
                <w:rFonts w:hint="eastAsia" w:ascii="仿宋_GB2312" w:hAnsi="Calibri" w:eastAsia="仿宋_GB2312" w:cs="ArialUnicodeMS"/>
                <w:kern w:val="0"/>
                <w:sz w:val="28"/>
                <w:szCs w:val="28"/>
                <w:vertAlign w:val="baseline"/>
                <w:lang w:val="en-US" w:eastAsia="zh-CN"/>
              </w:rPr>
              <w:t>1</w:t>
            </w:r>
          </w:p>
        </w:tc>
        <w:tc>
          <w:tcPr>
            <w:tcW w:w="2571" w:type="dxa"/>
            <w:vAlign w:val="top"/>
          </w:tcPr>
          <w:p>
            <w:pPr>
              <w:spacing w:after="0" w:line="560" w:lineRule="exact"/>
              <w:rPr>
                <w:rFonts w:hint="eastAsia" w:ascii="仿宋_GB2312" w:hAnsi="Calibri" w:eastAsia="仿宋_GB2312" w:cs="ArialUnicodeMS"/>
                <w:kern w:val="0"/>
                <w:sz w:val="28"/>
                <w:szCs w:val="28"/>
                <w:vertAlign w:val="baseline"/>
                <w:lang w:val="en-US" w:eastAsia="zh-CN"/>
              </w:rPr>
            </w:pPr>
            <w:r>
              <w:rPr>
                <w:rFonts w:hint="eastAsia" w:ascii="仿宋_GB2312" w:hAnsi="Calibri" w:eastAsia="仿宋_GB2312" w:cs="ArialUnicodeMS"/>
                <w:kern w:val="0"/>
                <w:sz w:val="28"/>
                <w:szCs w:val="28"/>
                <w:vertAlign w:val="baseline"/>
                <w:lang w:val="en-US" w:eastAsia="zh-CN"/>
              </w:rPr>
              <w:t>沙河市市场监督管理局</w:t>
            </w:r>
          </w:p>
        </w:tc>
        <w:tc>
          <w:tcPr>
            <w:tcW w:w="1804" w:type="dxa"/>
            <w:vAlign w:val="top"/>
          </w:tcPr>
          <w:p>
            <w:pPr>
              <w:spacing w:after="0" w:line="560" w:lineRule="exact"/>
              <w:jc w:val="center"/>
              <w:rPr>
                <w:rFonts w:hint="eastAsia" w:ascii="仿宋_GB2312" w:hAnsi="Calibri" w:eastAsia="仿宋_GB2312" w:cs="ArialUnicodeMS"/>
                <w:kern w:val="0"/>
                <w:sz w:val="28"/>
                <w:szCs w:val="28"/>
                <w:vertAlign w:val="baseline"/>
                <w:lang w:eastAsia="zh-CN"/>
              </w:rPr>
            </w:pPr>
            <w:r>
              <w:rPr>
                <w:rFonts w:hint="eastAsia" w:ascii="仿宋_GB2312" w:hAnsi="Calibri" w:eastAsia="仿宋_GB2312" w:cs="ArialUnicodeMS"/>
                <w:kern w:val="0"/>
                <w:sz w:val="28"/>
                <w:szCs w:val="28"/>
                <w:vertAlign w:val="baseline"/>
                <w:lang w:val="en-US" w:eastAsia="zh-CN"/>
              </w:rPr>
              <w:t>行政单位</w:t>
            </w:r>
          </w:p>
        </w:tc>
        <w:tc>
          <w:tcPr>
            <w:tcW w:w="1966" w:type="dxa"/>
            <w:gridSpan w:val="2"/>
            <w:vAlign w:val="top"/>
          </w:tcPr>
          <w:p>
            <w:pPr>
              <w:spacing w:after="0" w:line="560" w:lineRule="exact"/>
              <w:jc w:val="center"/>
              <w:rPr>
                <w:rFonts w:hint="eastAsia" w:ascii="仿宋_GB2312" w:hAnsi="Calibri" w:eastAsia="仿宋_GB2312" w:cs="ArialUnicodeMS"/>
                <w:kern w:val="0"/>
                <w:sz w:val="28"/>
                <w:szCs w:val="28"/>
                <w:vertAlign w:val="baseline"/>
                <w:lang w:eastAsia="zh-CN"/>
              </w:rPr>
            </w:pPr>
            <w:r>
              <w:rPr>
                <w:rFonts w:hint="eastAsia" w:ascii="仿宋_GB2312" w:hAnsi="Calibri" w:eastAsia="仿宋_GB2312" w:cs="ArialUnicodeMS"/>
                <w:kern w:val="0"/>
                <w:sz w:val="28"/>
                <w:szCs w:val="28"/>
                <w:vertAlign w:val="baseline"/>
                <w:lang w:val="en-US" w:eastAsia="zh-CN"/>
              </w:rPr>
              <w:t>财政拨款</w:t>
            </w:r>
          </w:p>
        </w:tc>
        <w:tc>
          <w:tcPr>
            <w:tcW w:w="1962" w:type="dxa"/>
            <w:gridSpan w:val="2"/>
            <w:vAlign w:val="top"/>
          </w:tcPr>
          <w:p>
            <w:pPr>
              <w:spacing w:after="0" w:line="560" w:lineRule="exact"/>
              <w:jc w:val="center"/>
              <w:rPr>
                <w:rFonts w:hint="eastAsia" w:ascii="仿宋_GB2312" w:hAnsi="Calibri" w:eastAsia="仿宋_GB2312" w:cs="ArialUnicodeMS"/>
                <w:kern w:val="0"/>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606" w:hRule="atLeast"/>
          <w:jc w:val="center"/>
        </w:trPr>
        <w:tc>
          <w:tcPr>
            <w:tcW w:w="7067" w:type="dxa"/>
            <w:gridSpan w:val="4"/>
            <w:tcBorders>
              <w:top w:val="single" w:color="auto" w:sz="4" w:space="0"/>
              <w:left w:val="nil"/>
              <w:bottom w:val="nil"/>
              <w:right w:val="nil"/>
            </w:tcBorders>
            <w:vAlign w:val="top"/>
          </w:tcPr>
          <w:p>
            <w:pPr>
              <w:spacing w:after="0" w:line="560" w:lineRule="exact"/>
              <w:ind w:firstLine="560" w:firstLineChars="200"/>
              <w:jc w:val="left"/>
              <w:rPr>
                <w:rFonts w:hint="default" w:ascii="仿宋_GB2312" w:hAnsi="Calibri" w:eastAsia="仿宋_GB2312" w:cs="ArialUnicodeMS"/>
                <w:kern w:val="0"/>
                <w:sz w:val="28"/>
                <w:szCs w:val="28"/>
                <w:vertAlign w:val="baseline"/>
                <w:lang w:val="en-US" w:eastAsia="zh-CN"/>
              </w:rPr>
            </w:pPr>
          </w:p>
        </w:tc>
        <w:tc>
          <w:tcPr>
            <w:tcW w:w="1962" w:type="dxa"/>
            <w:gridSpan w:val="2"/>
            <w:tcBorders>
              <w:top w:val="single" w:color="auto" w:sz="4" w:space="0"/>
              <w:left w:val="nil"/>
              <w:bottom w:val="nil"/>
              <w:right w:val="nil"/>
            </w:tcBorders>
            <w:vAlign w:val="top"/>
          </w:tcPr>
          <w:p>
            <w:pPr>
              <w:spacing w:after="0" w:line="560" w:lineRule="exact"/>
              <w:ind w:firstLine="560" w:firstLineChars="200"/>
              <w:jc w:val="left"/>
              <w:rPr>
                <w:rFonts w:hint="eastAsia" w:ascii="仿宋_GB2312" w:hAnsi="Calibri" w:eastAsia="仿宋_GB2312" w:cs="ArialUnicodeMS"/>
                <w:kern w:val="0"/>
                <w:sz w:val="28"/>
                <w:szCs w:val="28"/>
                <w:highlight w:val="yellow"/>
                <w:vertAlign w:val="baseline"/>
                <w:lang w:val="en-US" w:eastAsia="zh-CN"/>
              </w:rPr>
            </w:pPr>
          </w:p>
        </w:tc>
      </w:tr>
    </w:tbl>
    <w:p>
      <w:pPr>
        <w:numPr>
          <w:ilvl w:val="0"/>
          <w:numId w:val="0"/>
        </w:numPr>
        <w:spacing w:line="240" w:lineRule="auto"/>
        <w:rPr>
          <w:rFonts w:hint="eastAsia" w:ascii="仿宋_GB2312" w:eastAsia="仿宋_GB2312"/>
          <w:sz w:val="32"/>
          <w:szCs w:val="32"/>
        </w:rPr>
      </w:pPr>
    </w:p>
    <w:p>
      <w:pPr>
        <w:numPr>
          <w:ilvl w:val="0"/>
          <w:numId w:val="0"/>
        </w:numPr>
        <w:spacing w:line="240" w:lineRule="auto"/>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二、预算绩效管理开展及整体绩效实现情况</w:t>
      </w:r>
    </w:p>
    <w:p>
      <w:pPr>
        <w:numPr>
          <w:ilvl w:val="0"/>
          <w:numId w:val="0"/>
        </w:numPr>
        <w:spacing w:line="240" w:lineRule="auto"/>
        <w:ind w:firstLine="640" w:firstLineChars="200"/>
        <w:rPr>
          <w:rFonts w:hint="eastAsia" w:ascii="仿宋" w:hAnsi="仿宋" w:eastAsia="仿宋" w:cs="仿宋"/>
          <w:sz w:val="32"/>
          <w:szCs w:val="32"/>
          <w:lang w:val="en-US" w:eastAsia="zh-CN"/>
        </w:rPr>
      </w:pPr>
      <w:r>
        <w:rPr>
          <w:rFonts w:hint="eastAsia" w:eastAsia="方正仿宋_GBK"/>
          <w:bCs/>
          <w:sz w:val="32"/>
          <w:szCs w:val="32"/>
        </w:rPr>
        <w:t>我局2021年按照相关要求开展煤炭、成品油以及涉及工业产品、民生消费安全的商品质量监督抽查和检验检测，预计检测679个批次，约需经费60.51万元。</w:t>
      </w:r>
    </w:p>
    <w:p>
      <w:pPr>
        <w:spacing w:line="500" w:lineRule="exact"/>
        <w:ind w:firstLine="640" w:firstLineChars="200"/>
        <w:jc w:val="left"/>
        <w:rPr>
          <w:rFonts w:hint="eastAsia" w:eastAsia="方正仿宋_GBK"/>
          <w:b/>
          <w:bCs/>
          <w:sz w:val="32"/>
          <w:szCs w:val="32"/>
        </w:rPr>
      </w:pPr>
      <w:r>
        <w:rPr>
          <w:rFonts w:hint="eastAsia" w:ascii="仿宋" w:hAnsi="仿宋" w:eastAsia="仿宋" w:cs="仿宋"/>
          <w:sz w:val="32"/>
          <w:szCs w:val="32"/>
          <w:lang w:val="en-US" w:eastAsia="zh-CN"/>
        </w:rPr>
        <w:t>绩效评价的组织实施情况。</w:t>
      </w:r>
      <w:r>
        <w:rPr>
          <w:rFonts w:hint="eastAsia" w:eastAsia="方正仿宋_GBK"/>
          <w:b/>
          <w:bCs/>
          <w:sz w:val="32"/>
          <w:szCs w:val="32"/>
        </w:rPr>
        <w:t>完善制度建设。</w:t>
      </w:r>
      <w:r>
        <w:rPr>
          <w:rFonts w:hint="eastAsia" w:eastAsia="方正仿宋_GBK"/>
          <w:sz w:val="32"/>
          <w:szCs w:val="32"/>
        </w:rPr>
        <w:t>包括制定完善预算绩效管理制度、资金管理办法、工作保障制度等，为全年预算绩效目标的实现奠定制度基础。</w:t>
      </w:r>
    </w:p>
    <w:p>
      <w:pPr>
        <w:spacing w:line="580" w:lineRule="exact"/>
        <w:ind w:firstLine="630"/>
        <w:rPr>
          <w:rFonts w:hint="eastAsia" w:eastAsia="方正仿宋_GBK"/>
          <w:sz w:val="32"/>
          <w:szCs w:val="32"/>
        </w:rPr>
      </w:pPr>
      <w:r>
        <w:rPr>
          <w:rFonts w:hint="eastAsia" w:eastAsia="方正仿宋_GBK"/>
          <w:b/>
          <w:bCs/>
          <w:sz w:val="32"/>
          <w:szCs w:val="32"/>
        </w:rPr>
        <w:t>加强支出管理。</w:t>
      </w:r>
      <w:r>
        <w:rPr>
          <w:rFonts w:hint="eastAsia" w:eastAsia="方正仿宋_GBK"/>
          <w:sz w:val="32"/>
          <w:szCs w:val="32"/>
        </w:rPr>
        <w:t>通过优化支出结构、编细编实预算、加快履行政府采购手续、尽快启动项目、及时支付资金、6月底前细化代编预算、按规定及时下达资金等多种措施，确保支出进度达标。</w:t>
      </w:r>
    </w:p>
    <w:p>
      <w:pPr>
        <w:spacing w:line="580" w:lineRule="exact"/>
        <w:ind w:firstLine="630"/>
        <w:rPr>
          <w:rFonts w:hint="eastAsia" w:eastAsia="方正仿宋_GBK"/>
          <w:sz w:val="32"/>
          <w:szCs w:val="32"/>
        </w:rPr>
      </w:pPr>
      <w:r>
        <w:rPr>
          <w:rFonts w:hint="eastAsia" w:eastAsia="方正仿宋_GBK"/>
          <w:b/>
          <w:bCs/>
          <w:sz w:val="32"/>
          <w:szCs w:val="32"/>
        </w:rPr>
        <w:t>加强绩效运行监控。</w:t>
      </w:r>
      <w:r>
        <w:rPr>
          <w:rFonts w:hint="eastAsia" w:eastAsia="方正仿宋_GBK"/>
          <w:sz w:val="32"/>
          <w:szCs w:val="32"/>
        </w:rPr>
        <w:t>按要求开展各个项目资金绩效运行监控，发现问题及时采取措施，确保绩效目标如期保质实现。</w:t>
      </w:r>
    </w:p>
    <w:p>
      <w:pPr>
        <w:spacing w:line="580" w:lineRule="exact"/>
        <w:ind w:firstLine="630"/>
        <w:rPr>
          <w:rFonts w:hint="eastAsia" w:eastAsia="方正仿宋_GBK"/>
          <w:sz w:val="32"/>
          <w:szCs w:val="32"/>
        </w:rPr>
      </w:pPr>
      <w:r>
        <w:rPr>
          <w:rFonts w:hint="eastAsia" w:eastAsia="方正仿宋_GBK"/>
          <w:b/>
          <w:bCs/>
          <w:sz w:val="32"/>
          <w:szCs w:val="32"/>
        </w:rPr>
        <w:t>做好绩效自评。</w:t>
      </w:r>
      <w:r>
        <w:rPr>
          <w:rFonts w:hint="eastAsia" w:eastAsia="方正仿宋_GBK"/>
          <w:sz w:val="32"/>
          <w:szCs w:val="32"/>
        </w:rPr>
        <w:t>按要求开展上年度部门预算绩效自评和重点评价工作，对评价中发现的问题及时整改，调整优化支出结构，提高财政资金使用效益。</w:t>
      </w:r>
    </w:p>
    <w:p>
      <w:pPr>
        <w:spacing w:line="580" w:lineRule="exact"/>
        <w:ind w:firstLine="630"/>
        <w:rPr>
          <w:rFonts w:hint="eastAsia" w:eastAsia="方正仿宋_GBK"/>
          <w:sz w:val="32"/>
          <w:szCs w:val="32"/>
        </w:rPr>
      </w:pPr>
      <w:r>
        <w:rPr>
          <w:rFonts w:hint="eastAsia" w:eastAsia="方正仿宋_GBK"/>
          <w:b/>
          <w:bCs/>
          <w:sz w:val="32"/>
          <w:szCs w:val="32"/>
        </w:rPr>
        <w:t>规范财务资产管理。</w:t>
      </w:r>
      <w:r>
        <w:rPr>
          <w:rFonts w:hint="eastAsia" w:eastAsia="方正仿宋_GBK"/>
          <w:sz w:val="32"/>
          <w:szCs w:val="32"/>
        </w:rPr>
        <w:t>完善财务管理制度，严格审批程序，加强固定资产登记、使用和报废处置管理，做到支出合理，物尽其用。</w:t>
      </w:r>
    </w:p>
    <w:p>
      <w:pPr>
        <w:spacing w:line="580" w:lineRule="exact"/>
        <w:ind w:firstLine="630"/>
        <w:rPr>
          <w:rFonts w:hint="eastAsia" w:eastAsia="方正仿宋_GBK"/>
          <w:b/>
          <w:bCs/>
          <w:sz w:val="32"/>
          <w:szCs w:val="32"/>
        </w:rPr>
      </w:pPr>
      <w:r>
        <w:rPr>
          <w:rFonts w:hint="eastAsia" w:eastAsia="方正仿宋_GBK"/>
          <w:b/>
          <w:bCs/>
          <w:sz w:val="32"/>
          <w:szCs w:val="32"/>
        </w:rPr>
        <w:t>加强内部监督。</w:t>
      </w:r>
      <w:r>
        <w:rPr>
          <w:rFonts w:hint="eastAsia" w:eastAsia="方正仿宋_GBK"/>
          <w:sz w:val="32"/>
          <w:szCs w:val="32"/>
        </w:rPr>
        <w:t>加强内部监督制度建设，我局成立内审机构，对绩效运行情况、重大支出决策、对外投资、资产处置及其他重要经济业务事项的决策和执行进行督导，对会计资料进行内部审计，并配合做好审计、财政监督等外部监督工作，确保财政资金安全有效。</w:t>
      </w:r>
    </w:p>
    <w:p>
      <w:pPr>
        <w:spacing w:line="500" w:lineRule="exact"/>
        <w:ind w:firstLine="643" w:firstLineChars="200"/>
        <w:jc w:val="left"/>
        <w:rPr>
          <w:rFonts w:hint="eastAsia" w:ascii="仿宋_GB2312" w:hAnsi="仿宋_GB2312" w:eastAsia="仿宋_GB2312"/>
          <w:sz w:val="32"/>
          <w:szCs w:val="32"/>
        </w:rPr>
      </w:pPr>
      <w:r>
        <w:rPr>
          <w:rFonts w:hint="eastAsia" w:eastAsia="方正仿宋_GBK"/>
          <w:b/>
          <w:bCs/>
          <w:sz w:val="32"/>
          <w:szCs w:val="32"/>
        </w:rPr>
        <w:t>加强宣传培训调研等。</w:t>
      </w:r>
      <w:r>
        <w:rPr>
          <w:rFonts w:hint="eastAsia" w:eastAsia="方正仿宋_GBK"/>
          <w:sz w:val="32"/>
          <w:szCs w:val="32"/>
        </w:rPr>
        <w:t>1、对食品安全监管人员特别是基层执法人员参加食品安全相关内容培训。2、食品生产经营单位负责人、食品安全管理人员、主要从业人员参加食品安全法律法规、科技知识和行业道德伦理的集中培训。</w:t>
      </w:r>
    </w:p>
    <w:p>
      <w:pPr>
        <w:spacing w:line="580" w:lineRule="exact"/>
        <w:ind w:firstLine="630"/>
        <w:rPr>
          <w:rFonts w:hint="eastAsia" w:ascii="方正小标宋_GBK" w:eastAsia="方正小标宋_GBK"/>
          <w:sz w:val="44"/>
          <w:szCs w:val="44"/>
        </w:rPr>
      </w:pPr>
      <w:r>
        <w:rPr>
          <w:rFonts w:hint="eastAsia" w:eastAsia="方正仿宋_GBK"/>
          <w:sz w:val="32"/>
          <w:szCs w:val="32"/>
        </w:rPr>
        <w:t>加强人员培训，提高本部门职工业务素质；加强调研，提出优化财政资金配置、提高资金使用效益的意见；加大宣传力度，强化预算绩效管理意识，促进预算绩效管理水平进一步提升。</w:t>
      </w:r>
    </w:p>
    <w:p>
      <w:pPr>
        <w:numPr>
          <w:ilvl w:val="0"/>
          <w:numId w:val="0"/>
        </w:numPr>
        <w:spacing w:line="240" w:lineRule="auto"/>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三、各项绩效目标的实现程度及差异性原因分析。</w:t>
      </w:r>
    </w:p>
    <w:p>
      <w:pPr>
        <w:numPr>
          <w:ilvl w:val="0"/>
          <w:numId w:val="0"/>
        </w:numPr>
        <w:spacing w:line="240" w:lineRule="auto"/>
        <w:ind w:leftChars="200"/>
        <w:rPr>
          <w:rFonts w:hint="eastAsia" w:ascii="仿宋" w:hAnsi="仿宋" w:eastAsia="仿宋" w:cs="仿宋"/>
          <w:bCs/>
          <w:color w:val="000000"/>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bCs/>
          <w:color w:val="000000"/>
          <w:sz w:val="32"/>
          <w:szCs w:val="32"/>
        </w:rPr>
        <w:t xml:space="preserve"> 各项绩效目标均按照预期实现。</w:t>
      </w:r>
    </w:p>
    <w:p>
      <w:pPr>
        <w:spacing w:line="600" w:lineRule="exact"/>
        <w:ind w:firstLine="640" w:firstLineChars="200"/>
        <w:rPr>
          <w:rFonts w:hint="eastAsia" w:ascii="黑体" w:hAnsi="黑体" w:eastAsia="黑体" w:cs="黑体"/>
          <w:bCs/>
          <w:color w:val="000000"/>
          <w:sz w:val="32"/>
          <w:szCs w:val="32"/>
        </w:rPr>
      </w:pPr>
      <w:r>
        <w:rPr>
          <w:rFonts w:hint="eastAsia" w:ascii="黑体" w:hAnsi="黑体" w:eastAsia="黑体" w:cs="黑体"/>
          <w:bCs/>
          <w:color w:val="000000"/>
          <w:sz w:val="32"/>
          <w:szCs w:val="32"/>
          <w:lang w:eastAsia="zh-CN"/>
        </w:rPr>
        <w:t>四</w:t>
      </w:r>
      <w:r>
        <w:rPr>
          <w:rFonts w:hint="eastAsia" w:ascii="黑体" w:hAnsi="黑体" w:eastAsia="黑体" w:cs="黑体"/>
          <w:bCs/>
          <w:color w:val="000000"/>
          <w:sz w:val="32"/>
          <w:szCs w:val="32"/>
        </w:rPr>
        <w:t>、存在问题、采取的纠偏措施及改进绩效管理建议</w:t>
      </w:r>
    </w:p>
    <w:p>
      <w:pPr>
        <w:spacing w:line="600" w:lineRule="exact"/>
        <w:ind w:firstLine="640" w:firstLineChars="200"/>
        <w:rPr>
          <w:rFonts w:hint="eastAsia" w:ascii="仿宋" w:hAnsi="仿宋" w:eastAsia="仿宋" w:cs="仿宋"/>
          <w:bCs/>
          <w:color w:val="000000"/>
          <w:sz w:val="32"/>
          <w:szCs w:val="32"/>
        </w:rPr>
      </w:pPr>
      <w:r>
        <w:rPr>
          <w:rFonts w:hint="eastAsia" w:ascii="仿宋" w:hAnsi="仿宋" w:eastAsia="仿宋" w:cs="仿宋"/>
          <w:color w:val="000000"/>
          <w:sz w:val="32"/>
          <w:szCs w:val="32"/>
          <w:shd w:val="clear" w:color="auto" w:fill="FFFFFF"/>
        </w:rPr>
        <w:t>我</w:t>
      </w:r>
      <w:r>
        <w:rPr>
          <w:rFonts w:hint="eastAsia" w:ascii="仿宋" w:hAnsi="仿宋" w:eastAsia="仿宋" w:cs="仿宋"/>
          <w:color w:val="000000"/>
          <w:sz w:val="32"/>
          <w:szCs w:val="32"/>
          <w:shd w:val="clear" w:color="auto" w:fill="FFFFFF"/>
          <w:lang w:eastAsia="zh-CN"/>
        </w:rPr>
        <w:t>局</w:t>
      </w:r>
      <w:r>
        <w:rPr>
          <w:rFonts w:hint="eastAsia" w:ascii="仿宋" w:hAnsi="仿宋" w:eastAsia="仿宋" w:cs="仿宋"/>
          <w:color w:val="000000"/>
          <w:sz w:val="32"/>
          <w:szCs w:val="32"/>
          <w:shd w:val="clear" w:color="auto" w:fill="FFFFFF"/>
        </w:rPr>
        <w:t>各项绩效评估指标已全部完成，取得了较好的成绩，但在实际工作中还存在一些问题，</w:t>
      </w:r>
      <w:r>
        <w:rPr>
          <w:rFonts w:hint="eastAsia" w:ascii="仿宋" w:hAnsi="仿宋" w:eastAsia="仿宋" w:cs="仿宋"/>
          <w:bCs/>
          <w:color w:val="000000"/>
          <w:sz w:val="32"/>
          <w:szCs w:val="32"/>
        </w:rPr>
        <w:t>主要是</w:t>
      </w:r>
      <w:r>
        <w:rPr>
          <w:rFonts w:hint="eastAsia" w:ascii="仿宋" w:hAnsi="仿宋" w:eastAsia="仿宋" w:cs="仿宋"/>
          <w:color w:val="000000"/>
          <w:kern w:val="0"/>
          <w:sz w:val="32"/>
          <w:szCs w:val="32"/>
          <w:shd w:val="clear" w:color="auto" w:fill="FFFFFF"/>
          <w:lang w:bidi="ar"/>
        </w:rPr>
        <w:t>对预算绩效工作重视不够，</w:t>
      </w:r>
      <w:r>
        <w:rPr>
          <w:rFonts w:hint="eastAsia" w:ascii="仿宋" w:hAnsi="仿宋" w:eastAsia="仿宋" w:cs="仿宋"/>
          <w:bCs/>
          <w:color w:val="000000"/>
          <w:sz w:val="32"/>
          <w:szCs w:val="32"/>
        </w:rPr>
        <w:t>预算执行中缺乏有效的动态监督，导致资金在使用过程中出现偏差。</w:t>
      </w:r>
    </w:p>
    <w:p>
      <w:pPr>
        <w:spacing w:line="600" w:lineRule="exact"/>
        <w:ind w:firstLine="640" w:firstLineChars="200"/>
        <w:rPr>
          <w:rFonts w:hint="eastAsia" w:ascii="仿宋" w:hAnsi="仿宋" w:eastAsia="仿宋" w:cs="仿宋"/>
          <w:bCs/>
          <w:color w:val="000000"/>
          <w:sz w:val="32"/>
          <w:szCs w:val="32"/>
        </w:rPr>
      </w:pPr>
      <w:r>
        <w:rPr>
          <w:rFonts w:hint="eastAsia" w:ascii="仿宋" w:hAnsi="仿宋" w:eastAsia="仿宋" w:cs="仿宋"/>
          <w:bCs/>
          <w:color w:val="000000"/>
          <w:sz w:val="32"/>
          <w:szCs w:val="32"/>
        </w:rPr>
        <w:t>下一步，我们将加强绩效目标的刚性约束，建立绩效目标考评体系，提升绩效管理水平，及时跟踪问效，实现全程可查询、可追溯、可控制，且今后预算编制时会更加精细，资金支出严格按照预算执行。</w:t>
      </w:r>
    </w:p>
    <w:p>
      <w:pPr>
        <w:numPr>
          <w:ilvl w:val="0"/>
          <w:numId w:val="0"/>
        </w:numPr>
        <w:spacing w:line="240" w:lineRule="auto"/>
        <w:ind w:leftChars="200"/>
        <w:rPr>
          <w:rFonts w:hint="default" w:ascii="仿宋" w:hAnsi="仿宋" w:eastAsia="仿宋" w:cs="仿宋"/>
          <w:bCs/>
          <w:color w:val="000000"/>
          <w:sz w:val="32"/>
          <w:szCs w:val="32"/>
          <w:lang w:val="en-US" w:eastAsia="zh-CN"/>
        </w:rPr>
      </w:pPr>
    </w:p>
    <w:p>
      <w:pPr>
        <w:numPr>
          <w:ilvl w:val="0"/>
          <w:numId w:val="0"/>
        </w:numPr>
        <w:spacing w:line="240" w:lineRule="auto"/>
        <w:ind w:leftChars="200"/>
        <w:rPr>
          <w:rFonts w:hint="default" w:ascii="仿宋" w:hAnsi="仿宋" w:eastAsia="仿宋" w:cs="仿宋"/>
          <w:bCs/>
          <w:color w:val="000000"/>
          <w:sz w:val="32"/>
          <w:szCs w:val="32"/>
          <w:lang w:val="en-US" w:eastAsia="zh-CN"/>
        </w:rPr>
      </w:pPr>
    </w:p>
    <w:p>
      <w:pPr>
        <w:numPr>
          <w:ilvl w:val="0"/>
          <w:numId w:val="0"/>
        </w:numPr>
        <w:spacing w:line="240" w:lineRule="auto"/>
        <w:ind w:leftChars="200"/>
        <w:rPr>
          <w:rFonts w:hint="default" w:ascii="仿宋" w:hAnsi="仿宋" w:eastAsia="仿宋" w:cs="仿宋"/>
          <w:bCs/>
          <w:color w:val="000000"/>
          <w:sz w:val="32"/>
          <w:szCs w:val="32"/>
          <w:lang w:val="en-US" w:eastAsia="zh-CN"/>
        </w:rPr>
      </w:pPr>
    </w:p>
    <w:p>
      <w:pPr>
        <w:spacing w:line="480" w:lineRule="exact"/>
        <w:jc w:val="both"/>
        <w:rPr>
          <w:rFonts w:ascii="仿宋" w:hAnsi="仿宋" w:eastAsia="仿宋" w:cs="仿宋"/>
          <w:sz w:val="32"/>
          <w:szCs w:val="32"/>
        </w:rPr>
      </w:pPr>
      <w:r>
        <w:rPr>
          <w:rFonts w:hint="eastAsia" w:ascii="宋体" w:hAnsi="宋体"/>
          <w:b/>
          <w:sz w:val="44"/>
          <w:szCs w:val="44"/>
          <w:lang w:val="en-US" w:eastAsia="zh-CN"/>
        </w:rPr>
        <w:t>二、</w:t>
      </w:r>
      <w:r>
        <w:rPr>
          <w:rFonts w:hint="eastAsia" w:ascii="宋体" w:hAnsi="宋体"/>
          <w:b/>
          <w:sz w:val="44"/>
          <w:szCs w:val="44"/>
        </w:rPr>
        <w:t>部门整体支出绩效评价</w:t>
      </w:r>
      <w:r>
        <w:rPr>
          <w:rFonts w:hint="eastAsia" w:ascii="宋体" w:hAnsi="宋体" w:eastAsia="宋体" w:cs="宋体"/>
          <w:b/>
          <w:color w:val="000000"/>
          <w:kern w:val="0"/>
          <w:sz w:val="44"/>
          <w:szCs w:val="44"/>
          <w:shd w:val="clear" w:color="auto" w:fill="FFFFFF"/>
          <w:lang w:bidi="ar"/>
        </w:rPr>
        <w:t>指标体系评分表</w:t>
      </w:r>
    </w:p>
    <w:tbl>
      <w:tblPr>
        <w:tblStyle w:val="8"/>
        <w:tblW w:w="937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9"/>
        <w:gridCol w:w="743"/>
        <w:gridCol w:w="1275"/>
        <w:gridCol w:w="3436"/>
        <w:gridCol w:w="2373"/>
        <w:gridCol w:w="7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9"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b/>
              </w:rPr>
            </w:pPr>
            <w:r>
              <w:rPr>
                <w:rFonts w:ascii="仿宋_GB2312" w:hAnsi="新宋体" w:eastAsia="仿宋_GB2312" w:cs="仿宋_GB2312"/>
                <w:b/>
                <w:kern w:val="0"/>
                <w:sz w:val="24"/>
                <w:szCs w:val="24"/>
                <w:lang w:bidi="ar"/>
              </w:rPr>
              <w:t>一级指标</w:t>
            </w: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b/>
              </w:rPr>
            </w:pPr>
            <w:r>
              <w:rPr>
                <w:rFonts w:ascii="仿宋_GB2312" w:hAnsi="新宋体" w:eastAsia="仿宋_GB2312" w:cs="仿宋_GB2312"/>
                <w:b/>
                <w:kern w:val="0"/>
                <w:sz w:val="24"/>
                <w:szCs w:val="24"/>
                <w:lang w:bidi="ar"/>
              </w:rPr>
              <w:t>二级指标</w:t>
            </w:r>
          </w:p>
        </w:tc>
        <w:tc>
          <w:tcPr>
            <w:tcW w:w="4711" w:type="dxa"/>
            <w:gridSpan w:val="2"/>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center"/>
              <w:rPr>
                <w:b/>
              </w:rPr>
            </w:pPr>
            <w:r>
              <w:rPr>
                <w:rFonts w:ascii="仿宋_GB2312" w:hAnsi="新宋体" w:eastAsia="仿宋_GB2312" w:cs="仿宋_GB2312"/>
                <w:b/>
                <w:kern w:val="0"/>
                <w:sz w:val="24"/>
                <w:szCs w:val="24"/>
                <w:lang w:bidi="ar"/>
              </w:rPr>
              <w:t>三级指标</w:t>
            </w:r>
          </w:p>
        </w:tc>
        <w:tc>
          <w:tcPr>
            <w:tcW w:w="2373" w:type="dxa"/>
            <w:vMerge w:val="restart"/>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center"/>
              <w:rPr>
                <w:b/>
              </w:rPr>
            </w:pPr>
            <w:r>
              <w:rPr>
                <w:rFonts w:ascii="仿宋_GB2312" w:hAnsi="新宋体" w:eastAsia="仿宋_GB2312" w:cs="仿宋_GB2312"/>
                <w:b/>
                <w:kern w:val="0"/>
                <w:sz w:val="24"/>
                <w:szCs w:val="24"/>
                <w:lang w:bidi="ar"/>
              </w:rPr>
              <w:t>评分标准</w:t>
            </w:r>
          </w:p>
        </w:tc>
        <w:tc>
          <w:tcPr>
            <w:tcW w:w="764" w:type="dxa"/>
            <w:vMerge w:val="restart"/>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b/>
              </w:rPr>
            </w:pPr>
            <w:r>
              <w:rPr>
                <w:rFonts w:ascii="仿宋_GB2312" w:hAnsi="新宋体" w:eastAsia="仿宋_GB2312" w:cs="仿宋_GB2312"/>
                <w:b/>
                <w:kern w:val="0"/>
                <w:sz w:val="24"/>
                <w:szCs w:val="24"/>
                <w:lang w:bidi="ar"/>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4"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center"/>
              <w:rPr>
                <w:b/>
              </w:rPr>
            </w:pPr>
            <w:r>
              <w:rPr>
                <w:rFonts w:ascii="仿宋_GB2312" w:hAnsi="新宋体" w:eastAsia="仿宋_GB2312" w:cs="仿宋_GB2312"/>
                <w:b/>
                <w:kern w:val="0"/>
                <w:sz w:val="24"/>
                <w:szCs w:val="24"/>
                <w:lang w:bidi="ar"/>
              </w:rPr>
              <w:t>指标名称</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center"/>
              <w:rPr>
                <w:b/>
              </w:rPr>
            </w:pPr>
            <w:r>
              <w:rPr>
                <w:rFonts w:ascii="仿宋_GB2312" w:hAnsi="新宋体" w:eastAsia="仿宋_GB2312" w:cs="仿宋_GB2312"/>
                <w:b/>
                <w:kern w:val="0"/>
                <w:sz w:val="24"/>
                <w:szCs w:val="24"/>
                <w:lang w:bidi="ar"/>
              </w:rPr>
              <w:t>指标解释说明</w:t>
            </w:r>
          </w:p>
        </w:tc>
        <w:tc>
          <w:tcPr>
            <w:tcW w:w="2373" w:type="dxa"/>
            <w:vMerge w:val="continue"/>
            <w:tcBorders>
              <w:top w:val="single" w:color="000000" w:sz="4" w:space="0"/>
              <w:left w:val="single" w:color="auto" w:sz="4" w:space="0"/>
              <w:bottom w:val="single" w:color="000000" w:sz="4" w:space="0"/>
              <w:right w:val="single" w:color="auto" w:sz="4" w:space="0"/>
            </w:tcBorders>
            <w:vAlign w:val="center"/>
          </w:tcPr>
          <w:p>
            <w:pPr>
              <w:rPr>
                <w:rFonts w:ascii="宋体"/>
                <w:szCs w:val="21"/>
              </w:rPr>
            </w:pPr>
          </w:p>
        </w:tc>
        <w:tc>
          <w:tcPr>
            <w:tcW w:w="764" w:type="dxa"/>
            <w:vMerge w:val="continue"/>
            <w:tcBorders>
              <w:top w:val="single" w:color="000000" w:sz="4" w:space="0"/>
              <w:left w:val="single" w:color="auto" w:sz="4" w:space="0"/>
              <w:bottom w:val="single" w:color="000000" w:sz="4" w:space="0"/>
              <w:right w:val="single" w:color="auto" w:sz="4" w:space="0"/>
            </w:tcBorders>
            <w:vAlign w:val="center"/>
          </w:tcPr>
          <w:p>
            <w:pP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8"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投入（1</w:t>
            </w:r>
            <w:r>
              <w:rPr>
                <w:rFonts w:hint="eastAsia" w:ascii="仿宋_GB2312" w:hAnsi="新宋体" w:eastAsia="仿宋_GB2312" w:cs="仿宋_GB2312"/>
                <w:kern w:val="0"/>
                <w:szCs w:val="21"/>
                <w:lang w:bidi="ar"/>
              </w:rPr>
              <w:t>0</w:t>
            </w:r>
            <w:r>
              <w:rPr>
                <w:rFonts w:ascii="仿宋_GB2312" w:hAnsi="新宋体" w:eastAsia="仿宋_GB2312" w:cs="仿宋_GB2312"/>
                <w:kern w:val="0"/>
                <w:szCs w:val="21"/>
                <w:lang w:bidi="ar"/>
              </w:rPr>
              <w:t>）</w:t>
            </w: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szCs w:val="21"/>
              </w:rPr>
            </w:pPr>
            <w:r>
              <w:rPr>
                <w:rFonts w:hint="eastAsia" w:ascii="仿宋_GB2312" w:hAnsi="新宋体" w:eastAsia="仿宋_GB2312" w:cs="仿宋_GB2312"/>
                <w:kern w:val="0"/>
                <w:szCs w:val="21"/>
                <w:lang w:bidi="ar"/>
              </w:rPr>
              <w:t>绩效</w:t>
            </w:r>
            <w:r>
              <w:rPr>
                <w:rFonts w:ascii="仿宋_GB2312" w:hAnsi="新宋体" w:eastAsia="仿宋_GB2312" w:cs="仿宋_GB2312"/>
                <w:kern w:val="0"/>
                <w:szCs w:val="21"/>
                <w:lang w:bidi="ar"/>
              </w:rPr>
              <w:t>目标设定</w:t>
            </w:r>
            <w:r>
              <w:rPr>
                <w:rFonts w:hint="eastAsia" w:ascii="仿宋_GB2312" w:hAnsi="新宋体" w:eastAsia="仿宋_GB2312" w:cs="仿宋_GB2312"/>
                <w:kern w:val="0"/>
                <w:szCs w:val="21"/>
                <w:lang w:bidi="ar"/>
              </w:rPr>
              <w:t>情况</w:t>
            </w:r>
          </w:p>
          <w:p>
            <w:pPr>
              <w:widowControl/>
              <w:spacing w:line="240" w:lineRule="exact"/>
              <w:jc w:val="left"/>
              <w:rPr>
                <w:color w:val="FF0000"/>
                <w:szCs w:val="21"/>
              </w:rPr>
            </w:pPr>
            <w:r>
              <w:rPr>
                <w:rFonts w:ascii="仿宋_GB2312" w:hAnsi="新宋体" w:eastAsia="仿宋_GB2312" w:cs="仿宋_GB2312"/>
                <w:kern w:val="0"/>
                <w:szCs w:val="21"/>
                <w:lang w:bidi="ar"/>
              </w:rPr>
              <w:t>（5</w:t>
            </w:r>
            <w:r>
              <w:rPr>
                <w:rFonts w:hint="eastAsia" w:ascii="仿宋_GB2312" w:hAnsi="新宋体" w:eastAsia="仿宋_GB2312" w:cs="仿宋_GB2312"/>
                <w:kern w:val="0"/>
                <w:szCs w:val="21"/>
                <w:lang w:bidi="ar"/>
              </w:rPr>
              <w:t>分</w:t>
            </w:r>
            <w:r>
              <w:rPr>
                <w:rFonts w:ascii="仿宋_GB2312" w:hAnsi="新宋体" w:eastAsia="仿宋_GB2312" w:cs="仿宋_GB2312"/>
                <w:kern w:val="0"/>
                <w:szCs w:val="21"/>
                <w:lang w:bidi="ar"/>
              </w:rPr>
              <w:t>）</w:t>
            </w:r>
          </w:p>
        </w:tc>
        <w:tc>
          <w:tcPr>
            <w:tcW w:w="1275" w:type="dxa"/>
            <w:tcBorders>
              <w:top w:val="single" w:color="000000" w:sz="4" w:space="0"/>
              <w:left w:val="single" w:color="000000" w:sz="4" w:space="0"/>
              <w:bottom w:val="single" w:color="auto"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职责明确</w:t>
            </w:r>
            <w:r>
              <w:rPr>
                <w:rFonts w:hint="eastAsia" w:ascii="仿宋_GB2312" w:hAnsi="新宋体" w:eastAsia="仿宋_GB2312" w:cs="仿宋_GB2312"/>
                <w:kern w:val="0"/>
                <w:szCs w:val="21"/>
                <w:lang w:bidi="ar"/>
              </w:rPr>
              <w:t xml:space="preserve"> </w:t>
            </w:r>
            <w:r>
              <w:rPr>
                <w:rFonts w:ascii="仿宋_GB2312" w:hAnsi="新宋体" w:eastAsia="仿宋_GB2312" w:cs="仿宋_GB2312"/>
                <w:kern w:val="0"/>
                <w:szCs w:val="21"/>
                <w:lang w:bidi="ar"/>
              </w:rPr>
              <w:t>（1</w:t>
            </w:r>
            <w:r>
              <w:rPr>
                <w:rFonts w:hint="eastAsia" w:ascii="仿宋_GB2312" w:hAnsi="新宋体" w:eastAsia="仿宋_GB2312" w:cs="仿宋_GB2312"/>
                <w:kern w:val="0"/>
                <w:szCs w:val="21"/>
                <w:lang w:bidi="ar"/>
              </w:rPr>
              <w:t>分</w:t>
            </w:r>
            <w:r>
              <w:rPr>
                <w:rFonts w:ascii="仿宋_GB2312" w:hAnsi="新宋体" w:eastAsia="仿宋_GB2312" w:cs="仿宋_GB2312"/>
                <w:kern w:val="0"/>
                <w:szCs w:val="21"/>
                <w:lang w:bidi="ar"/>
              </w:rPr>
              <w:t>）</w:t>
            </w:r>
          </w:p>
        </w:tc>
        <w:tc>
          <w:tcPr>
            <w:tcW w:w="3436"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部门的职责设定是否符合“三定”方案中所赋予的职责，用以反映和评价部门工作的目的性与计划性。</w:t>
            </w:r>
          </w:p>
        </w:tc>
        <w:tc>
          <w:tcPr>
            <w:tcW w:w="2373"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符合（1）；</w:t>
            </w:r>
          </w:p>
          <w:p>
            <w:pPr>
              <w:widowControl/>
              <w:spacing w:line="240" w:lineRule="exact"/>
              <w:jc w:val="left"/>
              <w:rPr>
                <w:szCs w:val="21"/>
              </w:rPr>
            </w:pPr>
            <w:r>
              <w:rPr>
                <w:rFonts w:ascii="仿宋_GB2312" w:hAnsi="新宋体" w:eastAsia="仿宋_GB2312" w:cs="仿宋_GB2312"/>
                <w:kern w:val="0"/>
                <w:szCs w:val="21"/>
                <w:lang w:bidi="ar"/>
              </w:rPr>
              <w:t>不符合（0）。</w:t>
            </w:r>
          </w:p>
        </w:tc>
        <w:tc>
          <w:tcPr>
            <w:tcW w:w="764" w:type="dxa"/>
            <w:tcBorders>
              <w:top w:val="single" w:color="000000" w:sz="4" w:space="0"/>
              <w:left w:val="single" w:color="auto" w:sz="4" w:space="0"/>
              <w:bottom w:val="single" w:color="auto" w:sz="4" w:space="0"/>
              <w:right w:val="single" w:color="000000" w:sz="4" w:space="0"/>
            </w:tcBorders>
            <w:vAlign w:val="center"/>
          </w:tcPr>
          <w:p>
            <w:pPr>
              <w:widowControl/>
              <w:spacing w:line="240" w:lineRule="exact"/>
              <w:jc w:val="left"/>
              <w:rPr>
                <w:rFonts w:hint="eastAsia" w:eastAsiaTheme="minorEastAsia"/>
                <w:szCs w:val="21"/>
                <w:lang w:val="en-US" w:eastAsia="zh-CN"/>
              </w:rPr>
            </w:pPr>
            <w:r>
              <w:rPr>
                <w:rFonts w:hint="eastAsia"/>
                <w:szCs w:val="21"/>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34"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1275" w:type="dxa"/>
            <w:tcBorders>
              <w:top w:val="single" w:color="000000" w:sz="4" w:space="0"/>
              <w:left w:val="single" w:color="000000" w:sz="4" w:space="0"/>
              <w:bottom w:val="single" w:color="auto"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活动合规性（2</w:t>
            </w:r>
            <w:r>
              <w:rPr>
                <w:rFonts w:hint="eastAsia" w:ascii="仿宋_GB2312" w:hAnsi="新宋体" w:eastAsia="仿宋_GB2312" w:cs="仿宋_GB2312"/>
                <w:kern w:val="0"/>
                <w:szCs w:val="21"/>
                <w:lang w:bidi="ar"/>
              </w:rPr>
              <w:t>分</w:t>
            </w:r>
            <w:r>
              <w:rPr>
                <w:rFonts w:ascii="仿宋_GB2312" w:hAnsi="新宋体" w:eastAsia="仿宋_GB2312" w:cs="仿宋_GB2312"/>
                <w:kern w:val="0"/>
                <w:szCs w:val="21"/>
                <w:lang w:bidi="ar"/>
              </w:rPr>
              <w:t>）</w:t>
            </w:r>
          </w:p>
        </w:tc>
        <w:tc>
          <w:tcPr>
            <w:tcW w:w="3436"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部门的活动是否在职责范围之内并符合部门中长期规划，用以反映和评价部门活动目标与部门履职、年度工作任务的相符性情况。</w:t>
            </w:r>
          </w:p>
          <w:p>
            <w:pPr>
              <w:widowControl/>
              <w:spacing w:line="240" w:lineRule="exact"/>
              <w:jc w:val="left"/>
              <w:rPr>
                <w:szCs w:val="21"/>
              </w:rPr>
            </w:pPr>
            <w:r>
              <w:rPr>
                <w:rFonts w:ascii="仿宋_GB2312" w:hAnsi="新宋体" w:eastAsia="仿宋_GB2312" w:cs="仿宋_GB2312"/>
                <w:kern w:val="0"/>
                <w:szCs w:val="21"/>
                <w:lang w:bidi="ar"/>
              </w:rPr>
              <w:t>评价要点：</w:t>
            </w:r>
          </w:p>
          <w:p>
            <w:pPr>
              <w:widowControl/>
              <w:spacing w:line="240" w:lineRule="exact"/>
              <w:jc w:val="left"/>
              <w:rPr>
                <w:szCs w:val="21"/>
              </w:rPr>
            </w:pPr>
            <w:r>
              <w:rPr>
                <w:rFonts w:ascii="仿宋_GB2312" w:hAnsi="新宋体" w:eastAsia="仿宋_GB2312" w:cs="仿宋_GB2312"/>
                <w:kern w:val="0"/>
                <w:szCs w:val="21"/>
                <w:lang w:bidi="ar"/>
              </w:rPr>
              <w:t>1.部门活动的设定在部门所确定的职责范围之内；</w:t>
            </w:r>
          </w:p>
          <w:p>
            <w:pPr>
              <w:widowControl/>
              <w:spacing w:line="240" w:lineRule="exact"/>
              <w:jc w:val="left"/>
              <w:rPr>
                <w:szCs w:val="21"/>
              </w:rPr>
            </w:pPr>
            <w:r>
              <w:rPr>
                <w:rFonts w:ascii="仿宋_GB2312" w:hAnsi="新宋体" w:eastAsia="仿宋_GB2312" w:cs="仿宋_GB2312"/>
                <w:kern w:val="0"/>
                <w:szCs w:val="21"/>
                <w:lang w:bidi="ar"/>
              </w:rPr>
              <w:t>2.部门活动符合</w:t>
            </w:r>
            <w:r>
              <w:rPr>
                <w:rFonts w:hint="eastAsia" w:ascii="仿宋_GB2312" w:hAnsi="新宋体" w:eastAsia="仿宋_GB2312" w:cs="仿宋_GB2312"/>
                <w:kern w:val="0"/>
                <w:szCs w:val="21"/>
                <w:lang w:bidi="ar"/>
              </w:rPr>
              <w:t>市</w:t>
            </w:r>
            <w:r>
              <w:rPr>
                <w:rFonts w:ascii="仿宋_GB2312" w:hAnsi="新宋体" w:eastAsia="仿宋_GB2312" w:cs="仿宋_GB2312"/>
                <w:kern w:val="0"/>
                <w:szCs w:val="21"/>
                <w:lang w:bidi="ar"/>
              </w:rPr>
              <w:t>委、</w:t>
            </w:r>
            <w:r>
              <w:rPr>
                <w:rFonts w:hint="eastAsia" w:ascii="仿宋_GB2312" w:hAnsi="新宋体" w:eastAsia="仿宋_GB2312" w:cs="仿宋_GB2312"/>
                <w:kern w:val="0"/>
                <w:szCs w:val="21"/>
                <w:lang w:bidi="ar"/>
              </w:rPr>
              <w:t>市</w:t>
            </w:r>
            <w:r>
              <w:rPr>
                <w:rFonts w:ascii="仿宋_GB2312" w:hAnsi="新宋体" w:eastAsia="仿宋_GB2312" w:cs="仿宋_GB2312"/>
                <w:kern w:val="0"/>
                <w:szCs w:val="21"/>
                <w:lang w:bidi="ar"/>
              </w:rPr>
              <w:t>政府的发展规划及本部门的年度工作安排与发展规划。</w:t>
            </w:r>
          </w:p>
        </w:tc>
        <w:tc>
          <w:tcPr>
            <w:tcW w:w="2373"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全部符合（2）；</w:t>
            </w:r>
          </w:p>
          <w:p>
            <w:pPr>
              <w:widowControl/>
              <w:spacing w:line="240" w:lineRule="exact"/>
              <w:jc w:val="left"/>
              <w:rPr>
                <w:szCs w:val="21"/>
              </w:rPr>
            </w:pPr>
            <w:r>
              <w:rPr>
                <w:rFonts w:ascii="仿宋_GB2312" w:hAnsi="新宋体" w:eastAsia="仿宋_GB2312" w:cs="仿宋_GB2312"/>
                <w:kern w:val="0"/>
                <w:szCs w:val="21"/>
                <w:lang w:bidi="ar"/>
              </w:rPr>
              <w:t>其中一项不符合（0）。</w:t>
            </w:r>
          </w:p>
        </w:tc>
        <w:tc>
          <w:tcPr>
            <w:tcW w:w="764" w:type="dxa"/>
            <w:tcBorders>
              <w:top w:val="single" w:color="000000" w:sz="4" w:space="0"/>
              <w:left w:val="single" w:color="auto" w:sz="4" w:space="0"/>
              <w:bottom w:val="single" w:color="auto" w:sz="4" w:space="0"/>
              <w:right w:val="single" w:color="000000" w:sz="4" w:space="0"/>
            </w:tcBorders>
            <w:vAlign w:val="center"/>
          </w:tcPr>
          <w:p>
            <w:pPr>
              <w:widowControl/>
              <w:spacing w:line="240" w:lineRule="exact"/>
              <w:jc w:val="left"/>
              <w:rPr>
                <w:rFonts w:hint="eastAsia" w:eastAsiaTheme="minorEastAsia"/>
                <w:szCs w:val="21"/>
                <w:lang w:val="en-US" w:eastAsia="zh-CN"/>
              </w:rPr>
            </w:pPr>
            <w:r>
              <w:rPr>
                <w:rFonts w:hint="eastAsia"/>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1275" w:type="dxa"/>
            <w:tcBorders>
              <w:top w:val="single" w:color="000000" w:sz="4" w:space="0"/>
              <w:left w:val="single" w:color="000000" w:sz="4" w:space="0"/>
              <w:bottom w:val="single" w:color="auto"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活动合理性（2</w:t>
            </w:r>
            <w:r>
              <w:rPr>
                <w:rFonts w:hint="eastAsia" w:ascii="仿宋_GB2312" w:hAnsi="新宋体" w:eastAsia="仿宋_GB2312" w:cs="仿宋_GB2312"/>
                <w:kern w:val="0"/>
                <w:szCs w:val="21"/>
                <w:lang w:bidi="ar"/>
              </w:rPr>
              <w:t>分</w:t>
            </w:r>
            <w:r>
              <w:rPr>
                <w:rFonts w:ascii="仿宋_GB2312" w:hAnsi="新宋体" w:eastAsia="仿宋_GB2312" w:cs="仿宋_GB2312"/>
                <w:kern w:val="0"/>
                <w:szCs w:val="21"/>
                <w:lang w:bidi="ar"/>
              </w:rPr>
              <w:t>）</w:t>
            </w:r>
          </w:p>
        </w:tc>
        <w:tc>
          <w:tcPr>
            <w:tcW w:w="3436"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部门所设立的活动是否明确合理、活动的关键性指标设置是否可衡量，用以反映和评价部门活动目标设定的合理性。</w:t>
            </w:r>
          </w:p>
          <w:p>
            <w:pPr>
              <w:widowControl/>
              <w:spacing w:line="240" w:lineRule="exact"/>
              <w:jc w:val="left"/>
              <w:rPr>
                <w:szCs w:val="21"/>
              </w:rPr>
            </w:pPr>
            <w:r>
              <w:rPr>
                <w:rFonts w:ascii="仿宋_GB2312" w:hAnsi="新宋体" w:eastAsia="仿宋_GB2312" w:cs="仿宋_GB2312"/>
                <w:kern w:val="0"/>
                <w:szCs w:val="21"/>
                <w:lang w:bidi="ar"/>
              </w:rPr>
              <w:t>评价要点：</w:t>
            </w:r>
          </w:p>
          <w:p>
            <w:pPr>
              <w:widowControl/>
              <w:spacing w:line="240" w:lineRule="exact"/>
              <w:jc w:val="left"/>
              <w:rPr>
                <w:szCs w:val="21"/>
              </w:rPr>
            </w:pPr>
            <w:r>
              <w:rPr>
                <w:rFonts w:ascii="仿宋_GB2312" w:hAnsi="新宋体" w:eastAsia="仿宋_GB2312" w:cs="仿宋_GB2312"/>
                <w:kern w:val="0"/>
                <w:szCs w:val="21"/>
                <w:lang w:bidi="ar"/>
              </w:rPr>
              <w:t>1.活动目标的设定是可量化的，可通过清晰、可衡量的关键指标值予以体现；</w:t>
            </w:r>
          </w:p>
          <w:p>
            <w:pPr>
              <w:widowControl/>
              <w:spacing w:line="240" w:lineRule="exact"/>
              <w:jc w:val="left"/>
              <w:rPr>
                <w:szCs w:val="21"/>
              </w:rPr>
            </w:pPr>
            <w:r>
              <w:rPr>
                <w:rFonts w:ascii="仿宋_GB2312" w:hAnsi="新宋体" w:eastAsia="仿宋_GB2312" w:cs="仿宋_GB2312"/>
                <w:kern w:val="0"/>
                <w:szCs w:val="21"/>
                <w:lang w:bidi="ar"/>
              </w:rPr>
              <w:t>2.在活动目标设定时，将关键指标明细分解为具体的达成目标与工作任务。</w:t>
            </w:r>
          </w:p>
        </w:tc>
        <w:tc>
          <w:tcPr>
            <w:tcW w:w="2373"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全部符合（2）；</w:t>
            </w:r>
          </w:p>
          <w:p>
            <w:pPr>
              <w:widowControl/>
              <w:spacing w:line="240" w:lineRule="exact"/>
              <w:jc w:val="left"/>
              <w:rPr>
                <w:szCs w:val="21"/>
              </w:rPr>
            </w:pPr>
            <w:r>
              <w:rPr>
                <w:rFonts w:ascii="仿宋_GB2312" w:hAnsi="新宋体" w:eastAsia="仿宋_GB2312" w:cs="仿宋_GB2312"/>
                <w:kern w:val="0"/>
                <w:szCs w:val="21"/>
                <w:lang w:bidi="ar"/>
              </w:rPr>
              <w:t>其中一项不符合（0）。</w:t>
            </w:r>
          </w:p>
        </w:tc>
        <w:tc>
          <w:tcPr>
            <w:tcW w:w="764" w:type="dxa"/>
            <w:tcBorders>
              <w:top w:val="single" w:color="000000" w:sz="4" w:space="0"/>
              <w:left w:val="single" w:color="auto" w:sz="4" w:space="0"/>
              <w:bottom w:val="single" w:color="auto" w:sz="4" w:space="0"/>
              <w:right w:val="single" w:color="000000" w:sz="4" w:space="0"/>
            </w:tcBorders>
            <w:vAlign w:val="center"/>
          </w:tcPr>
          <w:p>
            <w:pPr>
              <w:widowControl/>
              <w:spacing w:line="240" w:lineRule="exact"/>
              <w:jc w:val="left"/>
              <w:rPr>
                <w:rFonts w:hint="eastAsia" w:eastAsiaTheme="minorEastAsia"/>
                <w:szCs w:val="21"/>
                <w:lang w:val="en-US" w:eastAsia="zh-CN"/>
              </w:rPr>
            </w:pPr>
            <w:r>
              <w:rPr>
                <w:rFonts w:hint="eastAsia"/>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restart"/>
            <w:tcBorders>
              <w:top w:val="single" w:color="000000" w:sz="4" w:space="0"/>
              <w:left w:val="single" w:color="000000" w:sz="4" w:space="0"/>
              <w:right w:val="single" w:color="000000"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预算配置</w:t>
            </w:r>
            <w:r>
              <w:rPr>
                <w:rFonts w:hint="eastAsia" w:ascii="仿宋_GB2312" w:hAnsi="新宋体" w:eastAsia="仿宋_GB2312" w:cs="仿宋_GB2312"/>
                <w:kern w:val="0"/>
                <w:szCs w:val="21"/>
                <w:lang w:bidi="ar"/>
              </w:rPr>
              <w:t>情况</w:t>
            </w:r>
            <w:r>
              <w:rPr>
                <w:rFonts w:ascii="仿宋_GB2312" w:hAnsi="新宋体" w:eastAsia="仿宋_GB2312" w:cs="仿宋_GB2312"/>
                <w:kern w:val="0"/>
                <w:szCs w:val="21"/>
                <w:lang w:bidi="ar"/>
              </w:rPr>
              <w:t>(</w:t>
            </w:r>
            <w:r>
              <w:rPr>
                <w:rFonts w:hint="eastAsia" w:ascii="仿宋_GB2312" w:hAnsi="新宋体" w:eastAsia="仿宋_GB2312" w:cs="仿宋_GB2312"/>
                <w:kern w:val="0"/>
                <w:szCs w:val="21"/>
                <w:lang w:bidi="ar"/>
              </w:rPr>
              <w:t>5分</w:t>
            </w:r>
            <w:r>
              <w:rPr>
                <w:rFonts w:ascii="仿宋_GB2312" w:hAnsi="新宋体" w:eastAsia="仿宋_GB2312" w:cs="仿宋_GB2312"/>
                <w:kern w:val="0"/>
                <w:szCs w:val="21"/>
                <w:lang w:bidi="ar"/>
              </w:rPr>
              <w:t>)</w:t>
            </w:r>
          </w:p>
        </w:tc>
        <w:tc>
          <w:tcPr>
            <w:tcW w:w="1275" w:type="dxa"/>
            <w:tcBorders>
              <w:top w:val="single" w:color="auto" w:sz="4" w:space="0"/>
              <w:left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在职人员控制率（</w:t>
            </w:r>
            <w:r>
              <w:rPr>
                <w:rFonts w:hint="eastAsia" w:ascii="仿宋_GB2312" w:hAnsi="新宋体" w:eastAsia="仿宋_GB2312" w:cs="仿宋_GB2312"/>
                <w:kern w:val="0"/>
                <w:szCs w:val="21"/>
                <w:lang w:bidi="ar"/>
              </w:rPr>
              <w:t>1分</w:t>
            </w:r>
            <w:r>
              <w:rPr>
                <w:rFonts w:ascii="仿宋_GB2312" w:hAnsi="新宋体" w:eastAsia="仿宋_GB2312" w:cs="仿宋_GB2312"/>
                <w:kern w:val="0"/>
                <w:szCs w:val="21"/>
                <w:lang w:bidi="ar"/>
              </w:rPr>
              <w:t>）</w:t>
            </w:r>
          </w:p>
        </w:tc>
        <w:tc>
          <w:tcPr>
            <w:tcW w:w="3436" w:type="dxa"/>
            <w:tcBorders>
              <w:top w:val="single" w:color="auto" w:sz="4" w:space="0"/>
              <w:left w:val="single" w:color="auto"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部门本年度实际在职人员数与编制数的比率，用以反映和评价部门对人员成本的控制程度。</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在职人员控制率=（在职人员数/编制数）×100%。</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在职人员数：部门实际在职人数，以财政部确定的部门决算编制口径为准，由编制部门和人劳部门批复同意的临聘人员除外。</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编制数：机构编制部门核定批复的部门人员编制数。</w:t>
            </w:r>
          </w:p>
        </w:tc>
        <w:tc>
          <w:tcPr>
            <w:tcW w:w="2373" w:type="dxa"/>
            <w:tcBorders>
              <w:top w:val="single" w:color="auto" w:sz="4" w:space="0"/>
              <w:left w:val="single" w:color="auto"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1.在职人员控制率小于或等于100%的，得满分；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2.在职人员控制率大于或等于115%的，得0分；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3.在职人员控制率在100%-115%之间的，在0分和满分之间计算确定：</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得分=[max（在职人员控制率）－某部门在职人员控制率]/[max（在职人员控制率）－min（在职人员控制率）]×该指标分值。</w:t>
            </w:r>
          </w:p>
        </w:tc>
        <w:tc>
          <w:tcPr>
            <w:tcW w:w="764" w:type="dxa"/>
            <w:tcBorders>
              <w:top w:val="single" w:color="auto" w:sz="4" w:space="0"/>
              <w:left w:val="single" w:color="auto" w:sz="4" w:space="0"/>
              <w:bottom w:val="single" w:color="000000" w:sz="4" w:space="0"/>
              <w:right w:val="single" w:color="000000" w:sz="4" w:space="0"/>
            </w:tcBorders>
            <w:vAlign w:val="center"/>
          </w:tcPr>
          <w:p>
            <w:pPr>
              <w:widowControl/>
              <w:spacing w:line="240" w:lineRule="exact"/>
              <w:jc w:val="left"/>
              <w:rPr>
                <w:rFonts w:hint="eastAsia" w:eastAsiaTheme="minorEastAsia"/>
                <w:szCs w:val="21"/>
                <w:lang w:val="en-US" w:eastAsia="zh-CN"/>
              </w:rPr>
            </w:pPr>
            <w:r>
              <w:rPr>
                <w:rFonts w:hint="eastAsia"/>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9" w:type="dxa"/>
            <w:vMerge w:val="restart"/>
            <w:tcBorders>
              <w:top w:val="single" w:color="000000" w:sz="4" w:space="0"/>
              <w:left w:val="single" w:color="000000" w:sz="4" w:space="0"/>
              <w:right w:val="single" w:color="000000" w:sz="4" w:space="0"/>
            </w:tcBorders>
            <w:vAlign w:val="center"/>
          </w:tcPr>
          <w:p>
            <w:pPr>
              <w:spacing w:line="240" w:lineRule="exact"/>
              <w:rPr>
                <w:rFonts w:ascii="宋体"/>
                <w:szCs w:val="21"/>
              </w:rPr>
            </w:pPr>
          </w:p>
        </w:tc>
        <w:tc>
          <w:tcPr>
            <w:tcW w:w="743" w:type="dxa"/>
            <w:vMerge w:val="continue"/>
            <w:tcBorders>
              <w:left w:val="single" w:color="000000" w:sz="4" w:space="0"/>
              <w:right w:val="single" w:color="000000" w:sz="4" w:space="0"/>
            </w:tcBorders>
            <w:vAlign w:val="center"/>
          </w:tcPr>
          <w:p>
            <w:pPr>
              <w:widowControl/>
              <w:spacing w:line="240" w:lineRule="exact"/>
              <w:jc w:val="left"/>
              <w:rPr>
                <w:rFonts w:ascii="仿宋_GB2312" w:hAnsi="新宋体" w:eastAsia="仿宋_GB2312" w:cs="仿宋_GB2312"/>
                <w:kern w:val="0"/>
                <w:szCs w:val="21"/>
                <w:lang w:bidi="ar"/>
              </w:rPr>
            </w:pPr>
          </w:p>
        </w:tc>
        <w:tc>
          <w:tcPr>
            <w:tcW w:w="1275" w:type="dxa"/>
            <w:tcBorders>
              <w:top w:val="single" w:color="auto" w:sz="4" w:space="0"/>
              <w:left w:val="single" w:color="000000" w:sz="4" w:space="0"/>
              <w:right w:val="single" w:color="auto" w:sz="4" w:space="0"/>
            </w:tcBorders>
            <w:vAlign w:val="center"/>
          </w:tcPr>
          <w:p>
            <w:pPr>
              <w:widowControl/>
              <w:spacing w:line="240" w:lineRule="exact"/>
              <w:jc w:val="left"/>
              <w:textAlignment w:val="center"/>
              <w:rPr>
                <w:rFonts w:ascii="仿宋" w:hAnsi="仿宋" w:eastAsia="仿宋" w:cs="仿宋"/>
                <w:kern w:val="0"/>
                <w:szCs w:val="21"/>
                <w:lang w:bidi="ar"/>
              </w:rPr>
            </w:pPr>
            <w:r>
              <w:rPr>
                <w:rFonts w:hint="eastAsia" w:ascii="仿宋" w:hAnsi="仿宋" w:eastAsia="仿宋" w:cs="仿宋"/>
                <w:color w:val="000000"/>
                <w:kern w:val="0"/>
                <w:szCs w:val="21"/>
                <w:lang w:bidi="ar"/>
              </w:rPr>
              <w:t>“三公经费”变动率（2分）</w:t>
            </w:r>
          </w:p>
        </w:tc>
        <w:tc>
          <w:tcPr>
            <w:tcW w:w="3436" w:type="dxa"/>
            <w:tcBorders>
              <w:top w:val="single" w:color="auto" w:sz="4" w:space="0"/>
              <w:left w:val="single" w:color="auto" w:sz="4" w:space="0"/>
              <w:right w:val="single" w:color="auto" w:sz="4" w:space="0"/>
            </w:tcBorders>
            <w:vAlign w:val="center"/>
          </w:tcPr>
          <w:p>
            <w:pPr>
              <w:widowControl/>
              <w:spacing w:line="240" w:lineRule="exact"/>
              <w:jc w:val="left"/>
              <w:textAlignment w:val="center"/>
              <w:rPr>
                <w:rFonts w:ascii="仿宋" w:hAnsi="仿宋" w:eastAsia="仿宋" w:cs="仿宋"/>
                <w:kern w:val="0"/>
                <w:szCs w:val="21"/>
                <w:lang w:bidi="ar"/>
              </w:rPr>
            </w:pPr>
            <w:r>
              <w:rPr>
                <w:rFonts w:hint="eastAsia" w:ascii="仿宋" w:hAnsi="仿宋" w:eastAsia="仿宋" w:cs="仿宋"/>
                <w:color w:val="000000"/>
                <w:kern w:val="0"/>
                <w:szCs w:val="21"/>
                <w:lang w:bidi="ar"/>
              </w:rPr>
              <w:t>部门本年度“三公经费”预算数与上年度“三公经费”预算数的变动比率，用以反映和考核部门对控制重点行政成本的努力程度。“三公经费”变动率=[（本年度“三公经费”总额-上年度“三公经费”总额）/上年度“三公经费”总额]×100%。</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“三公经费”：年度预算安排的因公出国（境）费、公务车辆购置及运行费和公务招待费。</w:t>
            </w:r>
          </w:p>
        </w:tc>
        <w:tc>
          <w:tcPr>
            <w:tcW w:w="2373" w:type="dxa"/>
            <w:tcBorders>
              <w:top w:val="single" w:color="auto" w:sz="4" w:space="0"/>
              <w:left w:val="single" w:color="auto"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1.</w:t>
            </w:r>
            <w:r>
              <w:rPr>
                <w:rFonts w:hint="eastAsia" w:ascii="仿宋" w:hAnsi="仿宋" w:eastAsia="仿宋" w:cs="仿宋"/>
                <w:color w:val="000000"/>
                <w:kern w:val="0"/>
                <w:szCs w:val="21"/>
                <w:lang w:bidi="ar"/>
              </w:rPr>
              <w:t>“三公经费”变动率</w:t>
            </w:r>
            <w:r>
              <w:rPr>
                <w:rFonts w:ascii="仿宋_GB2312" w:hAnsi="新宋体" w:eastAsia="仿宋_GB2312" w:cs="仿宋_GB2312"/>
                <w:kern w:val="0"/>
                <w:szCs w:val="21"/>
                <w:lang w:bidi="ar"/>
              </w:rPr>
              <w:t>小于或等于</w:t>
            </w:r>
            <w:r>
              <w:rPr>
                <w:rFonts w:hint="eastAsia" w:ascii="仿宋_GB2312" w:hAnsi="新宋体" w:eastAsia="仿宋_GB2312" w:cs="仿宋_GB2312"/>
                <w:kern w:val="0"/>
                <w:szCs w:val="21"/>
                <w:lang w:bidi="ar"/>
              </w:rPr>
              <w:t>-5</w:t>
            </w:r>
            <w:r>
              <w:rPr>
                <w:rFonts w:ascii="仿宋_GB2312" w:hAnsi="新宋体" w:eastAsia="仿宋_GB2312" w:cs="仿宋_GB2312"/>
                <w:kern w:val="0"/>
                <w:szCs w:val="21"/>
                <w:lang w:bidi="ar"/>
              </w:rPr>
              <w:t>%的，得满分；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2.</w:t>
            </w:r>
            <w:r>
              <w:rPr>
                <w:rFonts w:hint="eastAsia" w:ascii="仿宋" w:hAnsi="仿宋" w:eastAsia="仿宋" w:cs="仿宋"/>
                <w:color w:val="000000"/>
                <w:kern w:val="0"/>
                <w:szCs w:val="21"/>
                <w:lang w:bidi="ar"/>
              </w:rPr>
              <w:t>“三公经费”变动率</w:t>
            </w:r>
            <w:r>
              <w:rPr>
                <w:rFonts w:ascii="仿宋_GB2312" w:hAnsi="新宋体" w:eastAsia="仿宋_GB2312" w:cs="仿宋_GB2312"/>
                <w:kern w:val="0"/>
                <w:szCs w:val="21"/>
                <w:lang w:bidi="ar"/>
              </w:rPr>
              <w:t>大于或等于1</w:t>
            </w:r>
            <w:r>
              <w:rPr>
                <w:rFonts w:hint="eastAsia" w:ascii="仿宋_GB2312" w:hAnsi="新宋体" w:eastAsia="仿宋_GB2312" w:cs="仿宋_GB2312"/>
                <w:kern w:val="0"/>
                <w:szCs w:val="21"/>
                <w:lang w:bidi="ar"/>
              </w:rPr>
              <w:t>0</w:t>
            </w:r>
            <w:r>
              <w:rPr>
                <w:rFonts w:ascii="仿宋_GB2312" w:hAnsi="新宋体" w:eastAsia="仿宋_GB2312" w:cs="仿宋_GB2312"/>
                <w:kern w:val="0"/>
                <w:szCs w:val="21"/>
                <w:lang w:bidi="ar"/>
              </w:rPr>
              <w:t>%的，得0分；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3.在职人员控制率在</w:t>
            </w:r>
            <w:r>
              <w:rPr>
                <w:rFonts w:hint="eastAsia" w:ascii="仿宋_GB2312" w:hAnsi="新宋体" w:eastAsia="仿宋_GB2312" w:cs="仿宋_GB2312"/>
                <w:kern w:val="0"/>
                <w:szCs w:val="21"/>
                <w:lang w:bidi="ar"/>
              </w:rPr>
              <w:t>-5</w:t>
            </w:r>
            <w:r>
              <w:rPr>
                <w:rFonts w:ascii="仿宋_GB2312" w:hAnsi="新宋体" w:eastAsia="仿宋_GB2312" w:cs="仿宋_GB2312"/>
                <w:kern w:val="0"/>
                <w:szCs w:val="21"/>
                <w:lang w:bidi="ar"/>
              </w:rPr>
              <w:t>%-</w:t>
            </w:r>
            <w:r>
              <w:rPr>
                <w:rFonts w:hint="eastAsia" w:ascii="仿宋_GB2312" w:hAnsi="新宋体" w:eastAsia="仿宋_GB2312" w:cs="仿宋_GB2312"/>
                <w:kern w:val="0"/>
                <w:szCs w:val="21"/>
                <w:lang w:bidi="ar"/>
              </w:rPr>
              <w:t>10</w:t>
            </w:r>
            <w:r>
              <w:rPr>
                <w:rFonts w:ascii="仿宋_GB2312" w:hAnsi="新宋体" w:eastAsia="仿宋_GB2312" w:cs="仿宋_GB2312"/>
                <w:kern w:val="0"/>
                <w:szCs w:val="21"/>
                <w:lang w:bidi="ar"/>
              </w:rPr>
              <w:t>%之间的，在0分和满分之间计算确定：</w:t>
            </w:r>
          </w:p>
          <w:p>
            <w:pPr>
              <w:widowControl/>
              <w:spacing w:line="240" w:lineRule="exact"/>
              <w:jc w:val="left"/>
              <w:textAlignment w:val="center"/>
              <w:rPr>
                <w:rFonts w:ascii="仿宋" w:hAnsi="仿宋" w:eastAsia="仿宋" w:cs="仿宋"/>
                <w:kern w:val="0"/>
                <w:szCs w:val="21"/>
                <w:lang w:bidi="ar"/>
              </w:rPr>
            </w:pPr>
            <w:r>
              <w:rPr>
                <w:rFonts w:ascii="仿宋_GB2312" w:hAnsi="新宋体" w:eastAsia="仿宋_GB2312" w:cs="仿宋_GB2312"/>
                <w:kern w:val="0"/>
                <w:szCs w:val="21"/>
                <w:lang w:bidi="ar"/>
              </w:rPr>
              <w:t>得分=[max（</w:t>
            </w:r>
            <w:r>
              <w:rPr>
                <w:rFonts w:hint="eastAsia" w:ascii="仿宋" w:hAnsi="仿宋" w:eastAsia="仿宋" w:cs="仿宋"/>
                <w:color w:val="000000"/>
                <w:kern w:val="0"/>
                <w:szCs w:val="21"/>
                <w:lang w:bidi="ar"/>
              </w:rPr>
              <w:t>“三公经费”变动率</w:t>
            </w:r>
            <w:r>
              <w:rPr>
                <w:rFonts w:ascii="仿宋_GB2312" w:hAnsi="新宋体" w:eastAsia="仿宋_GB2312" w:cs="仿宋_GB2312"/>
                <w:kern w:val="0"/>
                <w:szCs w:val="21"/>
                <w:lang w:bidi="ar"/>
              </w:rPr>
              <w:t>）－</w:t>
            </w:r>
            <w:r>
              <w:rPr>
                <w:rFonts w:hint="eastAsia" w:ascii="仿宋" w:hAnsi="仿宋" w:eastAsia="仿宋" w:cs="仿宋"/>
                <w:color w:val="000000"/>
                <w:kern w:val="0"/>
                <w:szCs w:val="21"/>
                <w:lang w:bidi="ar"/>
              </w:rPr>
              <w:t>“三公经费”变动率</w:t>
            </w:r>
            <w:r>
              <w:rPr>
                <w:rFonts w:ascii="仿宋_GB2312" w:hAnsi="新宋体" w:eastAsia="仿宋_GB2312" w:cs="仿宋_GB2312"/>
                <w:kern w:val="0"/>
                <w:szCs w:val="21"/>
                <w:lang w:bidi="ar"/>
              </w:rPr>
              <w:t>]/[max（</w:t>
            </w:r>
            <w:r>
              <w:rPr>
                <w:rFonts w:hint="eastAsia" w:ascii="仿宋" w:hAnsi="仿宋" w:eastAsia="仿宋" w:cs="仿宋"/>
                <w:color w:val="000000"/>
                <w:kern w:val="0"/>
                <w:szCs w:val="21"/>
                <w:lang w:bidi="ar"/>
              </w:rPr>
              <w:t>“三公经费”变动率</w:t>
            </w:r>
            <w:r>
              <w:rPr>
                <w:rFonts w:ascii="仿宋_GB2312" w:hAnsi="新宋体" w:eastAsia="仿宋_GB2312" w:cs="仿宋_GB2312"/>
                <w:kern w:val="0"/>
                <w:szCs w:val="21"/>
                <w:lang w:bidi="ar"/>
              </w:rPr>
              <w:t>）－min（</w:t>
            </w:r>
            <w:r>
              <w:rPr>
                <w:rFonts w:hint="eastAsia" w:ascii="仿宋" w:hAnsi="仿宋" w:eastAsia="仿宋" w:cs="仿宋"/>
                <w:color w:val="000000"/>
                <w:kern w:val="0"/>
                <w:szCs w:val="21"/>
                <w:lang w:bidi="ar"/>
              </w:rPr>
              <w:t>“三公经费”变动率</w:t>
            </w:r>
            <w:r>
              <w:rPr>
                <w:rFonts w:ascii="仿宋_GB2312" w:hAnsi="新宋体" w:eastAsia="仿宋_GB2312" w:cs="仿宋_GB2312"/>
                <w:kern w:val="0"/>
                <w:szCs w:val="21"/>
                <w:lang w:bidi="ar"/>
              </w:rPr>
              <w:t>）]×该指标分值。</w:t>
            </w:r>
          </w:p>
        </w:tc>
        <w:tc>
          <w:tcPr>
            <w:tcW w:w="764" w:type="dxa"/>
            <w:tcBorders>
              <w:top w:val="single" w:color="auto" w:sz="4" w:space="0"/>
              <w:left w:val="single" w:color="auto" w:sz="4" w:space="0"/>
              <w:bottom w:val="single" w:color="000000" w:sz="4" w:space="0"/>
              <w:right w:val="single" w:color="000000" w:sz="4" w:space="0"/>
            </w:tcBorders>
            <w:vAlign w:val="center"/>
          </w:tcPr>
          <w:p>
            <w:pPr>
              <w:widowControl/>
              <w:spacing w:line="240" w:lineRule="exact"/>
              <w:jc w:val="left"/>
              <w:rPr>
                <w:rFonts w:hint="default" w:eastAsiaTheme="minorEastAsia"/>
                <w:szCs w:val="21"/>
                <w:lang w:val="en-US" w:eastAsia="zh-CN"/>
              </w:rPr>
            </w:pPr>
            <w:r>
              <w:rPr>
                <w:rFonts w:hint="eastAsia"/>
                <w:szCs w:val="21"/>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9" w:type="dxa"/>
            <w:vMerge w:val="continue"/>
            <w:tcBorders>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left w:val="single" w:color="000000" w:sz="4" w:space="0"/>
              <w:bottom w:val="single" w:color="000000" w:sz="4" w:space="0"/>
              <w:right w:val="single" w:color="000000" w:sz="4" w:space="0"/>
            </w:tcBorders>
            <w:vAlign w:val="center"/>
          </w:tcPr>
          <w:p>
            <w:pPr>
              <w:widowControl/>
              <w:spacing w:line="240" w:lineRule="exact"/>
              <w:jc w:val="left"/>
              <w:rPr>
                <w:rFonts w:ascii="仿宋_GB2312" w:hAnsi="新宋体" w:eastAsia="仿宋_GB2312" w:cs="仿宋_GB2312"/>
                <w:kern w:val="0"/>
                <w:szCs w:val="21"/>
                <w:lang w:bidi="ar"/>
              </w:rPr>
            </w:pPr>
          </w:p>
        </w:tc>
        <w:tc>
          <w:tcPr>
            <w:tcW w:w="1275" w:type="dxa"/>
            <w:tcBorders>
              <w:top w:val="single" w:color="auto" w:sz="4" w:space="0"/>
              <w:left w:val="single" w:color="000000" w:sz="4" w:space="0"/>
              <w:right w:val="single" w:color="auto" w:sz="4" w:space="0"/>
            </w:tcBorders>
            <w:vAlign w:val="center"/>
          </w:tcPr>
          <w:p>
            <w:pPr>
              <w:widowControl/>
              <w:spacing w:line="240" w:lineRule="exact"/>
              <w:jc w:val="left"/>
              <w:textAlignment w:val="center"/>
              <w:rPr>
                <w:rFonts w:ascii="仿宋" w:hAnsi="仿宋" w:eastAsia="仿宋" w:cs="仿宋"/>
                <w:kern w:val="0"/>
                <w:szCs w:val="21"/>
                <w:lang w:bidi="ar"/>
              </w:rPr>
            </w:pPr>
            <w:r>
              <w:rPr>
                <w:rFonts w:hint="eastAsia" w:ascii="仿宋" w:hAnsi="仿宋" w:eastAsia="仿宋" w:cs="仿宋"/>
                <w:color w:val="000000"/>
                <w:kern w:val="0"/>
                <w:szCs w:val="21"/>
                <w:lang w:bidi="ar"/>
              </w:rPr>
              <w:t>重点支出安排率（2分）</w:t>
            </w:r>
          </w:p>
        </w:tc>
        <w:tc>
          <w:tcPr>
            <w:tcW w:w="3436" w:type="dxa"/>
            <w:tcBorders>
              <w:top w:val="single" w:color="auto" w:sz="4" w:space="0"/>
              <w:left w:val="single" w:color="auto" w:sz="4" w:space="0"/>
              <w:right w:val="single" w:color="auto" w:sz="4" w:space="0"/>
            </w:tcBorders>
            <w:vAlign w:val="center"/>
          </w:tcPr>
          <w:p>
            <w:pPr>
              <w:widowControl/>
              <w:spacing w:line="240" w:lineRule="exact"/>
              <w:jc w:val="left"/>
              <w:textAlignment w:val="center"/>
              <w:rPr>
                <w:rFonts w:ascii="仿宋" w:hAnsi="仿宋" w:eastAsia="仿宋" w:cs="仿宋"/>
                <w:kern w:val="0"/>
                <w:szCs w:val="21"/>
                <w:lang w:bidi="ar"/>
              </w:rPr>
            </w:pPr>
            <w:r>
              <w:rPr>
                <w:rFonts w:hint="eastAsia" w:ascii="仿宋" w:hAnsi="仿宋" w:eastAsia="仿宋" w:cs="仿宋"/>
                <w:color w:val="000000"/>
                <w:kern w:val="0"/>
                <w:szCs w:val="21"/>
                <w:lang w:bidi="ar"/>
              </w:rPr>
              <w:t>部门本年度预算安排的重点项目支出与部门项目总支出的比率，用以反映和考核部门对履行主要职责或完成重点任务的保障程度。重点支出安排率=（重点项目支出/项目总支出）×100%。</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重点项目支出：部门（单位）年度预算安排的，与本部门履职和发展密切相关、具有明显社会和经济影响、党委政府关心或社会比较关注的项目支出总额。</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项目总支出：部门（单位）年度预算安排的项目支出总额。</w:t>
            </w:r>
          </w:p>
        </w:tc>
        <w:tc>
          <w:tcPr>
            <w:tcW w:w="2373" w:type="dxa"/>
            <w:tcBorders>
              <w:top w:val="single" w:color="auto" w:sz="4" w:space="0"/>
              <w:left w:val="single" w:color="auto"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1.</w:t>
            </w:r>
            <w:r>
              <w:rPr>
                <w:rFonts w:hint="eastAsia" w:ascii="仿宋" w:hAnsi="仿宋" w:eastAsia="仿宋" w:cs="仿宋"/>
                <w:color w:val="000000"/>
                <w:kern w:val="0"/>
                <w:szCs w:val="21"/>
                <w:lang w:bidi="ar"/>
              </w:rPr>
              <w:t>重点支出安排率</w:t>
            </w:r>
            <w:r>
              <w:rPr>
                <w:rFonts w:ascii="仿宋_GB2312" w:hAnsi="新宋体" w:eastAsia="仿宋_GB2312" w:cs="仿宋_GB2312"/>
                <w:kern w:val="0"/>
                <w:szCs w:val="21"/>
                <w:lang w:bidi="ar"/>
              </w:rPr>
              <w:t>大于或等于95%的，得满分；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2.</w:t>
            </w:r>
            <w:r>
              <w:rPr>
                <w:rFonts w:hint="eastAsia" w:ascii="仿宋" w:hAnsi="仿宋" w:eastAsia="仿宋" w:cs="仿宋"/>
                <w:color w:val="000000"/>
                <w:kern w:val="0"/>
                <w:szCs w:val="21"/>
                <w:lang w:bidi="ar"/>
              </w:rPr>
              <w:t>重点支出安排率</w:t>
            </w:r>
            <w:r>
              <w:rPr>
                <w:rFonts w:ascii="仿宋_GB2312" w:hAnsi="新宋体" w:eastAsia="仿宋_GB2312" w:cs="仿宋_GB2312"/>
                <w:kern w:val="0"/>
                <w:szCs w:val="21"/>
                <w:lang w:bidi="ar"/>
              </w:rPr>
              <w:t>小于或等于85%的，得0分；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3.</w:t>
            </w:r>
            <w:r>
              <w:rPr>
                <w:rFonts w:hint="eastAsia" w:ascii="仿宋" w:hAnsi="仿宋" w:eastAsia="仿宋" w:cs="仿宋"/>
                <w:color w:val="000000"/>
                <w:kern w:val="0"/>
                <w:szCs w:val="21"/>
                <w:lang w:bidi="ar"/>
              </w:rPr>
              <w:t>重点支出安排率</w:t>
            </w:r>
            <w:r>
              <w:rPr>
                <w:rFonts w:ascii="仿宋_GB2312" w:hAnsi="新宋体" w:eastAsia="仿宋_GB2312" w:cs="仿宋_GB2312"/>
                <w:kern w:val="0"/>
                <w:szCs w:val="21"/>
                <w:lang w:bidi="ar"/>
              </w:rPr>
              <w:t>在85%-95%之间的，在0分和满分之间计算确定：</w:t>
            </w:r>
          </w:p>
          <w:p>
            <w:pPr>
              <w:widowControl/>
              <w:spacing w:line="240" w:lineRule="exact"/>
              <w:jc w:val="left"/>
              <w:textAlignment w:val="center"/>
              <w:rPr>
                <w:rFonts w:ascii="仿宋" w:hAnsi="仿宋" w:eastAsia="仿宋" w:cs="仿宋"/>
                <w:kern w:val="0"/>
                <w:szCs w:val="21"/>
                <w:lang w:bidi="ar"/>
              </w:rPr>
            </w:pPr>
            <w:r>
              <w:rPr>
                <w:rFonts w:ascii="仿宋_GB2312" w:hAnsi="新宋体" w:eastAsia="仿宋_GB2312" w:cs="仿宋_GB2312"/>
                <w:kern w:val="0"/>
                <w:szCs w:val="21"/>
                <w:lang w:bidi="ar"/>
              </w:rPr>
              <w:t>得分=[某部门</w:t>
            </w:r>
            <w:r>
              <w:rPr>
                <w:rFonts w:hint="eastAsia" w:ascii="仿宋" w:hAnsi="仿宋" w:eastAsia="仿宋" w:cs="仿宋"/>
                <w:color w:val="000000"/>
                <w:kern w:val="0"/>
                <w:szCs w:val="21"/>
                <w:lang w:bidi="ar"/>
              </w:rPr>
              <w:t>重点支出安排率</w:t>
            </w:r>
            <w:r>
              <w:rPr>
                <w:rFonts w:ascii="仿宋_GB2312" w:hAnsi="新宋体" w:eastAsia="仿宋_GB2312" w:cs="仿宋_GB2312"/>
                <w:kern w:val="0"/>
                <w:szCs w:val="21"/>
                <w:lang w:bidi="ar"/>
              </w:rPr>
              <w:t>-min（</w:t>
            </w:r>
            <w:r>
              <w:rPr>
                <w:rFonts w:hint="eastAsia" w:ascii="仿宋" w:hAnsi="仿宋" w:eastAsia="仿宋" w:cs="仿宋"/>
                <w:color w:val="000000"/>
                <w:kern w:val="0"/>
                <w:szCs w:val="21"/>
                <w:lang w:bidi="ar"/>
              </w:rPr>
              <w:t>重点支出安排率</w:t>
            </w:r>
            <w:r>
              <w:rPr>
                <w:rFonts w:ascii="仿宋_GB2312" w:hAnsi="新宋体" w:eastAsia="仿宋_GB2312" w:cs="仿宋_GB2312"/>
                <w:kern w:val="0"/>
                <w:szCs w:val="21"/>
                <w:lang w:bidi="ar"/>
              </w:rPr>
              <w:t>）]/[max（</w:t>
            </w:r>
            <w:r>
              <w:rPr>
                <w:rFonts w:hint="eastAsia" w:ascii="仿宋" w:hAnsi="仿宋" w:eastAsia="仿宋" w:cs="仿宋"/>
                <w:color w:val="000000"/>
                <w:kern w:val="0"/>
                <w:szCs w:val="21"/>
                <w:lang w:bidi="ar"/>
              </w:rPr>
              <w:t>重点支出安排率</w:t>
            </w:r>
            <w:r>
              <w:rPr>
                <w:rFonts w:ascii="仿宋_GB2312" w:hAnsi="新宋体" w:eastAsia="仿宋_GB2312" w:cs="仿宋_GB2312"/>
                <w:kern w:val="0"/>
                <w:szCs w:val="21"/>
                <w:lang w:bidi="ar"/>
              </w:rPr>
              <w:t>）－min（</w:t>
            </w:r>
            <w:r>
              <w:rPr>
                <w:rFonts w:hint="eastAsia" w:ascii="仿宋" w:hAnsi="仿宋" w:eastAsia="仿宋" w:cs="仿宋"/>
                <w:color w:val="000000"/>
                <w:kern w:val="0"/>
                <w:szCs w:val="21"/>
                <w:lang w:bidi="ar"/>
              </w:rPr>
              <w:t>重点支出安排率</w:t>
            </w:r>
            <w:r>
              <w:rPr>
                <w:rFonts w:ascii="仿宋_GB2312" w:hAnsi="新宋体" w:eastAsia="仿宋_GB2312" w:cs="仿宋_GB2312"/>
                <w:kern w:val="0"/>
                <w:szCs w:val="21"/>
                <w:lang w:bidi="ar"/>
              </w:rPr>
              <w:t>）]×该指标分值。</w:t>
            </w:r>
          </w:p>
        </w:tc>
        <w:tc>
          <w:tcPr>
            <w:tcW w:w="764" w:type="dxa"/>
            <w:tcBorders>
              <w:top w:val="single" w:color="auto" w:sz="4" w:space="0"/>
              <w:left w:val="single" w:color="auto" w:sz="4" w:space="0"/>
              <w:bottom w:val="single" w:color="000000" w:sz="4" w:space="0"/>
              <w:right w:val="single" w:color="000000" w:sz="4" w:space="0"/>
            </w:tcBorders>
            <w:vAlign w:val="center"/>
          </w:tcPr>
          <w:p>
            <w:pPr>
              <w:widowControl/>
              <w:spacing w:line="240" w:lineRule="exact"/>
              <w:jc w:val="left"/>
              <w:rPr>
                <w:rFonts w:hint="eastAsia" w:eastAsiaTheme="minorEastAsia"/>
                <w:szCs w:val="21"/>
                <w:lang w:val="en-US" w:eastAsia="zh-CN"/>
              </w:rPr>
            </w:pPr>
            <w:r>
              <w:rPr>
                <w:rFonts w:hint="eastAsia"/>
                <w:szCs w:val="21"/>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过程(</w:t>
            </w:r>
            <w:r>
              <w:rPr>
                <w:rFonts w:hint="eastAsia" w:ascii="仿宋_GB2312" w:hAnsi="新宋体" w:eastAsia="仿宋_GB2312" w:cs="仿宋_GB2312"/>
                <w:kern w:val="0"/>
                <w:szCs w:val="21"/>
                <w:lang w:bidi="ar"/>
              </w:rPr>
              <w:t>45分</w:t>
            </w:r>
            <w:r>
              <w:rPr>
                <w:rFonts w:ascii="仿宋_GB2312" w:hAnsi="新宋体" w:eastAsia="仿宋_GB2312" w:cs="仿宋_GB2312"/>
                <w:kern w:val="0"/>
                <w:szCs w:val="21"/>
                <w:lang w:bidi="ar"/>
              </w:rPr>
              <w:t>)</w:t>
            </w: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预算执行</w:t>
            </w:r>
            <w:r>
              <w:rPr>
                <w:rFonts w:hint="eastAsia" w:ascii="仿宋_GB2312" w:hAnsi="新宋体" w:eastAsia="仿宋_GB2312" w:cs="仿宋_GB2312"/>
                <w:kern w:val="0"/>
                <w:szCs w:val="21"/>
                <w:lang w:bidi="ar"/>
              </w:rPr>
              <w:t>情况</w:t>
            </w:r>
            <w:r>
              <w:rPr>
                <w:rFonts w:ascii="仿宋_GB2312" w:hAnsi="新宋体" w:eastAsia="仿宋_GB2312" w:cs="仿宋_GB2312"/>
                <w:kern w:val="0"/>
                <w:szCs w:val="21"/>
                <w:lang w:bidi="ar"/>
              </w:rPr>
              <w:t>(</w:t>
            </w:r>
            <w:r>
              <w:rPr>
                <w:rFonts w:hint="eastAsia" w:ascii="仿宋_GB2312" w:hAnsi="新宋体" w:eastAsia="仿宋_GB2312" w:cs="仿宋_GB2312"/>
                <w:kern w:val="0"/>
                <w:szCs w:val="21"/>
                <w:lang w:bidi="ar"/>
              </w:rPr>
              <w:t>25分</w:t>
            </w:r>
            <w:r>
              <w:rPr>
                <w:rFonts w:ascii="仿宋_GB2312" w:hAnsi="新宋体" w:eastAsia="仿宋_GB2312" w:cs="仿宋_GB2312"/>
                <w:kern w:val="0"/>
                <w:szCs w:val="21"/>
                <w:lang w:bidi="ar"/>
              </w:rPr>
              <w:t>)</w:t>
            </w: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预算完成率（5</w:t>
            </w:r>
            <w:r>
              <w:rPr>
                <w:rFonts w:hint="eastAsia" w:ascii="仿宋_GB2312" w:hAnsi="新宋体" w:eastAsia="仿宋_GB2312" w:cs="仿宋_GB2312"/>
                <w:kern w:val="0"/>
                <w:szCs w:val="21"/>
                <w:lang w:bidi="ar"/>
              </w:rPr>
              <w:t>分</w:t>
            </w:r>
            <w:r>
              <w:rPr>
                <w:rFonts w:ascii="仿宋_GB2312" w:hAnsi="新宋体" w:eastAsia="仿宋_GB2312" w:cs="仿宋_GB2312"/>
                <w:kern w:val="0"/>
                <w:szCs w:val="21"/>
                <w:lang w:bidi="ar"/>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通过对部门本年度预算完成数与预算数的比较，反映和评价部门预算的完成程度。</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预算完成率=（预算完成数/预算数）×100%。</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1.预算完成率大于或等于95%的，得满分；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2.预算完成率小于或等于85%的，得0分；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3.预算完成率在85%-95%之间的，在0分和满分之间计算确定：</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得分=[某部门预算完成率-min（预算完成率）]/[max（预算完成率）－min（预算完成率）]×该指标分值。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rFonts w:hint="default" w:eastAsiaTheme="minorEastAsia"/>
                <w:szCs w:val="21"/>
                <w:lang w:val="en-US" w:eastAsia="zh-CN"/>
              </w:rPr>
            </w:pPr>
            <w:r>
              <w:rPr>
                <w:rFonts w:hint="eastAsia"/>
                <w:szCs w:val="21"/>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预算调整率（</w:t>
            </w:r>
            <w:r>
              <w:rPr>
                <w:rFonts w:hint="eastAsia" w:ascii="仿宋_GB2312" w:hAnsi="新宋体" w:eastAsia="仿宋_GB2312" w:cs="仿宋_GB2312"/>
                <w:kern w:val="0"/>
                <w:szCs w:val="21"/>
                <w:lang w:bidi="ar"/>
              </w:rPr>
              <w:t>3分</w:t>
            </w:r>
            <w:r>
              <w:rPr>
                <w:rFonts w:ascii="仿宋_GB2312" w:hAnsi="新宋体" w:eastAsia="仿宋_GB2312" w:cs="仿宋_GB2312"/>
                <w:kern w:val="0"/>
                <w:szCs w:val="21"/>
                <w:lang w:bidi="ar"/>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部门本年度预算调整数与预算数的比率，用以反映和评价部门预算的调整程度。</w:t>
            </w:r>
          </w:p>
          <w:p>
            <w:pPr>
              <w:widowControl/>
              <w:spacing w:line="240" w:lineRule="exact"/>
              <w:jc w:val="left"/>
              <w:rPr>
                <w:szCs w:val="21"/>
              </w:rPr>
            </w:pPr>
            <w:r>
              <w:rPr>
                <w:rFonts w:ascii="仿宋_GB2312" w:hAnsi="新宋体" w:eastAsia="仿宋_GB2312" w:cs="仿宋_GB2312"/>
                <w:kern w:val="0"/>
                <w:szCs w:val="21"/>
                <w:lang w:bidi="ar"/>
              </w:rPr>
              <w:t>预算调整率=（预算调整数/预算数）×100%。</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 xml:space="preserve">1.预算调整率等于0的，得满分； </w:t>
            </w:r>
          </w:p>
          <w:p>
            <w:pPr>
              <w:widowControl/>
              <w:spacing w:line="240" w:lineRule="exact"/>
              <w:jc w:val="left"/>
              <w:rPr>
                <w:szCs w:val="21"/>
              </w:rPr>
            </w:pPr>
            <w:r>
              <w:rPr>
                <w:rFonts w:ascii="仿宋_GB2312" w:hAnsi="新宋体" w:eastAsia="仿宋_GB2312" w:cs="仿宋_GB2312"/>
                <w:kern w:val="0"/>
                <w:szCs w:val="21"/>
                <w:lang w:bidi="ar"/>
              </w:rPr>
              <w:t>2.预算调整率大于或等于10%的，得0分；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3.预算调整率在0-10%之间的，在0分和满分之间确定：</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得分=［max（预算调整率）-某部门预算调整率］/［max（预算调整率）-min（预算调整率）］×该指标分值。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rFonts w:hint="eastAsia" w:eastAsiaTheme="minorEastAsia"/>
                <w:szCs w:val="21"/>
                <w:lang w:val="en-US" w:eastAsia="zh-CN"/>
              </w:rPr>
            </w:pPr>
            <w:r>
              <w:rPr>
                <w:rFonts w:hint="eastAsia"/>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4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color w:val="000000"/>
                <w:kern w:val="0"/>
                <w:szCs w:val="21"/>
                <w:lang w:bidi="ar"/>
              </w:rPr>
              <w:t>支付进度率</w:t>
            </w:r>
            <w:r>
              <w:rPr>
                <w:rFonts w:ascii="仿宋_GB2312" w:hAnsi="新宋体" w:eastAsia="仿宋_GB2312" w:cs="仿宋_GB2312"/>
                <w:kern w:val="0"/>
                <w:szCs w:val="21"/>
                <w:lang w:bidi="ar"/>
              </w:rPr>
              <w:t>（</w:t>
            </w:r>
            <w:r>
              <w:rPr>
                <w:rFonts w:hint="eastAsia" w:ascii="仿宋_GB2312" w:hAnsi="新宋体" w:eastAsia="仿宋_GB2312" w:cs="仿宋_GB2312"/>
                <w:kern w:val="0"/>
                <w:szCs w:val="21"/>
                <w:lang w:bidi="ar"/>
              </w:rPr>
              <w:t>5分</w:t>
            </w:r>
            <w:r>
              <w:rPr>
                <w:rFonts w:ascii="仿宋_GB2312" w:hAnsi="新宋体" w:eastAsia="仿宋_GB2312" w:cs="仿宋_GB2312"/>
                <w:kern w:val="0"/>
                <w:szCs w:val="21"/>
                <w:lang w:bidi="ar"/>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部门</w:t>
            </w:r>
            <w:r>
              <w:rPr>
                <w:rFonts w:hint="eastAsia" w:ascii="仿宋_GB2312" w:hAnsi="新宋体" w:eastAsia="仿宋_GB2312" w:cs="仿宋_GB2312"/>
                <w:kern w:val="0"/>
                <w:szCs w:val="21"/>
                <w:lang w:bidi="ar"/>
              </w:rPr>
              <w:t>年</w:t>
            </w:r>
            <w:r>
              <w:rPr>
                <w:rFonts w:ascii="仿宋_GB2312" w:hAnsi="新宋体" w:eastAsia="仿宋_GB2312" w:cs="仿宋_GB2312"/>
                <w:kern w:val="0"/>
                <w:szCs w:val="21"/>
                <w:lang w:bidi="ar"/>
              </w:rPr>
              <w:t>度支付数与</w:t>
            </w:r>
            <w:r>
              <w:rPr>
                <w:rFonts w:hint="eastAsia" w:ascii="仿宋_GB2312" w:hAnsi="新宋体" w:eastAsia="仿宋_GB2312" w:cs="仿宋_GB2312"/>
                <w:kern w:val="0"/>
                <w:szCs w:val="21"/>
                <w:lang w:bidi="ar"/>
              </w:rPr>
              <w:t>年</w:t>
            </w:r>
            <w:r>
              <w:rPr>
                <w:rFonts w:ascii="仿宋_GB2312" w:hAnsi="新宋体" w:eastAsia="仿宋_GB2312" w:cs="仿宋_GB2312"/>
                <w:kern w:val="0"/>
                <w:szCs w:val="21"/>
                <w:lang w:bidi="ar"/>
              </w:rPr>
              <w:t>度任务数的比率，用以反映和评价部门预算执行的及时和均衡程度。</w:t>
            </w:r>
          </w:p>
          <w:p>
            <w:pPr>
              <w:widowControl/>
              <w:spacing w:line="240" w:lineRule="exact"/>
              <w:jc w:val="left"/>
              <w:rPr>
                <w:szCs w:val="21"/>
              </w:rPr>
            </w:pPr>
            <w:r>
              <w:rPr>
                <w:rFonts w:ascii="仿宋_GB2312" w:hAnsi="新宋体" w:eastAsia="仿宋_GB2312" w:cs="仿宋_GB2312"/>
                <w:kern w:val="0"/>
                <w:szCs w:val="21"/>
                <w:lang w:bidi="ar"/>
              </w:rPr>
              <w:t>支付进度率=（</w:t>
            </w:r>
            <w:r>
              <w:rPr>
                <w:rFonts w:hint="eastAsia" w:ascii="仿宋_GB2312" w:hAnsi="新宋体" w:eastAsia="仿宋_GB2312" w:cs="仿宋_GB2312"/>
                <w:kern w:val="0"/>
                <w:szCs w:val="21"/>
                <w:lang w:bidi="ar"/>
              </w:rPr>
              <w:t>年</w:t>
            </w:r>
            <w:r>
              <w:rPr>
                <w:rFonts w:ascii="仿宋_GB2312" w:hAnsi="新宋体" w:eastAsia="仿宋_GB2312" w:cs="仿宋_GB2312"/>
                <w:kern w:val="0"/>
                <w:szCs w:val="21"/>
                <w:lang w:bidi="ar"/>
              </w:rPr>
              <w:t>度支付数/</w:t>
            </w:r>
            <w:r>
              <w:rPr>
                <w:rFonts w:hint="eastAsia" w:ascii="仿宋_GB2312" w:hAnsi="新宋体" w:eastAsia="仿宋_GB2312" w:cs="仿宋_GB2312"/>
                <w:kern w:val="0"/>
                <w:szCs w:val="21"/>
                <w:lang w:bidi="ar"/>
              </w:rPr>
              <w:t>年</w:t>
            </w:r>
            <w:r>
              <w:rPr>
                <w:rFonts w:ascii="仿宋_GB2312" w:hAnsi="新宋体" w:eastAsia="仿宋_GB2312" w:cs="仿宋_GB2312"/>
                <w:kern w:val="0"/>
                <w:szCs w:val="21"/>
                <w:lang w:bidi="ar"/>
              </w:rPr>
              <w:t>度任务数）×100%。</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按</w:t>
            </w:r>
            <w:r>
              <w:rPr>
                <w:rFonts w:hint="eastAsia" w:ascii="仿宋_GB2312" w:hAnsi="新宋体" w:eastAsia="仿宋_GB2312" w:cs="仿宋_GB2312"/>
                <w:kern w:val="0"/>
                <w:szCs w:val="21"/>
                <w:lang w:bidi="ar"/>
              </w:rPr>
              <w:t>年</w:t>
            </w:r>
            <w:r>
              <w:rPr>
                <w:rFonts w:ascii="仿宋_GB2312" w:hAnsi="新宋体" w:eastAsia="仿宋_GB2312" w:cs="仿宋_GB2312"/>
                <w:kern w:val="0"/>
                <w:szCs w:val="21"/>
                <w:lang w:bidi="ar"/>
              </w:rPr>
              <w:t>度的执行情况进行打分</w:t>
            </w:r>
            <w:r>
              <w:rPr>
                <w:rFonts w:hint="eastAsia" w:ascii="仿宋_GB2312" w:hAnsi="新宋体" w:eastAsia="仿宋_GB2312" w:cs="仿宋_GB2312"/>
                <w:kern w:val="0"/>
                <w:szCs w:val="21"/>
                <w:lang w:bidi="ar"/>
              </w:rPr>
              <w:t>。</w:t>
            </w:r>
            <w:r>
              <w:rPr>
                <w:rFonts w:ascii="仿宋_GB2312" w:hAnsi="新宋体" w:eastAsia="仿宋_GB2312" w:cs="仿宋_GB2312"/>
                <w:kern w:val="0"/>
                <w:szCs w:val="21"/>
                <w:lang w:bidi="ar"/>
              </w:rPr>
              <w:t>得分=</w:t>
            </w:r>
            <w:r>
              <w:rPr>
                <w:rFonts w:hint="eastAsia" w:ascii="仿宋_GB2312" w:hAnsi="新宋体" w:eastAsia="仿宋_GB2312" w:cs="仿宋_GB2312"/>
                <w:kern w:val="0"/>
                <w:szCs w:val="21"/>
                <w:lang w:bidi="ar"/>
              </w:rPr>
              <w:t>年</w:t>
            </w:r>
            <w:r>
              <w:rPr>
                <w:rFonts w:ascii="仿宋_GB2312" w:hAnsi="新宋体" w:eastAsia="仿宋_GB2312" w:cs="仿宋_GB2312"/>
                <w:kern w:val="0"/>
                <w:szCs w:val="21"/>
                <w:lang w:bidi="ar"/>
              </w:rPr>
              <w:t>度支付数/</w:t>
            </w:r>
            <w:r>
              <w:rPr>
                <w:rFonts w:hint="eastAsia" w:ascii="仿宋_GB2312" w:hAnsi="新宋体" w:eastAsia="仿宋_GB2312" w:cs="仿宋_GB2312"/>
                <w:kern w:val="0"/>
                <w:szCs w:val="21"/>
                <w:lang w:bidi="ar"/>
              </w:rPr>
              <w:t>年</w:t>
            </w:r>
            <w:r>
              <w:rPr>
                <w:rFonts w:ascii="仿宋_GB2312" w:hAnsi="新宋体" w:eastAsia="仿宋_GB2312" w:cs="仿宋_GB2312"/>
                <w:kern w:val="0"/>
                <w:szCs w:val="21"/>
                <w:lang w:bidi="ar"/>
              </w:rPr>
              <w:t>度任务数×该指标分值。</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rFonts w:hint="eastAsia" w:eastAsiaTheme="minorEastAsia"/>
                <w:szCs w:val="21"/>
                <w:lang w:val="en-US" w:eastAsia="zh-CN"/>
              </w:rPr>
            </w:pPr>
            <w:r>
              <w:rPr>
                <w:rFonts w:hint="eastAsia"/>
                <w:szCs w:val="21"/>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4"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结转结余率（4</w:t>
            </w:r>
            <w:r>
              <w:rPr>
                <w:rFonts w:hint="eastAsia" w:ascii="仿宋_GB2312" w:hAnsi="新宋体" w:eastAsia="仿宋_GB2312" w:cs="仿宋_GB2312"/>
                <w:kern w:val="0"/>
                <w:szCs w:val="21"/>
                <w:lang w:bidi="ar"/>
              </w:rPr>
              <w:t>分</w:t>
            </w:r>
            <w:r>
              <w:rPr>
                <w:rFonts w:ascii="仿宋_GB2312" w:hAnsi="新宋体" w:eastAsia="仿宋_GB2312" w:cs="仿宋_GB2312"/>
                <w:kern w:val="0"/>
                <w:szCs w:val="21"/>
                <w:lang w:bidi="ar"/>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通过对部门本年度结转结余总额与支出预算数的比较，反映和评价部门对本年度结转结余资金的实际控制程度。</w:t>
            </w:r>
          </w:p>
          <w:p>
            <w:pPr>
              <w:widowControl/>
              <w:spacing w:line="240" w:lineRule="exact"/>
              <w:jc w:val="left"/>
              <w:rPr>
                <w:szCs w:val="21"/>
              </w:rPr>
            </w:pPr>
            <w:r>
              <w:rPr>
                <w:rFonts w:ascii="仿宋_GB2312" w:hAnsi="新宋体" w:eastAsia="仿宋_GB2312" w:cs="仿宋_GB2312"/>
                <w:kern w:val="0"/>
                <w:szCs w:val="21"/>
                <w:lang w:bidi="ar"/>
              </w:rPr>
              <w:t>结转结余率=（结转结余总额/支出预算数）×100%。</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1.结转结余率等于0的，得满分；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2.结转结余率大于或等于50%的，得0分；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3.结转结余率在0-50%之间的，在0和满分之间计算确定：</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得分=[max（结转结余率）－某部门结转结余率]/[max（结转结余率）－min（结转结余率）]×该指标分值。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rFonts w:hint="eastAsia" w:eastAsiaTheme="minorEastAsia"/>
                <w:szCs w:val="21"/>
                <w:lang w:val="en-US" w:eastAsia="zh-CN"/>
              </w:rPr>
            </w:pPr>
            <w:r>
              <w:rPr>
                <w:rFonts w:hint="eastAsia"/>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10"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公用经费控制率（</w:t>
            </w:r>
            <w:r>
              <w:rPr>
                <w:rFonts w:hint="eastAsia" w:ascii="仿宋_GB2312" w:hAnsi="新宋体" w:eastAsia="仿宋_GB2312" w:cs="仿宋_GB2312"/>
                <w:kern w:val="0"/>
                <w:szCs w:val="21"/>
                <w:lang w:bidi="ar"/>
              </w:rPr>
              <w:t>4分</w:t>
            </w:r>
            <w:r>
              <w:rPr>
                <w:rFonts w:ascii="仿宋_GB2312" w:hAnsi="新宋体" w:eastAsia="仿宋_GB2312" w:cs="仿宋_GB2312"/>
                <w:kern w:val="0"/>
                <w:szCs w:val="21"/>
                <w:lang w:bidi="ar"/>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通过对部门本年度实际支出的公用经费总额与预算安排的公用经费总额的比率，反映和评价部门对机构运转成本的实际控制程度。</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公用经费控制率=（实际支出公用经费总额/预算安排公用经费总额）×100%。</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1.公用经费控制率小于或等于100%的，得满分；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2.公用经费控制率大于或等于105%的，得0分；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3.公用经费控制率在100%-105%之间的，在0和满分之间计算确定：</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得分=［max（公用经费控制率）-某部门公用经费控制率］/［max（公用经费控制率）-min（公用经费控制率）］×该指标分值。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rFonts w:hint="eastAsia" w:eastAsiaTheme="minorEastAsia"/>
                <w:szCs w:val="21"/>
                <w:lang w:val="en-US" w:eastAsia="zh-CN"/>
              </w:rPr>
            </w:pPr>
            <w:r>
              <w:rPr>
                <w:rFonts w:hint="eastAsia"/>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0"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政府采购执行率（</w:t>
            </w:r>
            <w:r>
              <w:rPr>
                <w:rFonts w:hint="eastAsia" w:ascii="仿宋_GB2312" w:hAnsi="新宋体" w:eastAsia="仿宋_GB2312" w:cs="仿宋_GB2312"/>
                <w:kern w:val="0"/>
                <w:szCs w:val="21"/>
                <w:lang w:bidi="ar"/>
              </w:rPr>
              <w:t>4分</w:t>
            </w:r>
            <w:r>
              <w:rPr>
                <w:rFonts w:ascii="仿宋_GB2312" w:hAnsi="新宋体" w:eastAsia="仿宋_GB2312" w:cs="仿宋_GB2312"/>
                <w:kern w:val="0"/>
                <w:szCs w:val="21"/>
                <w:lang w:bidi="ar"/>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通过对部门本年度实际政府采购预算项目个数与政府采购预算项目个数的比较，反映和评价部门政府采购预算执行情况。</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政府采购执行率=（实际政府采购预算项目个数/政府采购预算项目个数）×100%。</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政府采购项目中非预算内安排的项目除外。</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1.政府采购执行率等于100%的，得满分；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2.政府采购执行率小于或等于90%的，0分；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3.政府采购执行率在90%-100%之间的，在0和满分之间计算确定：</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得分=［某部门政府采购执行率-min（政府采购执行率）］/［max（政府采购执行率）-min（政府采购执行率）］×该指标分值。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rFonts w:hint="eastAsia" w:eastAsiaTheme="minorEastAsia"/>
                <w:szCs w:val="21"/>
                <w:lang w:val="en-US" w:eastAsia="zh-CN"/>
              </w:rPr>
            </w:pPr>
            <w:r>
              <w:rPr>
                <w:rFonts w:hint="eastAsia"/>
                <w:szCs w:val="21"/>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预算管理</w:t>
            </w:r>
            <w:r>
              <w:rPr>
                <w:rFonts w:hint="eastAsia" w:ascii="仿宋_GB2312" w:hAnsi="新宋体" w:eastAsia="仿宋_GB2312" w:cs="仿宋_GB2312"/>
                <w:kern w:val="0"/>
                <w:szCs w:val="21"/>
                <w:lang w:bidi="ar"/>
              </w:rPr>
              <w:t>情况</w:t>
            </w:r>
          </w:p>
          <w:p>
            <w:pPr>
              <w:widowControl/>
              <w:spacing w:line="240" w:lineRule="exact"/>
              <w:jc w:val="left"/>
              <w:rPr>
                <w:szCs w:val="21"/>
              </w:rPr>
            </w:pPr>
            <w:r>
              <w:rPr>
                <w:rFonts w:ascii="仿宋_GB2312" w:hAnsi="新宋体" w:eastAsia="仿宋_GB2312" w:cs="仿宋_GB2312"/>
                <w:kern w:val="0"/>
                <w:szCs w:val="21"/>
                <w:lang w:bidi="ar"/>
              </w:rPr>
              <w:t>（15）</w:t>
            </w: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资金使用合规性（8</w:t>
            </w:r>
            <w:r>
              <w:rPr>
                <w:rFonts w:hint="eastAsia" w:ascii="仿宋_GB2312" w:hAnsi="新宋体" w:eastAsia="仿宋_GB2312" w:cs="仿宋_GB2312"/>
                <w:kern w:val="0"/>
                <w:szCs w:val="21"/>
                <w:lang w:bidi="ar"/>
              </w:rPr>
              <w:t>分</w:t>
            </w:r>
            <w:r>
              <w:rPr>
                <w:rFonts w:ascii="仿宋_GB2312" w:hAnsi="新宋体" w:eastAsia="仿宋_GB2312" w:cs="仿宋_GB2312"/>
                <w:kern w:val="0"/>
                <w:szCs w:val="21"/>
                <w:lang w:bidi="ar"/>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部门使用预算资金是否符合相关的预算财务管理制度的规定，反映和评价部门预算资金的规范运行情况。</w:t>
            </w:r>
          </w:p>
          <w:p>
            <w:pPr>
              <w:widowControl/>
              <w:spacing w:line="240" w:lineRule="exact"/>
              <w:jc w:val="left"/>
              <w:rPr>
                <w:szCs w:val="21"/>
              </w:rPr>
            </w:pPr>
            <w:r>
              <w:rPr>
                <w:rFonts w:ascii="仿宋_GB2312" w:hAnsi="新宋体" w:eastAsia="仿宋_GB2312" w:cs="仿宋_GB2312"/>
                <w:kern w:val="0"/>
                <w:szCs w:val="21"/>
                <w:lang w:bidi="ar"/>
              </w:rPr>
              <w:t>评价要点：</w:t>
            </w:r>
          </w:p>
          <w:p>
            <w:pPr>
              <w:widowControl/>
              <w:spacing w:line="240" w:lineRule="exact"/>
              <w:jc w:val="left"/>
              <w:rPr>
                <w:szCs w:val="21"/>
              </w:rPr>
            </w:pPr>
            <w:r>
              <w:rPr>
                <w:rFonts w:ascii="仿宋_GB2312" w:hAnsi="新宋体" w:eastAsia="仿宋_GB2312" w:cs="仿宋_GB2312"/>
                <w:kern w:val="0"/>
                <w:szCs w:val="21"/>
                <w:lang w:bidi="ar"/>
              </w:rPr>
              <w:t>1.符合国家财经法规和财务管理制度规定以及有关部门资金管理办法的规定；</w:t>
            </w:r>
          </w:p>
          <w:p>
            <w:pPr>
              <w:widowControl/>
              <w:spacing w:line="240" w:lineRule="exact"/>
              <w:jc w:val="left"/>
              <w:rPr>
                <w:szCs w:val="21"/>
              </w:rPr>
            </w:pPr>
            <w:r>
              <w:rPr>
                <w:rFonts w:ascii="仿宋_GB2312" w:hAnsi="新宋体" w:eastAsia="仿宋_GB2312" w:cs="仿宋_GB2312"/>
                <w:kern w:val="0"/>
                <w:szCs w:val="21"/>
                <w:lang w:bidi="ar"/>
              </w:rPr>
              <w:t>2.资金的拨付有完整的审批过程和手续；</w:t>
            </w:r>
          </w:p>
          <w:p>
            <w:pPr>
              <w:widowControl/>
              <w:spacing w:line="240" w:lineRule="exact"/>
              <w:jc w:val="left"/>
              <w:rPr>
                <w:szCs w:val="21"/>
              </w:rPr>
            </w:pPr>
            <w:r>
              <w:rPr>
                <w:rFonts w:ascii="仿宋_GB2312" w:hAnsi="新宋体" w:eastAsia="仿宋_GB2312" w:cs="仿宋_GB2312"/>
                <w:kern w:val="0"/>
                <w:szCs w:val="21"/>
                <w:lang w:bidi="ar"/>
              </w:rPr>
              <w:t>3.项目的重大开支经过评估论证；</w:t>
            </w:r>
          </w:p>
          <w:p>
            <w:pPr>
              <w:widowControl/>
              <w:spacing w:line="240" w:lineRule="exact"/>
              <w:jc w:val="left"/>
              <w:rPr>
                <w:szCs w:val="21"/>
              </w:rPr>
            </w:pPr>
            <w:r>
              <w:rPr>
                <w:rFonts w:ascii="仿宋_GB2312" w:hAnsi="新宋体" w:eastAsia="仿宋_GB2312" w:cs="仿宋_GB2312"/>
                <w:kern w:val="0"/>
                <w:szCs w:val="21"/>
                <w:lang w:bidi="ar"/>
              </w:rPr>
              <w:t>4.符合部门预算批复的用途；</w:t>
            </w:r>
          </w:p>
          <w:p>
            <w:pPr>
              <w:widowControl/>
              <w:spacing w:line="240" w:lineRule="exact"/>
              <w:jc w:val="left"/>
              <w:rPr>
                <w:szCs w:val="21"/>
              </w:rPr>
            </w:pPr>
            <w:r>
              <w:rPr>
                <w:rFonts w:ascii="仿宋_GB2312" w:hAnsi="新宋体" w:eastAsia="仿宋_GB2312" w:cs="仿宋_GB2312"/>
                <w:kern w:val="0"/>
                <w:szCs w:val="21"/>
                <w:lang w:bidi="ar"/>
              </w:rPr>
              <w:t>5.不存在截留情况；</w:t>
            </w:r>
          </w:p>
          <w:p>
            <w:pPr>
              <w:widowControl/>
              <w:spacing w:line="240" w:lineRule="exact"/>
              <w:jc w:val="left"/>
              <w:rPr>
                <w:szCs w:val="21"/>
              </w:rPr>
            </w:pPr>
            <w:r>
              <w:rPr>
                <w:rFonts w:ascii="仿宋_GB2312" w:hAnsi="新宋体" w:eastAsia="仿宋_GB2312" w:cs="仿宋_GB2312"/>
                <w:kern w:val="0"/>
                <w:szCs w:val="21"/>
                <w:lang w:bidi="ar"/>
              </w:rPr>
              <w:t>6.不存在挤占情况；</w:t>
            </w:r>
          </w:p>
          <w:p>
            <w:pPr>
              <w:widowControl/>
              <w:spacing w:line="240" w:lineRule="exact"/>
              <w:jc w:val="left"/>
              <w:rPr>
                <w:szCs w:val="21"/>
              </w:rPr>
            </w:pPr>
            <w:r>
              <w:rPr>
                <w:rFonts w:ascii="仿宋_GB2312" w:hAnsi="新宋体" w:eastAsia="仿宋_GB2312" w:cs="仿宋_GB2312"/>
                <w:kern w:val="0"/>
                <w:szCs w:val="21"/>
                <w:lang w:bidi="ar"/>
              </w:rPr>
              <w:t>7.不存在挪用情况；</w:t>
            </w:r>
          </w:p>
          <w:p>
            <w:pPr>
              <w:widowControl/>
              <w:spacing w:line="240" w:lineRule="exact"/>
              <w:jc w:val="left"/>
              <w:rPr>
                <w:szCs w:val="21"/>
              </w:rPr>
            </w:pPr>
            <w:r>
              <w:rPr>
                <w:rFonts w:ascii="仿宋_GB2312" w:hAnsi="新宋体" w:eastAsia="仿宋_GB2312" w:cs="仿宋_GB2312"/>
                <w:kern w:val="0"/>
                <w:szCs w:val="21"/>
                <w:lang w:bidi="ar"/>
              </w:rPr>
              <w:t>8.不存在虚列支出情况。</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全部符合（8）；</w:t>
            </w:r>
          </w:p>
          <w:p>
            <w:pPr>
              <w:widowControl/>
              <w:spacing w:line="240" w:lineRule="exact"/>
              <w:jc w:val="left"/>
              <w:rPr>
                <w:szCs w:val="21"/>
              </w:rPr>
            </w:pPr>
            <w:r>
              <w:rPr>
                <w:rFonts w:ascii="仿宋_GB2312" w:hAnsi="新宋体" w:eastAsia="仿宋_GB2312" w:cs="仿宋_GB2312"/>
                <w:kern w:val="0"/>
                <w:szCs w:val="21"/>
                <w:lang w:bidi="ar"/>
              </w:rPr>
              <w:t>符合其中七项（6）；</w:t>
            </w:r>
          </w:p>
          <w:p>
            <w:pPr>
              <w:widowControl/>
              <w:spacing w:line="240" w:lineRule="exact"/>
              <w:jc w:val="left"/>
              <w:rPr>
                <w:szCs w:val="21"/>
              </w:rPr>
            </w:pPr>
            <w:r>
              <w:rPr>
                <w:rFonts w:ascii="仿宋_GB2312" w:hAnsi="新宋体" w:eastAsia="仿宋_GB2312" w:cs="仿宋_GB2312"/>
                <w:kern w:val="0"/>
                <w:szCs w:val="21"/>
                <w:lang w:bidi="ar"/>
              </w:rPr>
              <w:t>符合其中六项（4）；</w:t>
            </w:r>
          </w:p>
          <w:p>
            <w:pPr>
              <w:widowControl/>
              <w:spacing w:line="240" w:lineRule="exact"/>
              <w:jc w:val="left"/>
              <w:rPr>
                <w:szCs w:val="21"/>
              </w:rPr>
            </w:pPr>
            <w:r>
              <w:rPr>
                <w:rFonts w:ascii="仿宋_GB2312" w:hAnsi="新宋体" w:eastAsia="仿宋_GB2312" w:cs="仿宋_GB2312"/>
                <w:kern w:val="0"/>
                <w:szCs w:val="21"/>
                <w:lang w:bidi="ar"/>
              </w:rPr>
              <w:t>符合其中五项（2）；</w:t>
            </w:r>
          </w:p>
          <w:p>
            <w:pPr>
              <w:widowControl/>
              <w:spacing w:line="240" w:lineRule="exact"/>
              <w:jc w:val="left"/>
              <w:rPr>
                <w:szCs w:val="21"/>
              </w:rPr>
            </w:pPr>
            <w:r>
              <w:rPr>
                <w:rFonts w:ascii="仿宋_GB2312" w:hAnsi="新宋体" w:eastAsia="仿宋_GB2312" w:cs="仿宋_GB2312"/>
                <w:kern w:val="0"/>
                <w:szCs w:val="21"/>
                <w:lang w:bidi="ar"/>
              </w:rPr>
              <w:t>符合其中四项及以下（0）。</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rFonts w:hint="eastAsia" w:eastAsiaTheme="minorEastAsia"/>
                <w:szCs w:val="21"/>
                <w:lang w:val="en-US" w:eastAsia="zh-CN"/>
              </w:rPr>
            </w:pPr>
            <w:r>
              <w:rPr>
                <w:rFonts w:hint="eastAsia"/>
                <w:szCs w:val="21"/>
                <w:lang w:val="en-US" w:eastAsia="zh-CN"/>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预决算信息公开性（3</w:t>
            </w:r>
            <w:r>
              <w:rPr>
                <w:rFonts w:hint="eastAsia" w:ascii="仿宋_GB2312" w:hAnsi="新宋体" w:eastAsia="仿宋_GB2312" w:cs="仿宋_GB2312"/>
                <w:kern w:val="0"/>
                <w:szCs w:val="21"/>
                <w:lang w:bidi="ar"/>
              </w:rPr>
              <w:t>分</w:t>
            </w:r>
            <w:r>
              <w:rPr>
                <w:rFonts w:ascii="仿宋_GB2312" w:hAnsi="新宋体" w:eastAsia="仿宋_GB2312" w:cs="仿宋_GB2312"/>
                <w:kern w:val="0"/>
                <w:szCs w:val="21"/>
                <w:lang w:bidi="ar"/>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部门是否按照政府信息公开有关规定公开相关预决算信息，用以反映和评价部门预决算管理的公开透明情况。</w:t>
            </w:r>
          </w:p>
          <w:p>
            <w:pPr>
              <w:widowControl/>
              <w:spacing w:line="240" w:lineRule="exact"/>
              <w:jc w:val="left"/>
              <w:rPr>
                <w:szCs w:val="21"/>
              </w:rPr>
            </w:pPr>
            <w:r>
              <w:rPr>
                <w:rFonts w:ascii="仿宋_GB2312" w:hAnsi="新宋体" w:eastAsia="仿宋_GB2312" w:cs="仿宋_GB2312"/>
                <w:kern w:val="0"/>
                <w:szCs w:val="21"/>
                <w:lang w:bidi="ar"/>
              </w:rPr>
              <w:t>预决算信息是指与部门预算、执行、决算、监督、绩效等管理相关的信息。</w:t>
            </w:r>
          </w:p>
          <w:p>
            <w:pPr>
              <w:widowControl/>
              <w:spacing w:line="240" w:lineRule="exact"/>
              <w:jc w:val="left"/>
              <w:rPr>
                <w:szCs w:val="21"/>
              </w:rPr>
            </w:pPr>
            <w:r>
              <w:rPr>
                <w:rFonts w:ascii="仿宋_GB2312" w:hAnsi="新宋体" w:eastAsia="仿宋_GB2312" w:cs="仿宋_GB2312"/>
                <w:kern w:val="0"/>
                <w:szCs w:val="21"/>
                <w:lang w:bidi="ar"/>
              </w:rPr>
              <w:t>评价要点：</w:t>
            </w:r>
          </w:p>
          <w:p>
            <w:pPr>
              <w:widowControl/>
              <w:spacing w:line="240" w:lineRule="exact"/>
              <w:jc w:val="left"/>
              <w:rPr>
                <w:szCs w:val="21"/>
              </w:rPr>
            </w:pPr>
            <w:r>
              <w:rPr>
                <w:rFonts w:ascii="仿宋_GB2312" w:hAnsi="新宋体" w:eastAsia="仿宋_GB2312" w:cs="仿宋_GB2312"/>
                <w:kern w:val="0"/>
                <w:szCs w:val="21"/>
                <w:lang w:bidi="ar"/>
              </w:rPr>
              <w:t>1.公开预决算信息；</w:t>
            </w:r>
          </w:p>
          <w:p>
            <w:pPr>
              <w:widowControl/>
              <w:spacing w:line="240" w:lineRule="exact"/>
              <w:jc w:val="left"/>
              <w:rPr>
                <w:szCs w:val="21"/>
              </w:rPr>
            </w:pPr>
            <w:r>
              <w:rPr>
                <w:rFonts w:ascii="仿宋_GB2312" w:hAnsi="新宋体" w:eastAsia="仿宋_GB2312" w:cs="仿宋_GB2312"/>
                <w:kern w:val="0"/>
                <w:szCs w:val="21"/>
                <w:lang w:bidi="ar"/>
              </w:rPr>
              <w:t>2.按规定内容公开预决算信息；</w:t>
            </w:r>
          </w:p>
          <w:p>
            <w:pPr>
              <w:widowControl/>
              <w:spacing w:line="240" w:lineRule="exact"/>
              <w:jc w:val="left"/>
              <w:rPr>
                <w:szCs w:val="21"/>
              </w:rPr>
            </w:pPr>
            <w:r>
              <w:rPr>
                <w:rFonts w:ascii="仿宋_GB2312" w:hAnsi="新宋体" w:eastAsia="仿宋_GB2312" w:cs="仿宋_GB2312"/>
                <w:kern w:val="0"/>
                <w:szCs w:val="21"/>
                <w:lang w:bidi="ar"/>
              </w:rPr>
              <w:t>3.按规定时限公开预决算信息。</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全部符合（3）；</w:t>
            </w:r>
          </w:p>
          <w:p>
            <w:pPr>
              <w:widowControl/>
              <w:spacing w:line="240" w:lineRule="exact"/>
              <w:jc w:val="left"/>
              <w:rPr>
                <w:szCs w:val="21"/>
              </w:rPr>
            </w:pPr>
            <w:r>
              <w:rPr>
                <w:rFonts w:ascii="仿宋_GB2312" w:hAnsi="新宋体" w:eastAsia="仿宋_GB2312" w:cs="仿宋_GB2312"/>
                <w:kern w:val="0"/>
                <w:szCs w:val="21"/>
                <w:lang w:bidi="ar"/>
              </w:rPr>
              <w:t>符合其中两项（2）</w:t>
            </w:r>
          </w:p>
          <w:p>
            <w:pPr>
              <w:widowControl/>
              <w:spacing w:line="240" w:lineRule="exact"/>
              <w:jc w:val="left"/>
              <w:rPr>
                <w:szCs w:val="21"/>
              </w:rPr>
            </w:pPr>
            <w:r>
              <w:rPr>
                <w:rFonts w:ascii="仿宋_GB2312" w:hAnsi="新宋体" w:eastAsia="仿宋_GB2312" w:cs="仿宋_GB2312"/>
                <w:kern w:val="0"/>
                <w:szCs w:val="21"/>
                <w:lang w:bidi="ar"/>
              </w:rPr>
              <w:t>符合其中一项及以下（0）。</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rFonts w:hint="eastAsia" w:eastAsiaTheme="minorEastAsia"/>
                <w:szCs w:val="21"/>
                <w:lang w:val="en-US" w:eastAsia="zh-CN"/>
              </w:rPr>
            </w:pPr>
            <w:r>
              <w:rPr>
                <w:rFonts w:hint="eastAsia"/>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color w:val="000000"/>
                <w:kern w:val="0"/>
                <w:szCs w:val="21"/>
                <w:lang w:bidi="ar"/>
              </w:rPr>
              <w:t>基础信息完善性</w:t>
            </w:r>
            <w:r>
              <w:rPr>
                <w:rFonts w:ascii="仿宋_GB2312" w:hAnsi="新宋体" w:eastAsia="仿宋_GB2312" w:cs="仿宋_GB2312"/>
                <w:kern w:val="0"/>
                <w:szCs w:val="21"/>
                <w:lang w:bidi="ar"/>
              </w:rPr>
              <w:t>（4</w:t>
            </w:r>
            <w:r>
              <w:rPr>
                <w:rFonts w:hint="eastAsia" w:ascii="仿宋_GB2312" w:hAnsi="新宋体" w:eastAsia="仿宋_GB2312" w:cs="仿宋_GB2312"/>
                <w:kern w:val="0"/>
                <w:szCs w:val="21"/>
                <w:lang w:bidi="ar"/>
              </w:rPr>
              <w:t>分</w:t>
            </w:r>
            <w:r>
              <w:rPr>
                <w:rFonts w:ascii="仿宋_GB2312" w:hAnsi="新宋体" w:eastAsia="仿宋_GB2312" w:cs="仿宋_GB2312"/>
                <w:kern w:val="0"/>
                <w:szCs w:val="21"/>
                <w:lang w:bidi="ar"/>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部门基础信息是否完善，用以反映和评价基础信息对预算管理工作的支撑情况。</w:t>
            </w:r>
          </w:p>
          <w:p>
            <w:pPr>
              <w:widowControl/>
              <w:spacing w:line="240" w:lineRule="exact"/>
              <w:jc w:val="left"/>
              <w:rPr>
                <w:szCs w:val="21"/>
              </w:rPr>
            </w:pPr>
            <w:r>
              <w:rPr>
                <w:rFonts w:ascii="仿宋_GB2312" w:hAnsi="新宋体" w:eastAsia="仿宋_GB2312" w:cs="仿宋_GB2312"/>
                <w:kern w:val="0"/>
                <w:szCs w:val="21"/>
                <w:lang w:bidi="ar"/>
              </w:rPr>
              <w:t>评价要点：</w:t>
            </w:r>
          </w:p>
          <w:p>
            <w:pPr>
              <w:widowControl/>
              <w:spacing w:line="240" w:lineRule="exact"/>
              <w:jc w:val="left"/>
              <w:rPr>
                <w:szCs w:val="21"/>
              </w:rPr>
            </w:pPr>
            <w:r>
              <w:rPr>
                <w:rFonts w:ascii="仿宋_GB2312" w:hAnsi="新宋体" w:eastAsia="仿宋_GB2312" w:cs="仿宋_GB2312"/>
                <w:kern w:val="0"/>
                <w:szCs w:val="21"/>
                <w:lang w:bidi="ar"/>
              </w:rPr>
              <w:t>1.基本财务管理制度健全；</w:t>
            </w:r>
          </w:p>
          <w:p>
            <w:pPr>
              <w:widowControl/>
              <w:spacing w:line="240" w:lineRule="exact"/>
              <w:jc w:val="left"/>
              <w:rPr>
                <w:szCs w:val="21"/>
              </w:rPr>
            </w:pPr>
            <w:r>
              <w:rPr>
                <w:rFonts w:ascii="仿宋_GB2312" w:hAnsi="新宋体" w:eastAsia="仿宋_GB2312" w:cs="仿宋_GB2312"/>
                <w:kern w:val="0"/>
                <w:szCs w:val="21"/>
                <w:lang w:bidi="ar"/>
              </w:rPr>
              <w:t>2.基础数据信息和会计信息资料真实；</w:t>
            </w:r>
          </w:p>
          <w:p>
            <w:pPr>
              <w:widowControl/>
              <w:spacing w:line="240" w:lineRule="exact"/>
              <w:jc w:val="left"/>
              <w:rPr>
                <w:szCs w:val="21"/>
              </w:rPr>
            </w:pPr>
            <w:r>
              <w:rPr>
                <w:rFonts w:ascii="仿宋_GB2312" w:hAnsi="新宋体" w:eastAsia="仿宋_GB2312" w:cs="仿宋_GB2312"/>
                <w:kern w:val="0"/>
                <w:szCs w:val="21"/>
                <w:lang w:bidi="ar"/>
              </w:rPr>
              <w:t>3.基础数据信息和会计信息资料完整；</w:t>
            </w:r>
          </w:p>
          <w:p>
            <w:pPr>
              <w:widowControl/>
              <w:spacing w:line="240" w:lineRule="exact"/>
              <w:jc w:val="left"/>
              <w:rPr>
                <w:szCs w:val="21"/>
              </w:rPr>
            </w:pPr>
            <w:r>
              <w:rPr>
                <w:rFonts w:ascii="仿宋_GB2312" w:hAnsi="新宋体" w:eastAsia="仿宋_GB2312" w:cs="仿宋_GB2312"/>
                <w:kern w:val="0"/>
                <w:szCs w:val="21"/>
                <w:lang w:bidi="ar"/>
              </w:rPr>
              <w:t>4.基础数据信息和会计信息资料准确。</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符合全部四项（4）；</w:t>
            </w:r>
          </w:p>
          <w:p>
            <w:pPr>
              <w:widowControl/>
              <w:spacing w:line="240" w:lineRule="exact"/>
              <w:jc w:val="left"/>
              <w:rPr>
                <w:szCs w:val="21"/>
              </w:rPr>
            </w:pPr>
            <w:r>
              <w:rPr>
                <w:rFonts w:ascii="仿宋_GB2312" w:hAnsi="新宋体" w:eastAsia="仿宋_GB2312" w:cs="仿宋_GB2312"/>
                <w:kern w:val="0"/>
                <w:szCs w:val="21"/>
                <w:lang w:bidi="ar"/>
              </w:rPr>
              <w:t>符合其中三项（2）；</w:t>
            </w:r>
          </w:p>
          <w:p>
            <w:pPr>
              <w:widowControl/>
              <w:spacing w:line="240" w:lineRule="exact"/>
              <w:jc w:val="left"/>
              <w:rPr>
                <w:szCs w:val="21"/>
              </w:rPr>
            </w:pPr>
            <w:r>
              <w:rPr>
                <w:rFonts w:ascii="仿宋_GB2312" w:hAnsi="新宋体" w:eastAsia="仿宋_GB2312" w:cs="仿宋_GB2312"/>
                <w:kern w:val="0"/>
                <w:szCs w:val="21"/>
                <w:lang w:bidi="ar"/>
              </w:rPr>
              <w:t>符合其中两项（1）；</w:t>
            </w:r>
          </w:p>
          <w:p>
            <w:pPr>
              <w:widowControl/>
              <w:spacing w:line="240" w:lineRule="exact"/>
              <w:jc w:val="left"/>
              <w:rPr>
                <w:szCs w:val="21"/>
              </w:rPr>
            </w:pPr>
            <w:r>
              <w:rPr>
                <w:rFonts w:ascii="仿宋_GB2312" w:hAnsi="新宋体" w:eastAsia="仿宋_GB2312" w:cs="仿宋_GB2312"/>
                <w:kern w:val="0"/>
                <w:szCs w:val="21"/>
                <w:lang w:bidi="ar"/>
              </w:rPr>
              <w:t>符合其中一项及以下（0）。</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rFonts w:hint="eastAsia" w:eastAsiaTheme="minorEastAsia"/>
                <w:szCs w:val="21"/>
                <w:lang w:val="en-US" w:eastAsia="zh-CN"/>
              </w:rPr>
            </w:pPr>
            <w:r>
              <w:rPr>
                <w:rFonts w:hint="eastAsia"/>
                <w:szCs w:val="21"/>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资产管理</w:t>
            </w:r>
            <w:r>
              <w:rPr>
                <w:rFonts w:hint="eastAsia" w:ascii="仿宋_GB2312" w:hAnsi="新宋体" w:eastAsia="仿宋_GB2312" w:cs="仿宋_GB2312"/>
                <w:kern w:val="0"/>
                <w:szCs w:val="21"/>
                <w:lang w:bidi="ar"/>
              </w:rPr>
              <w:t>情况</w:t>
            </w:r>
            <w:r>
              <w:rPr>
                <w:rFonts w:ascii="仿宋_GB2312" w:hAnsi="新宋体" w:eastAsia="仿宋_GB2312" w:cs="仿宋_GB2312"/>
                <w:kern w:val="0"/>
                <w:szCs w:val="21"/>
                <w:lang w:bidi="ar"/>
              </w:rPr>
              <w:t>（</w:t>
            </w:r>
            <w:r>
              <w:rPr>
                <w:rFonts w:hint="eastAsia" w:ascii="仿宋_GB2312" w:hAnsi="新宋体" w:eastAsia="仿宋_GB2312" w:cs="仿宋_GB2312"/>
                <w:kern w:val="0"/>
                <w:szCs w:val="21"/>
                <w:lang w:bidi="ar"/>
              </w:rPr>
              <w:t>5分</w:t>
            </w:r>
            <w:r>
              <w:rPr>
                <w:rFonts w:ascii="仿宋_GB2312" w:hAnsi="新宋体" w:eastAsia="仿宋_GB2312" w:cs="仿宋_GB2312"/>
                <w:kern w:val="0"/>
                <w:szCs w:val="21"/>
                <w:lang w:bidi="ar"/>
              </w:rPr>
              <w:t>）</w:t>
            </w:r>
          </w:p>
        </w:tc>
        <w:tc>
          <w:tcPr>
            <w:tcW w:w="1275" w:type="dxa"/>
            <w:tcBorders>
              <w:top w:val="single" w:color="auto"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资产管理完整性（</w:t>
            </w:r>
            <w:r>
              <w:rPr>
                <w:rFonts w:hint="eastAsia" w:ascii="仿宋_GB2312" w:hAnsi="新宋体" w:eastAsia="仿宋_GB2312" w:cs="仿宋_GB2312"/>
                <w:kern w:val="0"/>
                <w:szCs w:val="21"/>
                <w:lang w:bidi="ar"/>
              </w:rPr>
              <w:t>2分</w:t>
            </w:r>
            <w:r>
              <w:rPr>
                <w:rFonts w:ascii="仿宋_GB2312" w:hAnsi="新宋体" w:eastAsia="仿宋_GB2312" w:cs="仿宋_GB2312"/>
                <w:kern w:val="0"/>
                <w:szCs w:val="21"/>
                <w:lang w:bidi="ar"/>
              </w:rPr>
              <w:t>）</w:t>
            </w:r>
          </w:p>
        </w:tc>
        <w:tc>
          <w:tcPr>
            <w:tcW w:w="3436" w:type="dxa"/>
            <w:tcBorders>
              <w:top w:val="single" w:color="auto"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部门的资产是否保存完整、使用合规、收入及时足额上缴，用以反映和评价部门资产运行情况。</w:t>
            </w:r>
          </w:p>
          <w:p>
            <w:pPr>
              <w:widowControl/>
              <w:spacing w:line="240" w:lineRule="exact"/>
              <w:jc w:val="left"/>
              <w:rPr>
                <w:szCs w:val="21"/>
              </w:rPr>
            </w:pPr>
            <w:r>
              <w:rPr>
                <w:rFonts w:ascii="仿宋_GB2312" w:hAnsi="新宋体" w:eastAsia="仿宋_GB2312" w:cs="仿宋_GB2312"/>
                <w:kern w:val="0"/>
                <w:szCs w:val="21"/>
                <w:lang w:bidi="ar"/>
              </w:rPr>
              <w:t>评价要点：</w:t>
            </w:r>
          </w:p>
          <w:p>
            <w:pPr>
              <w:widowControl/>
              <w:spacing w:line="240" w:lineRule="exact"/>
              <w:jc w:val="left"/>
              <w:rPr>
                <w:szCs w:val="21"/>
              </w:rPr>
            </w:pPr>
            <w:r>
              <w:rPr>
                <w:rFonts w:ascii="仿宋_GB2312" w:hAnsi="新宋体" w:eastAsia="仿宋_GB2312" w:cs="仿宋_GB2312"/>
                <w:kern w:val="0"/>
                <w:szCs w:val="21"/>
                <w:lang w:bidi="ar"/>
              </w:rPr>
              <w:t>1.资产保存完整；</w:t>
            </w:r>
          </w:p>
          <w:p>
            <w:pPr>
              <w:widowControl/>
              <w:spacing w:line="240" w:lineRule="exact"/>
              <w:jc w:val="left"/>
              <w:rPr>
                <w:szCs w:val="21"/>
              </w:rPr>
            </w:pPr>
            <w:r>
              <w:rPr>
                <w:rFonts w:ascii="仿宋_GB2312" w:hAnsi="新宋体" w:eastAsia="仿宋_GB2312" w:cs="仿宋_GB2312"/>
                <w:kern w:val="0"/>
                <w:szCs w:val="21"/>
                <w:lang w:bidi="ar"/>
              </w:rPr>
              <w:t>2.资产账务管理是否合规，</w:t>
            </w:r>
            <w:r>
              <w:rPr>
                <w:rFonts w:hint="eastAsia" w:ascii="仿宋_GB2312" w:hAnsi="新宋体" w:eastAsia="仿宋_GB2312" w:cs="仿宋_GB2312"/>
                <w:kern w:val="0"/>
                <w:szCs w:val="21"/>
                <w:lang w:eastAsia="zh-CN" w:bidi="ar"/>
              </w:rPr>
              <w:t>账</w:t>
            </w:r>
            <w:r>
              <w:rPr>
                <w:rFonts w:ascii="仿宋_GB2312" w:hAnsi="新宋体" w:eastAsia="仿宋_GB2312" w:cs="仿宋_GB2312"/>
                <w:kern w:val="0"/>
                <w:szCs w:val="21"/>
                <w:lang w:bidi="ar"/>
              </w:rPr>
              <w:t>实相符；</w:t>
            </w:r>
          </w:p>
          <w:p>
            <w:pPr>
              <w:widowControl/>
              <w:spacing w:line="240" w:lineRule="exact"/>
              <w:jc w:val="left"/>
              <w:rPr>
                <w:szCs w:val="21"/>
              </w:rPr>
            </w:pPr>
            <w:r>
              <w:rPr>
                <w:rFonts w:ascii="仿宋_GB2312" w:hAnsi="新宋体" w:eastAsia="仿宋_GB2312" w:cs="仿宋_GB2312"/>
                <w:kern w:val="0"/>
                <w:szCs w:val="21"/>
                <w:lang w:bidi="ar"/>
              </w:rPr>
              <w:t>3.资产有偿使用及处置收入及时足额上缴。</w:t>
            </w:r>
          </w:p>
        </w:tc>
        <w:tc>
          <w:tcPr>
            <w:tcW w:w="2373" w:type="dxa"/>
            <w:tcBorders>
              <w:top w:val="single" w:color="auto"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符合全部三项（3）；</w:t>
            </w:r>
          </w:p>
          <w:p>
            <w:pPr>
              <w:widowControl/>
              <w:spacing w:line="240" w:lineRule="exact"/>
              <w:jc w:val="left"/>
              <w:rPr>
                <w:szCs w:val="21"/>
              </w:rPr>
            </w:pPr>
            <w:r>
              <w:rPr>
                <w:rFonts w:ascii="仿宋_GB2312" w:hAnsi="新宋体" w:eastAsia="仿宋_GB2312" w:cs="仿宋_GB2312"/>
                <w:kern w:val="0"/>
                <w:szCs w:val="21"/>
                <w:lang w:bidi="ar"/>
              </w:rPr>
              <w:t>符合其中两项（2）；</w:t>
            </w:r>
          </w:p>
          <w:p>
            <w:pPr>
              <w:widowControl/>
              <w:spacing w:line="240" w:lineRule="exact"/>
              <w:jc w:val="left"/>
              <w:rPr>
                <w:szCs w:val="21"/>
              </w:rPr>
            </w:pPr>
            <w:r>
              <w:rPr>
                <w:rFonts w:ascii="仿宋_GB2312" w:hAnsi="新宋体" w:eastAsia="仿宋_GB2312" w:cs="仿宋_GB2312"/>
                <w:kern w:val="0"/>
                <w:szCs w:val="21"/>
                <w:lang w:bidi="ar"/>
              </w:rPr>
              <w:t>符合其中一项（1）；</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符合零项（0）。</w:t>
            </w:r>
          </w:p>
        </w:tc>
        <w:tc>
          <w:tcPr>
            <w:tcW w:w="764" w:type="dxa"/>
            <w:tcBorders>
              <w:top w:val="single" w:color="auto" w:sz="4" w:space="0"/>
              <w:left w:val="single" w:color="auto" w:sz="4" w:space="0"/>
              <w:bottom w:val="single" w:color="000000" w:sz="4" w:space="0"/>
              <w:right w:val="single" w:color="000000" w:sz="4" w:space="0"/>
            </w:tcBorders>
            <w:vAlign w:val="center"/>
          </w:tcPr>
          <w:p>
            <w:pPr>
              <w:widowControl/>
              <w:spacing w:line="240" w:lineRule="exact"/>
              <w:jc w:val="left"/>
              <w:rPr>
                <w:rFonts w:hint="eastAsia" w:eastAsiaTheme="minorEastAsia"/>
                <w:szCs w:val="21"/>
                <w:lang w:val="en-US" w:eastAsia="zh-CN"/>
              </w:rPr>
            </w:pPr>
            <w:r>
              <w:rPr>
                <w:rFonts w:hint="eastAsia"/>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1275" w:type="dxa"/>
            <w:tcBorders>
              <w:top w:val="single" w:color="auto"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固定资产利用率（</w:t>
            </w:r>
            <w:r>
              <w:rPr>
                <w:rFonts w:hint="eastAsia" w:ascii="仿宋_GB2312" w:hAnsi="新宋体" w:eastAsia="仿宋_GB2312" w:cs="仿宋_GB2312"/>
                <w:kern w:val="0"/>
                <w:szCs w:val="21"/>
                <w:lang w:bidi="ar"/>
              </w:rPr>
              <w:t>3分</w:t>
            </w:r>
            <w:r>
              <w:rPr>
                <w:rFonts w:ascii="仿宋_GB2312" w:hAnsi="新宋体" w:eastAsia="仿宋_GB2312" w:cs="仿宋_GB2312"/>
                <w:kern w:val="0"/>
                <w:szCs w:val="21"/>
                <w:lang w:bidi="ar"/>
              </w:rPr>
              <w:t>）</w:t>
            </w:r>
          </w:p>
        </w:tc>
        <w:tc>
          <w:tcPr>
            <w:tcW w:w="3436" w:type="dxa"/>
            <w:tcBorders>
              <w:top w:val="single" w:color="auto"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部门实际在用固定资产总额与所有固定资产总额的比率，用以反映和评价部门固定资产使用效率。</w:t>
            </w:r>
          </w:p>
          <w:p>
            <w:pPr>
              <w:widowControl/>
              <w:spacing w:line="240" w:lineRule="exact"/>
              <w:jc w:val="left"/>
              <w:rPr>
                <w:szCs w:val="21"/>
              </w:rPr>
            </w:pPr>
            <w:r>
              <w:rPr>
                <w:rFonts w:ascii="仿宋_GB2312" w:hAnsi="新宋体" w:eastAsia="仿宋_GB2312" w:cs="仿宋_GB2312"/>
                <w:kern w:val="0"/>
                <w:szCs w:val="21"/>
                <w:lang w:bidi="ar"/>
              </w:rPr>
              <w:t>固定资产利用率=（实际在用固定资产总额/所有固定资产总额）×100%。</w:t>
            </w:r>
          </w:p>
        </w:tc>
        <w:tc>
          <w:tcPr>
            <w:tcW w:w="2373" w:type="dxa"/>
            <w:tcBorders>
              <w:top w:val="single" w:color="auto"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1.固定资产利用率大于或等于95%的，得满分；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2.固定资产利用率小于或等于85%的，得0分；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3.固定资产利用率在85%-95%之间的，在0和满分之间计算确定：</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得分=［某部门固定资产利用率-min（固定资产利用率）］/［max（固定资产利用率）-min（固定资产利用率）］×该指标分值。</w:t>
            </w:r>
          </w:p>
        </w:tc>
        <w:tc>
          <w:tcPr>
            <w:tcW w:w="764" w:type="dxa"/>
            <w:tcBorders>
              <w:top w:val="single" w:color="auto" w:sz="4" w:space="0"/>
              <w:left w:val="single" w:color="auto" w:sz="4" w:space="0"/>
              <w:bottom w:val="single" w:color="000000" w:sz="4" w:space="0"/>
              <w:right w:val="single" w:color="000000" w:sz="4" w:space="0"/>
            </w:tcBorders>
            <w:vAlign w:val="center"/>
          </w:tcPr>
          <w:p>
            <w:pPr>
              <w:widowControl/>
              <w:spacing w:line="240" w:lineRule="exact"/>
              <w:jc w:val="left"/>
              <w:rPr>
                <w:rFonts w:hint="eastAsia" w:eastAsiaTheme="minorEastAsia"/>
                <w:szCs w:val="21"/>
                <w:lang w:val="en-US" w:eastAsia="zh-CN"/>
              </w:rPr>
            </w:pPr>
            <w:r>
              <w:rPr>
                <w:rFonts w:hint="eastAsia"/>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产出(2</w:t>
            </w:r>
            <w:r>
              <w:rPr>
                <w:rFonts w:hint="eastAsia" w:ascii="仿宋_GB2312" w:hAnsi="新宋体" w:eastAsia="仿宋_GB2312" w:cs="仿宋_GB2312"/>
                <w:kern w:val="0"/>
                <w:szCs w:val="21"/>
                <w:lang w:bidi="ar"/>
              </w:rPr>
              <w:t>5分</w:t>
            </w:r>
            <w:r>
              <w:rPr>
                <w:rFonts w:ascii="仿宋_GB2312" w:hAnsi="新宋体" w:eastAsia="仿宋_GB2312" w:cs="仿宋_GB2312"/>
                <w:kern w:val="0"/>
                <w:szCs w:val="21"/>
                <w:lang w:bidi="ar"/>
              </w:rPr>
              <w:t>)</w:t>
            </w: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职责履行</w:t>
            </w:r>
            <w:r>
              <w:rPr>
                <w:rFonts w:hint="eastAsia" w:ascii="仿宋_GB2312" w:hAnsi="新宋体" w:eastAsia="仿宋_GB2312" w:cs="仿宋_GB2312"/>
                <w:kern w:val="0"/>
                <w:szCs w:val="21"/>
                <w:lang w:bidi="ar"/>
              </w:rPr>
              <w:t>情况</w:t>
            </w:r>
            <w:r>
              <w:rPr>
                <w:rFonts w:ascii="仿宋_GB2312" w:hAnsi="新宋体" w:eastAsia="仿宋_GB2312" w:cs="仿宋_GB2312"/>
                <w:kern w:val="0"/>
                <w:szCs w:val="21"/>
                <w:lang w:bidi="ar"/>
              </w:rPr>
              <w:t>（2</w:t>
            </w:r>
            <w:r>
              <w:rPr>
                <w:rFonts w:hint="eastAsia" w:ascii="仿宋_GB2312" w:hAnsi="新宋体" w:eastAsia="仿宋_GB2312" w:cs="仿宋_GB2312"/>
                <w:kern w:val="0"/>
                <w:szCs w:val="21"/>
                <w:lang w:bidi="ar"/>
              </w:rPr>
              <w:t>5</w:t>
            </w:r>
            <w:r>
              <w:rPr>
                <w:rFonts w:ascii="仿宋_GB2312" w:hAnsi="新宋体" w:eastAsia="仿宋_GB2312" w:cs="仿宋_GB2312"/>
                <w:kern w:val="0"/>
                <w:szCs w:val="21"/>
                <w:lang w:bidi="ar"/>
              </w:rPr>
              <w:t>）</w:t>
            </w:r>
          </w:p>
        </w:tc>
        <w:tc>
          <w:tcPr>
            <w:tcW w:w="1275" w:type="dxa"/>
            <w:tcBorders>
              <w:top w:val="single" w:color="000000" w:sz="4" w:space="0"/>
              <w:left w:val="single" w:color="000000" w:sz="4" w:space="0"/>
              <w:bottom w:val="single" w:color="auto" w:sz="4" w:space="0"/>
              <w:right w:val="single" w:color="auto" w:sz="4" w:space="0"/>
            </w:tcBorders>
            <w:vAlign w:val="center"/>
          </w:tcPr>
          <w:p>
            <w:pPr>
              <w:widowControl/>
              <w:spacing w:line="240" w:lineRule="exact"/>
              <w:jc w:val="left"/>
              <w:rPr>
                <w:szCs w:val="21"/>
              </w:rPr>
            </w:pPr>
            <w:r>
              <w:rPr>
                <w:rFonts w:hint="eastAsia" w:ascii="仿宋_GB2312" w:hAnsi="新宋体" w:eastAsia="仿宋_GB2312" w:cs="仿宋_GB2312"/>
                <w:kern w:val="0"/>
                <w:szCs w:val="21"/>
                <w:lang w:bidi="ar"/>
              </w:rPr>
              <w:t>履职完成情况</w:t>
            </w:r>
            <w:r>
              <w:rPr>
                <w:rFonts w:ascii="仿宋_GB2312" w:hAnsi="新宋体" w:eastAsia="仿宋_GB2312" w:cs="仿宋_GB2312"/>
                <w:kern w:val="0"/>
                <w:szCs w:val="21"/>
                <w:lang w:bidi="ar"/>
              </w:rPr>
              <w:t>（</w:t>
            </w:r>
            <w:r>
              <w:rPr>
                <w:rFonts w:hint="eastAsia" w:ascii="仿宋_GB2312" w:hAnsi="新宋体" w:eastAsia="仿宋_GB2312" w:cs="仿宋_GB2312"/>
                <w:kern w:val="0"/>
                <w:szCs w:val="21"/>
                <w:lang w:bidi="ar"/>
              </w:rPr>
              <w:t>10分</w:t>
            </w:r>
            <w:r>
              <w:rPr>
                <w:rFonts w:ascii="仿宋_GB2312" w:hAnsi="新宋体" w:eastAsia="仿宋_GB2312" w:cs="仿宋_GB2312"/>
                <w:kern w:val="0"/>
                <w:szCs w:val="21"/>
                <w:lang w:bidi="ar"/>
              </w:rPr>
              <w:t>）</w:t>
            </w:r>
          </w:p>
        </w:tc>
        <w:tc>
          <w:tcPr>
            <w:tcW w:w="3436"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textAlignment w:val="center"/>
              <w:rPr>
                <w:szCs w:val="21"/>
              </w:rPr>
            </w:pPr>
            <w:r>
              <w:rPr>
                <w:rFonts w:hint="eastAsia" w:ascii="仿宋" w:hAnsi="仿宋" w:eastAsia="仿宋" w:cs="仿宋"/>
                <w:color w:val="000000"/>
                <w:kern w:val="0"/>
                <w:szCs w:val="21"/>
                <w:lang w:bidi="ar"/>
              </w:rPr>
              <w:t>根据年度主要任务分解表</w:t>
            </w:r>
            <w:bookmarkStart w:id="0" w:name="_GoBack"/>
            <w:bookmarkEnd w:id="0"/>
            <w:r>
              <w:rPr>
                <w:rFonts w:hint="eastAsia" w:ascii="仿宋" w:hAnsi="仿宋" w:eastAsia="仿宋" w:cs="仿宋"/>
                <w:color w:val="000000"/>
                <w:kern w:val="0"/>
                <w:szCs w:val="21"/>
                <w:lang w:bidi="ar"/>
              </w:rPr>
              <w:t>的具体任务，逐项评价任务量化指标完成情况、实施效果和责任制建立情况。用以反映和考核部门（单位）履职工作任务目标的完成情况。评价要点：</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 xml:space="preserve">1.每项任务是否已制定了明确、具体、可量化、可衡量的绩效指标；           </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2.每项任务绩效指标的完成情况，是全部完成、基本完成、未完成，还是未实施；</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3.每项任务实施效果情况，是优秀、良好、一般，还是无效果；</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4.每项任务是否建立了目标责任制，是否落实到具体部门和人员负责。</w:t>
            </w:r>
          </w:p>
        </w:tc>
        <w:tc>
          <w:tcPr>
            <w:tcW w:w="2373"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textAlignment w:val="center"/>
              <w:rPr>
                <w:szCs w:val="21"/>
              </w:rPr>
            </w:pPr>
            <w:r>
              <w:rPr>
                <w:rFonts w:hint="eastAsia" w:ascii="仿宋" w:hAnsi="仿宋" w:eastAsia="仿宋" w:cs="仿宋"/>
                <w:color w:val="000000"/>
                <w:kern w:val="0"/>
                <w:szCs w:val="21"/>
                <w:lang w:bidi="ar"/>
              </w:rPr>
              <w:t>根据不同部门履职的内容和特点，具体测算部门履职工作任务目标的完成情况。</w:t>
            </w:r>
          </w:p>
        </w:tc>
        <w:tc>
          <w:tcPr>
            <w:tcW w:w="764" w:type="dxa"/>
            <w:tcBorders>
              <w:top w:val="single" w:color="000000" w:sz="4" w:space="0"/>
              <w:left w:val="single" w:color="auto" w:sz="4" w:space="0"/>
              <w:bottom w:val="single" w:color="auto" w:sz="4" w:space="0"/>
              <w:right w:val="single" w:color="000000" w:sz="4" w:space="0"/>
            </w:tcBorders>
            <w:vAlign w:val="center"/>
          </w:tcPr>
          <w:p>
            <w:pPr>
              <w:widowControl/>
              <w:spacing w:line="240" w:lineRule="exact"/>
              <w:jc w:val="left"/>
              <w:rPr>
                <w:rFonts w:hint="eastAsia" w:eastAsiaTheme="minorEastAsia"/>
                <w:szCs w:val="21"/>
                <w:lang w:val="en-US" w:eastAsia="zh-CN"/>
              </w:rPr>
            </w:pPr>
            <w:r>
              <w:rPr>
                <w:rFonts w:hint="eastAsia"/>
                <w:szCs w:val="21"/>
                <w:lang w:val="en-US" w:eastAsia="zh-CN"/>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90"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1275" w:type="dxa"/>
            <w:tcBorders>
              <w:top w:val="single" w:color="000000" w:sz="4" w:space="0"/>
              <w:left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项目</w:t>
            </w:r>
            <w:r>
              <w:rPr>
                <w:rFonts w:hint="eastAsia" w:ascii="仿宋_GB2312" w:hAnsi="新宋体" w:eastAsia="仿宋_GB2312" w:cs="仿宋_GB2312"/>
                <w:kern w:val="0"/>
                <w:szCs w:val="21"/>
                <w:lang w:bidi="ar"/>
              </w:rPr>
              <w:t>完成</w:t>
            </w:r>
            <w:r>
              <w:rPr>
                <w:rFonts w:ascii="仿宋_GB2312" w:hAnsi="新宋体" w:eastAsia="仿宋_GB2312" w:cs="仿宋_GB2312"/>
                <w:kern w:val="0"/>
                <w:szCs w:val="21"/>
                <w:lang w:bidi="ar"/>
              </w:rPr>
              <w:t>质量达标率（</w:t>
            </w:r>
            <w:r>
              <w:rPr>
                <w:rFonts w:hint="eastAsia" w:ascii="仿宋_GB2312" w:hAnsi="新宋体" w:eastAsia="仿宋_GB2312" w:cs="仿宋_GB2312"/>
                <w:kern w:val="0"/>
                <w:szCs w:val="21"/>
                <w:lang w:bidi="ar"/>
              </w:rPr>
              <w:t>15</w:t>
            </w:r>
            <w:r>
              <w:rPr>
                <w:rFonts w:ascii="仿宋_GB2312" w:hAnsi="新宋体" w:eastAsia="仿宋_GB2312" w:cs="仿宋_GB2312"/>
                <w:kern w:val="0"/>
                <w:szCs w:val="21"/>
                <w:lang w:bidi="ar"/>
              </w:rPr>
              <w:t>）</w:t>
            </w:r>
          </w:p>
        </w:tc>
        <w:tc>
          <w:tcPr>
            <w:tcW w:w="3436" w:type="dxa"/>
            <w:tcBorders>
              <w:top w:val="single" w:color="000000" w:sz="4" w:space="0"/>
              <w:left w:val="single" w:color="auto"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部门已完成项目中质量达标项目个数占已完成项目个数的比率,用以反映和评价部门履职质量目标的实现程度。</w:t>
            </w:r>
          </w:p>
          <w:p>
            <w:pPr>
              <w:widowControl/>
              <w:spacing w:line="240" w:lineRule="exact"/>
              <w:jc w:val="left"/>
              <w:rPr>
                <w:szCs w:val="21"/>
              </w:rPr>
            </w:pPr>
            <w:r>
              <w:rPr>
                <w:rFonts w:ascii="仿宋_GB2312" w:hAnsi="新宋体" w:eastAsia="仿宋_GB2312" w:cs="仿宋_GB2312"/>
                <w:kern w:val="0"/>
                <w:szCs w:val="21"/>
                <w:lang w:bidi="ar"/>
              </w:rPr>
              <w:t>项目质量达标率=（已完成项目中质量达标项目个数/已完成项目个数）×100%。</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项目质量达标是指项目决算验收合格。</w:t>
            </w:r>
          </w:p>
        </w:tc>
        <w:tc>
          <w:tcPr>
            <w:tcW w:w="2373" w:type="dxa"/>
            <w:tcBorders>
              <w:top w:val="single" w:color="000000" w:sz="4" w:space="0"/>
              <w:left w:val="single" w:color="auto"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1.项目质量达标率等于100%的，得满分；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2.项目质量达标率小于或等于99%的，得0分；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 xml:space="preserve">3.项目质量达标率在99%-100%之间的，在0和满分之间计算确定： </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得分=［某部门项目质量达标率-min（项目质量达标率）］/［max（项目质量达标率）-min（项目质量达标率）］×该指标分值。</w:t>
            </w:r>
          </w:p>
        </w:tc>
        <w:tc>
          <w:tcPr>
            <w:tcW w:w="764" w:type="dxa"/>
            <w:tcBorders>
              <w:top w:val="single" w:color="000000" w:sz="4" w:space="0"/>
              <w:left w:val="single" w:color="auto" w:sz="4" w:space="0"/>
              <w:bottom w:val="single" w:color="auto" w:sz="4" w:space="0"/>
              <w:right w:val="single" w:color="000000" w:sz="4" w:space="0"/>
            </w:tcBorders>
            <w:vAlign w:val="center"/>
          </w:tcPr>
          <w:p>
            <w:pPr>
              <w:widowControl/>
              <w:spacing w:line="240" w:lineRule="exact"/>
              <w:jc w:val="left"/>
              <w:rPr>
                <w:rFonts w:hint="default" w:eastAsiaTheme="minorEastAsia"/>
                <w:szCs w:val="21"/>
                <w:lang w:val="en-US" w:eastAsia="zh-CN"/>
              </w:rPr>
            </w:pPr>
            <w:r>
              <w:rPr>
                <w:rFonts w:hint="eastAsia"/>
                <w:szCs w:val="21"/>
                <w:lang w:val="en-US" w:eastAsia="zh-CN"/>
              </w:rPr>
              <w:t>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效果（</w:t>
            </w:r>
            <w:r>
              <w:rPr>
                <w:rFonts w:hint="eastAsia" w:ascii="仿宋_GB2312" w:hAnsi="新宋体" w:eastAsia="仿宋_GB2312" w:cs="仿宋_GB2312"/>
                <w:kern w:val="0"/>
                <w:szCs w:val="21"/>
                <w:lang w:bidi="ar"/>
              </w:rPr>
              <w:t>2</w:t>
            </w:r>
            <w:r>
              <w:rPr>
                <w:rFonts w:ascii="仿宋_GB2312" w:hAnsi="新宋体" w:eastAsia="仿宋_GB2312" w:cs="仿宋_GB2312"/>
                <w:kern w:val="0"/>
                <w:szCs w:val="21"/>
                <w:lang w:bidi="ar"/>
              </w:rPr>
              <w:t>0</w:t>
            </w:r>
            <w:r>
              <w:rPr>
                <w:rFonts w:hint="eastAsia" w:ascii="仿宋_GB2312" w:hAnsi="新宋体" w:eastAsia="仿宋_GB2312" w:cs="仿宋_GB2312"/>
                <w:kern w:val="0"/>
                <w:szCs w:val="21"/>
                <w:lang w:bidi="ar"/>
              </w:rPr>
              <w:t>分</w:t>
            </w:r>
            <w:r>
              <w:rPr>
                <w:rFonts w:ascii="仿宋_GB2312" w:hAnsi="新宋体" w:eastAsia="仿宋_GB2312" w:cs="仿宋_GB2312"/>
                <w:kern w:val="0"/>
                <w:szCs w:val="21"/>
                <w:lang w:bidi="ar"/>
              </w:rPr>
              <w:t>）</w:t>
            </w:r>
          </w:p>
        </w:tc>
        <w:tc>
          <w:tcPr>
            <w:tcW w:w="743" w:type="dxa"/>
            <w:vMerge w:val="restart"/>
            <w:tcBorders>
              <w:top w:val="single" w:color="auto" w:sz="4" w:space="0"/>
              <w:left w:val="single" w:color="000000" w:sz="4" w:space="0"/>
              <w:right w:val="single" w:color="000000" w:sz="4" w:space="0"/>
            </w:tcBorders>
            <w:vAlign w:val="center"/>
          </w:tcPr>
          <w:p>
            <w:pPr>
              <w:widowControl/>
              <w:spacing w:line="240" w:lineRule="exact"/>
              <w:jc w:val="left"/>
              <w:rPr>
                <w:rFonts w:ascii="仿宋_GB2312" w:hAnsi="新宋体" w:eastAsia="仿宋_GB2312" w:cs="仿宋_GB2312"/>
                <w:kern w:val="0"/>
                <w:szCs w:val="21"/>
                <w:lang w:bidi="ar"/>
              </w:rPr>
            </w:pPr>
          </w:p>
          <w:p>
            <w:pPr>
              <w:widowControl/>
              <w:spacing w:line="240" w:lineRule="exact"/>
              <w:jc w:val="left"/>
              <w:rPr>
                <w:rFonts w:ascii="仿宋_GB2312" w:hAnsi="新宋体" w:eastAsia="仿宋_GB2312" w:cs="仿宋_GB2312"/>
                <w:kern w:val="0"/>
                <w:szCs w:val="21"/>
                <w:lang w:bidi="ar"/>
              </w:rPr>
            </w:pPr>
            <w:r>
              <w:rPr>
                <w:rFonts w:hint="eastAsia" w:ascii="仿宋_GB2312" w:hAnsi="新宋体" w:eastAsia="仿宋_GB2312" w:cs="仿宋_GB2312"/>
                <w:kern w:val="0"/>
                <w:szCs w:val="21"/>
                <w:lang w:bidi="ar"/>
              </w:rPr>
              <w:t>履职效益情况</w:t>
            </w:r>
          </w:p>
          <w:p>
            <w:pPr>
              <w:widowControl/>
              <w:spacing w:line="240" w:lineRule="exact"/>
              <w:jc w:val="left"/>
              <w:rPr>
                <w:rFonts w:ascii="仿宋_GB2312" w:hAnsi="新宋体" w:eastAsia="仿宋_GB2312" w:cs="仿宋_GB2312"/>
                <w:kern w:val="0"/>
                <w:szCs w:val="21"/>
                <w:lang w:bidi="ar"/>
              </w:rPr>
            </w:pPr>
            <w:r>
              <w:rPr>
                <w:rFonts w:ascii="仿宋_GB2312" w:hAnsi="新宋体" w:eastAsia="仿宋_GB2312" w:cs="仿宋_GB2312"/>
                <w:kern w:val="0"/>
                <w:szCs w:val="21"/>
                <w:lang w:bidi="ar"/>
              </w:rPr>
              <w:t>（</w:t>
            </w:r>
            <w:r>
              <w:rPr>
                <w:rFonts w:hint="eastAsia" w:ascii="仿宋_GB2312" w:hAnsi="新宋体" w:eastAsia="仿宋_GB2312" w:cs="仿宋_GB2312"/>
                <w:kern w:val="0"/>
                <w:szCs w:val="21"/>
                <w:lang w:bidi="ar"/>
              </w:rPr>
              <w:t>2</w:t>
            </w:r>
            <w:r>
              <w:rPr>
                <w:rFonts w:ascii="仿宋_GB2312" w:hAnsi="新宋体" w:eastAsia="仿宋_GB2312" w:cs="仿宋_GB2312"/>
                <w:kern w:val="0"/>
                <w:szCs w:val="21"/>
                <w:lang w:bidi="ar"/>
              </w:rPr>
              <w:t>0</w:t>
            </w:r>
            <w:r>
              <w:rPr>
                <w:rFonts w:hint="eastAsia" w:ascii="仿宋_GB2312" w:hAnsi="新宋体" w:eastAsia="仿宋_GB2312" w:cs="仿宋_GB2312"/>
                <w:kern w:val="0"/>
                <w:szCs w:val="21"/>
                <w:lang w:bidi="ar"/>
              </w:rPr>
              <w:t>分</w:t>
            </w:r>
            <w:r>
              <w:rPr>
                <w:rFonts w:ascii="仿宋_GB2312" w:hAnsi="新宋体" w:eastAsia="仿宋_GB2312" w:cs="仿宋_GB2312"/>
                <w:kern w:val="0"/>
                <w:szCs w:val="21"/>
                <w:lang w:bidi="ar"/>
              </w:rPr>
              <w:t>）</w:t>
            </w: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hint="eastAsia" w:ascii="仿宋_GB2312" w:hAnsi="新宋体" w:eastAsia="仿宋_GB2312" w:cs="仿宋_GB2312"/>
                <w:color w:val="000000"/>
                <w:kern w:val="0"/>
                <w:szCs w:val="21"/>
                <w:lang w:bidi="ar"/>
              </w:rPr>
              <w:t>经济效益</w:t>
            </w:r>
            <w:r>
              <w:rPr>
                <w:rFonts w:ascii="仿宋_GB2312" w:hAnsi="新宋体" w:eastAsia="仿宋_GB2312" w:cs="仿宋_GB2312"/>
                <w:kern w:val="0"/>
                <w:szCs w:val="21"/>
                <w:lang w:bidi="ar"/>
              </w:rPr>
              <w:t>（5</w:t>
            </w:r>
            <w:r>
              <w:rPr>
                <w:rFonts w:hint="eastAsia" w:ascii="仿宋_GB2312" w:hAnsi="新宋体" w:eastAsia="仿宋_GB2312" w:cs="仿宋_GB2312"/>
                <w:kern w:val="0"/>
                <w:szCs w:val="21"/>
                <w:lang w:bidi="ar"/>
              </w:rPr>
              <w:t>分</w:t>
            </w:r>
            <w:r>
              <w:rPr>
                <w:rFonts w:ascii="仿宋_GB2312" w:hAnsi="新宋体" w:eastAsia="仿宋_GB2312" w:cs="仿宋_GB2312"/>
                <w:kern w:val="0"/>
                <w:szCs w:val="21"/>
                <w:lang w:bidi="ar"/>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部门及所属二级单位通过履行职责和预算安排支出项目的实施，对我市带来的经济影响。</w:t>
            </w:r>
          </w:p>
          <w:p>
            <w:pPr>
              <w:widowControl/>
              <w:spacing w:line="240" w:lineRule="exact"/>
              <w:jc w:val="left"/>
              <w:textAlignment w:val="center"/>
              <w:rPr>
                <w:rFonts w:ascii="仿宋" w:hAnsi="仿宋" w:eastAsia="仿宋" w:cs="仿宋"/>
                <w:szCs w:val="21"/>
              </w:rPr>
            </w:pPr>
            <w:r>
              <w:rPr>
                <w:rFonts w:hint="eastAsia" w:ascii="仿宋" w:hAnsi="仿宋" w:eastAsia="仿宋" w:cs="仿宋"/>
                <w:color w:val="000000"/>
                <w:kern w:val="0"/>
                <w:szCs w:val="21"/>
                <w:lang w:bidi="ar"/>
              </w:rPr>
              <w:t>评价要点：</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 xml:space="preserve">1.通过部门所属企事业单位改革，促进了企事业单位效益增长情况；          </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2.通过预算支出项目的实施，促进了行业生产能力增长，从而带动行业经济效益增长；</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3.通过预算支出项目的实施，有效提高劳动效率，节约成本费用；</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4.通过预算支出项目的实施，降低了损耗，从而提高了生产效益；</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5.通过预算支出项目的实施，完善了突发情况的监测预警，保障了生产安全，降低了生产损失。</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textAlignment w:val="center"/>
              <w:rPr>
                <w:rFonts w:ascii="仿宋" w:hAnsi="仿宋" w:eastAsia="仿宋" w:cs="仿宋"/>
                <w:szCs w:val="21"/>
              </w:rPr>
            </w:pPr>
            <w:r>
              <w:rPr>
                <w:rFonts w:hint="eastAsia" w:ascii="仿宋" w:hAnsi="仿宋" w:eastAsia="仿宋" w:cs="仿宋"/>
                <w:color w:val="000000"/>
                <w:kern w:val="0"/>
                <w:szCs w:val="21"/>
                <w:lang w:bidi="ar"/>
              </w:rPr>
              <w:t>根据不同部门履职的内容和特点，具体测算部门履职产生的经济效益。</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rFonts w:hint="eastAsia" w:eastAsiaTheme="minorEastAsia"/>
                <w:szCs w:val="21"/>
                <w:lang w:val="en-US" w:eastAsia="zh-CN"/>
              </w:rPr>
            </w:pPr>
            <w:r>
              <w:rPr>
                <w:rFonts w:hint="eastAsia"/>
                <w:szCs w:val="21"/>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left w:val="single" w:color="000000" w:sz="4" w:space="0"/>
              <w:right w:val="single" w:color="000000" w:sz="4" w:space="0"/>
            </w:tcBorders>
            <w:vAlign w:val="center"/>
          </w:tcPr>
          <w:p>
            <w:pPr>
              <w:widowControl/>
              <w:spacing w:line="240" w:lineRule="exact"/>
              <w:jc w:val="left"/>
              <w:rPr>
                <w:rFonts w:ascii="仿宋_GB2312" w:hAnsi="新宋体" w:eastAsia="仿宋_GB2312" w:cs="仿宋_GB2312"/>
                <w:kern w:val="0"/>
                <w:szCs w:val="21"/>
                <w:lang w:bidi="ar"/>
              </w:rPr>
            </w:pPr>
          </w:p>
        </w:tc>
        <w:tc>
          <w:tcPr>
            <w:tcW w:w="743" w:type="dxa"/>
            <w:vMerge w:val="continue"/>
            <w:tcBorders>
              <w:left w:val="single" w:color="000000" w:sz="4" w:space="0"/>
              <w:right w:val="single" w:color="000000" w:sz="4" w:space="0"/>
            </w:tcBorders>
            <w:vAlign w:val="center"/>
          </w:tcPr>
          <w:p>
            <w:pPr>
              <w:widowControl/>
              <w:spacing w:line="240" w:lineRule="exact"/>
              <w:jc w:val="left"/>
              <w:rPr>
                <w:rFonts w:ascii="仿宋_GB2312" w:hAnsi="新宋体" w:eastAsia="仿宋_GB2312" w:cs="仿宋_GB2312"/>
                <w:kern w:val="0"/>
                <w:szCs w:val="21"/>
                <w:lang w:bidi="ar"/>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rPr>
                <w:rFonts w:ascii="仿宋_GB2312" w:hAnsi="新宋体" w:eastAsia="仿宋_GB2312" w:cs="仿宋_GB2312"/>
                <w:color w:val="000000"/>
                <w:kern w:val="0"/>
                <w:szCs w:val="21"/>
                <w:lang w:bidi="ar"/>
              </w:rPr>
            </w:pPr>
            <w:r>
              <w:rPr>
                <w:rFonts w:hint="eastAsia" w:ascii="仿宋_GB2312" w:hAnsi="新宋体" w:eastAsia="仿宋_GB2312" w:cs="仿宋_GB2312"/>
                <w:color w:val="000000"/>
                <w:kern w:val="0"/>
                <w:szCs w:val="21"/>
                <w:lang w:bidi="ar"/>
              </w:rPr>
              <w:t>社会效益（5分）</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部门及所属二级单位履行职责对社会发展所带来的直接或间接影响。</w:t>
            </w:r>
          </w:p>
          <w:p>
            <w:pPr>
              <w:widowControl/>
              <w:spacing w:line="240" w:lineRule="exact"/>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评价要点：</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 xml:space="preserve">1.通过部门所属企事业单位的改革，促进了企事业单位可持续发展，带动就业增长情况；          </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2.通过预算支出项目的实施，是否明显促进了行业精神文明建设；</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3.通过部门履职是否明显提高城乡居民生活水平，满足了人们日益增长的物质与文化生活需求；</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4.通过预算项目的实施，是否提高了劳动生产率，降低了劳动强度，促进了劳动人民的身心健康；</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5.通过部门履职行业形象是否得到了大大提升了，增强了部门影响力。</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textAlignment w:val="center"/>
              <w:rPr>
                <w:rFonts w:ascii="仿宋" w:hAnsi="仿宋" w:eastAsia="仿宋" w:cs="仿宋"/>
                <w:szCs w:val="21"/>
              </w:rPr>
            </w:pPr>
            <w:r>
              <w:rPr>
                <w:rFonts w:hint="eastAsia" w:ascii="仿宋" w:hAnsi="仿宋" w:eastAsia="仿宋" w:cs="仿宋"/>
                <w:color w:val="000000"/>
                <w:kern w:val="0"/>
                <w:szCs w:val="21"/>
                <w:lang w:bidi="ar"/>
              </w:rPr>
              <w:t>根据不同部门履职的内容和特点，具体测算部门履职产生的社会效益。</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rFonts w:hint="eastAsia" w:eastAsiaTheme="minorEastAsia"/>
                <w:szCs w:val="21"/>
                <w:lang w:val="en-US" w:eastAsia="zh-CN"/>
              </w:rPr>
            </w:pPr>
            <w:r>
              <w:rPr>
                <w:rFonts w:hint="eastAsia"/>
                <w:szCs w:val="21"/>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left w:val="single" w:color="000000" w:sz="4" w:space="0"/>
              <w:right w:val="single" w:color="000000" w:sz="4" w:space="0"/>
            </w:tcBorders>
            <w:vAlign w:val="center"/>
          </w:tcPr>
          <w:p>
            <w:pPr>
              <w:widowControl/>
              <w:spacing w:line="240" w:lineRule="exact"/>
              <w:jc w:val="left"/>
              <w:rPr>
                <w:rFonts w:ascii="仿宋_GB2312" w:hAnsi="新宋体" w:eastAsia="仿宋_GB2312" w:cs="仿宋_GB2312"/>
                <w:kern w:val="0"/>
                <w:szCs w:val="21"/>
                <w:lang w:bidi="ar"/>
              </w:rPr>
            </w:pPr>
          </w:p>
        </w:tc>
        <w:tc>
          <w:tcPr>
            <w:tcW w:w="743" w:type="dxa"/>
            <w:vMerge w:val="continue"/>
            <w:tcBorders>
              <w:left w:val="single" w:color="000000" w:sz="4" w:space="0"/>
              <w:right w:val="single" w:color="000000" w:sz="4" w:space="0"/>
            </w:tcBorders>
            <w:vAlign w:val="center"/>
          </w:tcPr>
          <w:p>
            <w:pPr>
              <w:widowControl/>
              <w:spacing w:line="240" w:lineRule="exact"/>
              <w:jc w:val="left"/>
              <w:rPr>
                <w:rFonts w:ascii="仿宋_GB2312" w:hAnsi="新宋体" w:eastAsia="仿宋_GB2312" w:cs="仿宋_GB2312"/>
                <w:kern w:val="0"/>
                <w:szCs w:val="21"/>
                <w:lang w:bidi="ar"/>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rFonts w:ascii="仿宋_GB2312" w:hAnsi="新宋体" w:eastAsia="仿宋_GB2312" w:cs="仿宋_GB2312"/>
                <w:color w:val="000000"/>
                <w:kern w:val="0"/>
                <w:szCs w:val="21"/>
                <w:lang w:bidi="ar"/>
              </w:rPr>
            </w:pPr>
            <w:r>
              <w:rPr>
                <w:rFonts w:hint="eastAsia" w:ascii="仿宋_GB2312" w:hAnsi="新宋体" w:eastAsia="仿宋_GB2312" w:cs="仿宋_GB2312"/>
                <w:color w:val="000000"/>
                <w:kern w:val="0"/>
                <w:szCs w:val="21"/>
                <w:lang w:bidi="ar"/>
              </w:rPr>
              <w:t>生态效益（5分）</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部门及所属二级单位履行职责对生态环境所带来的直接或间接影响。</w:t>
            </w:r>
          </w:p>
          <w:p>
            <w:pPr>
              <w:widowControl/>
              <w:spacing w:line="240" w:lineRule="exact"/>
              <w:jc w:val="left"/>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评价要点：</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1.通过预算支出项目的实施，绿色、节能环保新技术的应用和推广，明显带动各环节的节能减排，也具有一定的环境效益；</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2.通过履职有效地控制虚假、伪劣、霉变等劣质产品进入市场，影响了人民生活质量，净化地市场环境；</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3.通过预算支出项目的实施，是否达到减少污染物排放；</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4.通过预算支出项目的实施，周围环境得到了整治，面貌得到了改善。</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textAlignment w:val="center"/>
              <w:rPr>
                <w:szCs w:val="21"/>
              </w:rPr>
            </w:pPr>
            <w:r>
              <w:rPr>
                <w:rFonts w:hint="eastAsia" w:ascii="仿宋" w:hAnsi="仿宋" w:eastAsia="仿宋" w:cs="仿宋"/>
                <w:color w:val="000000"/>
                <w:kern w:val="0"/>
                <w:szCs w:val="21"/>
                <w:lang w:bidi="ar"/>
              </w:rPr>
              <w:t>根据不同部门履职的内容和特点，具体测算部门履职产生的生态效益。</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rFonts w:hint="eastAsia" w:eastAsiaTheme="minorEastAsia"/>
                <w:szCs w:val="21"/>
                <w:lang w:val="en-US" w:eastAsia="zh-CN"/>
              </w:rPr>
            </w:pPr>
            <w:r>
              <w:rPr>
                <w:rFonts w:hint="eastAsia"/>
                <w:szCs w:val="21"/>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left w:val="single" w:color="000000" w:sz="4" w:space="0"/>
              <w:right w:val="single" w:color="000000" w:sz="4" w:space="0"/>
            </w:tcBorders>
            <w:vAlign w:val="center"/>
          </w:tcPr>
          <w:p>
            <w:pPr>
              <w:widowControl/>
              <w:spacing w:line="240" w:lineRule="exact"/>
              <w:jc w:val="left"/>
              <w:rPr>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hint="eastAsia" w:ascii="仿宋_GB2312" w:hAnsi="新宋体" w:eastAsia="仿宋_GB2312" w:cs="仿宋_GB2312"/>
                <w:kern w:val="0"/>
                <w:szCs w:val="21"/>
                <w:lang w:bidi="ar"/>
              </w:rPr>
              <w:t>服务对象</w:t>
            </w:r>
            <w:r>
              <w:rPr>
                <w:rFonts w:ascii="仿宋_GB2312" w:hAnsi="新宋体" w:eastAsia="仿宋_GB2312" w:cs="仿宋_GB2312"/>
                <w:kern w:val="0"/>
                <w:szCs w:val="21"/>
                <w:lang w:bidi="ar"/>
              </w:rPr>
              <w:t>满意度（5）</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hint="eastAsia" w:ascii="仿宋_GB2312" w:hAnsi="新宋体" w:eastAsia="仿宋_GB2312" w:cs="仿宋_GB2312"/>
                <w:kern w:val="0"/>
                <w:szCs w:val="21"/>
                <w:lang w:bidi="ar"/>
              </w:rPr>
              <w:t>通过对部门（单位）的服务对象对部门履职效果的满意程度调查，反映和考核社会公众或服务对象对部门履职的满意度。</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rPr>
                <w:rFonts w:ascii="仿宋" w:hAnsi="仿宋" w:eastAsia="仿宋" w:cs="宋体"/>
                <w:kern w:val="0"/>
                <w:szCs w:val="21"/>
              </w:rPr>
            </w:pPr>
            <w:r>
              <w:rPr>
                <w:rFonts w:ascii="仿宋" w:hAnsi="仿宋" w:eastAsia="仿宋" w:cs="Arial"/>
                <w:kern w:val="0"/>
                <w:szCs w:val="21"/>
              </w:rPr>
              <w:t>按照满意度调查的优秀、良好、合格、不合格给予该项指标打分：</w:t>
            </w:r>
          </w:p>
          <w:p>
            <w:pPr>
              <w:widowControl/>
              <w:spacing w:line="240" w:lineRule="exact"/>
              <w:rPr>
                <w:szCs w:val="21"/>
              </w:rPr>
            </w:pPr>
            <w:r>
              <w:rPr>
                <w:rFonts w:ascii="仿宋" w:hAnsi="仿宋" w:eastAsia="仿宋" w:cs="Arial"/>
                <w:kern w:val="0"/>
                <w:szCs w:val="21"/>
              </w:rPr>
              <w:t>优秀（</w:t>
            </w:r>
            <w:r>
              <w:rPr>
                <w:rFonts w:hint="eastAsia" w:ascii="仿宋" w:hAnsi="仿宋" w:eastAsia="仿宋" w:cs="Arial"/>
                <w:kern w:val="0"/>
                <w:szCs w:val="21"/>
              </w:rPr>
              <w:t>5</w:t>
            </w:r>
            <w:r>
              <w:rPr>
                <w:rFonts w:ascii="仿宋" w:hAnsi="仿宋" w:eastAsia="仿宋" w:cs="Arial"/>
                <w:kern w:val="0"/>
                <w:szCs w:val="21"/>
              </w:rPr>
              <w:t>）；良好（</w:t>
            </w:r>
            <w:r>
              <w:rPr>
                <w:rFonts w:hint="eastAsia" w:ascii="仿宋" w:hAnsi="仿宋" w:eastAsia="仿宋" w:cs="Arial"/>
                <w:kern w:val="0"/>
                <w:szCs w:val="21"/>
              </w:rPr>
              <w:t>3</w:t>
            </w:r>
            <w:r>
              <w:rPr>
                <w:rFonts w:ascii="仿宋" w:hAnsi="仿宋" w:eastAsia="仿宋" w:cs="Arial"/>
                <w:kern w:val="0"/>
                <w:szCs w:val="21"/>
              </w:rPr>
              <w:t>）；合格（</w:t>
            </w:r>
            <w:r>
              <w:rPr>
                <w:rFonts w:hint="eastAsia" w:ascii="仿宋" w:hAnsi="仿宋" w:eastAsia="仿宋" w:cs="Arial"/>
                <w:kern w:val="0"/>
                <w:szCs w:val="21"/>
              </w:rPr>
              <w:t>1</w:t>
            </w:r>
            <w:r>
              <w:rPr>
                <w:rFonts w:ascii="仿宋" w:hAnsi="仿宋" w:eastAsia="仿宋" w:cs="Arial"/>
                <w:kern w:val="0"/>
                <w:szCs w:val="21"/>
              </w:rPr>
              <w:t>）；不合格（</w:t>
            </w:r>
            <w:r>
              <w:rPr>
                <w:rFonts w:hint="eastAsia" w:ascii="仿宋" w:hAnsi="仿宋" w:eastAsia="仿宋" w:cs="Arial"/>
                <w:kern w:val="0"/>
                <w:szCs w:val="21"/>
              </w:rPr>
              <w:t>0</w:t>
            </w:r>
            <w:r>
              <w:rPr>
                <w:rFonts w:ascii="仿宋" w:hAnsi="仿宋" w:eastAsia="仿宋" w:cs="Arial"/>
                <w:kern w:val="0"/>
                <w:szCs w:val="21"/>
              </w:rPr>
              <w:t>）。</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rFonts w:hint="eastAsia" w:eastAsiaTheme="minorEastAsia"/>
                <w:szCs w:val="21"/>
                <w:lang w:val="en-US" w:eastAsia="zh-CN"/>
              </w:rPr>
            </w:pPr>
            <w:r>
              <w:rPr>
                <w:rFonts w:hint="eastAsia"/>
                <w:szCs w:val="21"/>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4" w:hRule="atLeast"/>
        </w:trPr>
        <w:tc>
          <w:tcPr>
            <w:tcW w:w="779"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eastAsia" w:ascii="宋体" w:eastAsiaTheme="minorEastAsia"/>
                <w:szCs w:val="21"/>
                <w:lang w:val="en-US" w:eastAsia="zh-CN"/>
              </w:rPr>
            </w:pPr>
            <w:r>
              <w:rPr>
                <w:rFonts w:hint="eastAsia" w:ascii="宋体"/>
                <w:szCs w:val="21"/>
                <w:lang w:val="en-US" w:eastAsia="zh-CN"/>
              </w:rPr>
              <w:t>合计</w:t>
            </w:r>
          </w:p>
        </w:tc>
        <w:tc>
          <w:tcPr>
            <w:tcW w:w="743" w:type="dxa"/>
            <w:tcBorders>
              <w:left w:val="single" w:color="000000" w:sz="4" w:space="0"/>
              <w:bottom w:val="single" w:color="auto" w:sz="4" w:space="0"/>
              <w:right w:val="single" w:color="000000" w:sz="4" w:space="0"/>
            </w:tcBorders>
            <w:vAlign w:val="center"/>
          </w:tcPr>
          <w:p>
            <w:pPr>
              <w:widowControl/>
              <w:spacing w:line="240" w:lineRule="exact"/>
              <w:jc w:val="left"/>
              <w:rPr>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rFonts w:hint="eastAsia" w:ascii="仿宋_GB2312" w:hAnsi="新宋体" w:eastAsia="仿宋_GB2312" w:cs="仿宋_GB2312"/>
                <w:kern w:val="0"/>
                <w:szCs w:val="21"/>
                <w:lang w:bidi="ar"/>
              </w:rPr>
            </w:pP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新宋体" w:eastAsia="仿宋_GB2312" w:cs="仿宋_GB2312"/>
                <w:kern w:val="0"/>
                <w:szCs w:val="21"/>
                <w:lang w:bidi="ar"/>
              </w:rPr>
            </w:pP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rPr>
                <w:rFonts w:ascii="仿宋" w:hAnsi="仿宋" w:eastAsia="仿宋" w:cs="Arial"/>
                <w:kern w:val="0"/>
                <w:szCs w:val="21"/>
              </w:rPr>
            </w:pP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rFonts w:hint="default" w:eastAsiaTheme="minorEastAsia"/>
                <w:szCs w:val="21"/>
                <w:lang w:val="en-US" w:eastAsia="zh-CN"/>
              </w:rPr>
            </w:pPr>
            <w:r>
              <w:rPr>
                <w:rFonts w:hint="eastAsia"/>
                <w:szCs w:val="21"/>
                <w:lang w:val="en-US" w:eastAsia="zh-CN"/>
              </w:rPr>
              <w:t>90</w:t>
            </w:r>
          </w:p>
        </w:tc>
      </w:tr>
    </w:tbl>
    <w:p>
      <w:pPr>
        <w:spacing w:line="240" w:lineRule="exact"/>
        <w:rPr>
          <w:rFonts w:ascii="仿宋" w:hAnsi="仿宋" w:eastAsia="仿宋" w:cs="仿宋"/>
          <w:sz w:val="32"/>
          <w:szCs w:val="32"/>
        </w:rPr>
      </w:pPr>
    </w:p>
    <w:p>
      <w:pPr>
        <w:spacing w:line="240" w:lineRule="exact"/>
        <w:rPr>
          <w:rFonts w:ascii="仿宋" w:hAnsi="仿宋" w:eastAsia="仿宋" w:cs="仿宋"/>
          <w:sz w:val="32"/>
          <w:szCs w:val="32"/>
        </w:rPr>
      </w:pPr>
    </w:p>
    <w:p>
      <w:pPr>
        <w:spacing w:line="240" w:lineRule="exact"/>
        <w:rPr>
          <w:rFonts w:hint="eastAsia" w:ascii="仿宋" w:hAnsi="仿宋" w:eastAsia="仿宋" w:cs="仿宋"/>
          <w:sz w:val="32"/>
          <w:szCs w:val="32"/>
          <w:lang w:val="en-US" w:eastAsia="zh-CN"/>
        </w:rPr>
      </w:pPr>
    </w:p>
    <w:sectPr>
      <w:footerReference r:id="rId3" w:type="default"/>
      <w:footerReference r:id="rId4" w:type="even"/>
      <w:pgSz w:w="11906" w:h="16838"/>
      <w:pgMar w:top="1985" w:right="1418" w:bottom="1985" w:left="1418" w:header="851" w:footer="1701" w:gutter="0"/>
      <w:cols w:space="425" w:num="1"/>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ArialUnicodeMS">
    <w:altName w:val="Malgun Gothic"/>
    <w:panose1 w:val="00000000000000000000"/>
    <w:charset w:val="81"/>
    <w:family w:val="auto"/>
    <w:pitch w:val="default"/>
    <w:sig w:usb0="00000000" w:usb1="00000000" w:usb2="00000010" w:usb3="00000000" w:csb0="00080001" w:csb1="00000000"/>
  </w:font>
  <w:font w:name="方正仿宋_GBK">
    <w:panose1 w:val="02000000000000000000"/>
    <w:charset w:val="86"/>
    <w:family w:val="roman"/>
    <w:pitch w:val="default"/>
    <w:sig w:usb0="A00002BF" w:usb1="38CF7CFA" w:usb2="00082016" w:usb3="00000000" w:csb0="00040001" w:csb1="00000000"/>
  </w:font>
  <w:font w:name="方正小标宋_GBK">
    <w:panose1 w:val="02000000000000000000"/>
    <w:charset w:val="86"/>
    <w:family w:val="roman"/>
    <w:pitch w:val="default"/>
    <w:sig w:usb0="A00002BF" w:usb1="38CF7CFA" w:usb2="00082016" w:usb3="00000000" w:csb0="00040001"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2"/>
        <w:rFonts w:ascii="宋体" w:hAnsi="宋体" w:eastAsia="宋体"/>
        <w:sz w:val="28"/>
        <w:szCs w:val="28"/>
      </w:rPr>
    </w:pPr>
    <w:r>
      <w:rPr>
        <w:rStyle w:val="12"/>
        <w:rFonts w:hint="eastAsia" w:ascii="宋体" w:hAnsi="宋体" w:eastAsia="宋体"/>
        <w:sz w:val="28"/>
        <w:szCs w:val="28"/>
      </w:rPr>
      <w:t>-</w:t>
    </w:r>
    <w:r>
      <w:rPr>
        <w:rStyle w:val="12"/>
        <w:rFonts w:ascii="宋体" w:hAnsi="宋体" w:eastAsia="宋体"/>
        <w:sz w:val="28"/>
        <w:szCs w:val="28"/>
      </w:rPr>
      <w:fldChar w:fldCharType="begin"/>
    </w:r>
    <w:r>
      <w:rPr>
        <w:rStyle w:val="12"/>
        <w:rFonts w:ascii="宋体" w:hAnsi="宋体" w:eastAsia="宋体"/>
        <w:sz w:val="28"/>
        <w:szCs w:val="28"/>
      </w:rPr>
      <w:instrText xml:space="preserve">PAGE  </w:instrText>
    </w:r>
    <w:r>
      <w:rPr>
        <w:rStyle w:val="12"/>
        <w:rFonts w:ascii="宋体" w:hAnsi="宋体" w:eastAsia="宋体"/>
        <w:sz w:val="28"/>
        <w:szCs w:val="28"/>
      </w:rPr>
      <w:fldChar w:fldCharType="separate"/>
    </w:r>
    <w:r>
      <w:rPr>
        <w:rStyle w:val="12"/>
        <w:rFonts w:ascii="宋体" w:hAnsi="宋体" w:eastAsia="宋体"/>
        <w:sz w:val="28"/>
        <w:szCs w:val="28"/>
      </w:rPr>
      <w:t>6</w:t>
    </w:r>
    <w:r>
      <w:rPr>
        <w:rStyle w:val="12"/>
        <w:rFonts w:ascii="宋体" w:hAnsi="宋体" w:eastAsia="宋体"/>
        <w:sz w:val="28"/>
        <w:szCs w:val="28"/>
      </w:rPr>
      <w:fldChar w:fldCharType="end"/>
    </w:r>
    <w:r>
      <w:rPr>
        <w:rStyle w:val="12"/>
        <w:rFonts w:hint="eastAsia" w:ascii="宋体" w:hAnsi="宋体" w:eastAsia="宋体"/>
        <w:sz w:val="28"/>
        <w:szCs w:val="28"/>
      </w:rPr>
      <w:t>-</w:t>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2"/>
      </w:rPr>
    </w:pPr>
    <w:r>
      <w:rPr>
        <w:rStyle w:val="12"/>
      </w:rPr>
      <w:fldChar w:fldCharType="begin"/>
    </w:r>
    <w:r>
      <w:rPr>
        <w:rStyle w:val="12"/>
      </w:rPr>
      <w:instrText xml:space="preserve">PAGE  </w:instrText>
    </w:r>
    <w:r>
      <w:rPr>
        <w:rStyle w:val="12"/>
      </w:rPr>
      <w:fldChar w:fldCharType="end"/>
    </w:r>
  </w:p>
  <w:p>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31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JhNDRjZjNmMjE4YjcxZDYxNTNmYzcwNzM1NTgwOGUifQ=="/>
  </w:docVars>
  <w:rsids>
    <w:rsidRoot w:val="00042933"/>
    <w:rsid w:val="00002F2C"/>
    <w:rsid w:val="000070A8"/>
    <w:rsid w:val="00016CA4"/>
    <w:rsid w:val="000324AE"/>
    <w:rsid w:val="00042933"/>
    <w:rsid w:val="0008033E"/>
    <w:rsid w:val="0008759D"/>
    <w:rsid w:val="00094F2B"/>
    <w:rsid w:val="000B0A83"/>
    <w:rsid w:val="000B6322"/>
    <w:rsid w:val="000C2CC1"/>
    <w:rsid w:val="000E4A5A"/>
    <w:rsid w:val="00103547"/>
    <w:rsid w:val="0017068B"/>
    <w:rsid w:val="00185A3C"/>
    <w:rsid w:val="00192D5A"/>
    <w:rsid w:val="001C59B3"/>
    <w:rsid w:val="001E0886"/>
    <w:rsid w:val="001F7E31"/>
    <w:rsid w:val="002071BC"/>
    <w:rsid w:val="00225AE6"/>
    <w:rsid w:val="00235F0F"/>
    <w:rsid w:val="00255783"/>
    <w:rsid w:val="00290BA1"/>
    <w:rsid w:val="002A6AEA"/>
    <w:rsid w:val="002F2268"/>
    <w:rsid w:val="003C50C2"/>
    <w:rsid w:val="0041099F"/>
    <w:rsid w:val="00436A1D"/>
    <w:rsid w:val="004379D7"/>
    <w:rsid w:val="004A68B1"/>
    <w:rsid w:val="004B64F3"/>
    <w:rsid w:val="004E3B64"/>
    <w:rsid w:val="005020C5"/>
    <w:rsid w:val="00567FE6"/>
    <w:rsid w:val="0058162A"/>
    <w:rsid w:val="005B3616"/>
    <w:rsid w:val="005E12FA"/>
    <w:rsid w:val="00683167"/>
    <w:rsid w:val="006A5056"/>
    <w:rsid w:val="006E64C9"/>
    <w:rsid w:val="007048FF"/>
    <w:rsid w:val="00712100"/>
    <w:rsid w:val="0071700D"/>
    <w:rsid w:val="00742652"/>
    <w:rsid w:val="00772600"/>
    <w:rsid w:val="007D5D41"/>
    <w:rsid w:val="007F01F9"/>
    <w:rsid w:val="00856BA1"/>
    <w:rsid w:val="00867620"/>
    <w:rsid w:val="008709E0"/>
    <w:rsid w:val="008A6A10"/>
    <w:rsid w:val="008A6A31"/>
    <w:rsid w:val="00904AF4"/>
    <w:rsid w:val="00905542"/>
    <w:rsid w:val="00917700"/>
    <w:rsid w:val="00956F74"/>
    <w:rsid w:val="009B0B5F"/>
    <w:rsid w:val="009C04DA"/>
    <w:rsid w:val="009C4C62"/>
    <w:rsid w:val="009E3627"/>
    <w:rsid w:val="009F53E7"/>
    <w:rsid w:val="00A11BF8"/>
    <w:rsid w:val="00A14A33"/>
    <w:rsid w:val="00A6449D"/>
    <w:rsid w:val="00A768DB"/>
    <w:rsid w:val="00AA09C8"/>
    <w:rsid w:val="00AD5F30"/>
    <w:rsid w:val="00B0681D"/>
    <w:rsid w:val="00B9023F"/>
    <w:rsid w:val="00BC1FDC"/>
    <w:rsid w:val="00BD0FD8"/>
    <w:rsid w:val="00C44804"/>
    <w:rsid w:val="00C6362A"/>
    <w:rsid w:val="00C81363"/>
    <w:rsid w:val="00CB27A5"/>
    <w:rsid w:val="00CD55ED"/>
    <w:rsid w:val="00CD63C0"/>
    <w:rsid w:val="00CE62A0"/>
    <w:rsid w:val="00D21F0C"/>
    <w:rsid w:val="00D366C1"/>
    <w:rsid w:val="00D877F7"/>
    <w:rsid w:val="00DB2D43"/>
    <w:rsid w:val="00E266F1"/>
    <w:rsid w:val="00EB16A8"/>
    <w:rsid w:val="00EC7904"/>
    <w:rsid w:val="00F72E93"/>
    <w:rsid w:val="00F87A11"/>
    <w:rsid w:val="00FB7E01"/>
    <w:rsid w:val="00FE5F4C"/>
    <w:rsid w:val="00FF39F6"/>
    <w:rsid w:val="014277BA"/>
    <w:rsid w:val="05374814"/>
    <w:rsid w:val="08D81DFB"/>
    <w:rsid w:val="0C8F0285"/>
    <w:rsid w:val="0F8F6BFC"/>
    <w:rsid w:val="107166F3"/>
    <w:rsid w:val="1C841DE7"/>
    <w:rsid w:val="26D528A9"/>
    <w:rsid w:val="29EE20F2"/>
    <w:rsid w:val="2F8406BC"/>
    <w:rsid w:val="3791647A"/>
    <w:rsid w:val="455969D8"/>
    <w:rsid w:val="48725571"/>
    <w:rsid w:val="4BDB04ED"/>
    <w:rsid w:val="526A3656"/>
    <w:rsid w:val="53CD5365"/>
    <w:rsid w:val="59F37898"/>
    <w:rsid w:val="5D5D75E2"/>
    <w:rsid w:val="5D643D56"/>
    <w:rsid w:val="64283056"/>
    <w:rsid w:val="68E6171A"/>
    <w:rsid w:val="69BD0A47"/>
    <w:rsid w:val="71A911C9"/>
    <w:rsid w:val="7793669D"/>
    <w:rsid w:val="7CCC21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1"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6"/>
    <w:qFormat/>
    <w:uiPriority w:val="9"/>
    <w:pPr>
      <w:spacing w:before="100" w:beforeAutospacing="1" w:after="100" w:afterAutospacing="1"/>
      <w:jc w:val="left"/>
      <w:outlineLvl w:val="0"/>
    </w:pPr>
    <w:rPr>
      <w:rFonts w:hint="eastAsia" w:ascii="宋体" w:hAnsi="宋体" w:eastAsia="宋体" w:cs="宋体"/>
      <w:b/>
      <w:kern w:val="44"/>
      <w:sz w:val="48"/>
      <w:szCs w:val="48"/>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99"/>
    <w:pPr>
      <w:autoSpaceDE w:val="0"/>
      <w:autoSpaceDN w:val="0"/>
      <w:adjustRightInd w:val="0"/>
      <w:snapToGrid w:val="0"/>
      <w:spacing w:line="588" w:lineRule="atLeast"/>
    </w:pPr>
    <w:rPr>
      <w:rFonts w:ascii="宋体" w:hAnsi="宋体" w:eastAsia="仿宋_GB2312"/>
      <w:spacing w:val="-2"/>
      <w:sz w:val="32"/>
      <w:szCs w:val="24"/>
    </w:rPr>
  </w:style>
  <w:style w:type="paragraph" w:styleId="4">
    <w:name w:val="Plain Text"/>
    <w:basedOn w:val="1"/>
    <w:link w:val="15"/>
    <w:qFormat/>
    <w:uiPriority w:val="0"/>
    <w:rPr>
      <w:rFonts w:ascii="宋体" w:hAnsi="Courier New" w:eastAsia="宋体" w:cs="Courier New"/>
      <w:szCs w:val="21"/>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table" w:styleId="9">
    <w:name w:val="Table Grid"/>
    <w:qFormat/>
    <w:uiPriority w:val="1"/>
    <w:pPr>
      <w:spacing w:after="0" w:line="240" w:lineRule="auto"/>
    </w:pPr>
    <w:rPr>
      <w:kern w:val="0"/>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1">
    <w:name w:val="Strong"/>
    <w:basedOn w:val="10"/>
    <w:qFormat/>
    <w:uiPriority w:val="22"/>
    <w:rPr>
      <w:b/>
      <w:bCs/>
    </w:rPr>
  </w:style>
  <w:style w:type="character" w:styleId="12">
    <w:name w:val="page number"/>
    <w:basedOn w:val="10"/>
    <w:semiHidden/>
    <w:unhideWhenUsed/>
    <w:qFormat/>
    <w:uiPriority w:val="99"/>
  </w:style>
  <w:style w:type="character" w:customStyle="1" w:styleId="13">
    <w:name w:val="页眉 Char"/>
    <w:basedOn w:val="10"/>
    <w:link w:val="6"/>
    <w:qFormat/>
    <w:uiPriority w:val="99"/>
    <w:rPr>
      <w:sz w:val="18"/>
      <w:szCs w:val="18"/>
    </w:rPr>
  </w:style>
  <w:style w:type="character" w:customStyle="1" w:styleId="14">
    <w:name w:val="页脚 Char"/>
    <w:basedOn w:val="10"/>
    <w:link w:val="5"/>
    <w:qFormat/>
    <w:uiPriority w:val="99"/>
    <w:rPr>
      <w:sz w:val="18"/>
      <w:szCs w:val="18"/>
    </w:rPr>
  </w:style>
  <w:style w:type="character" w:customStyle="1" w:styleId="15">
    <w:name w:val="纯文本 Char"/>
    <w:basedOn w:val="10"/>
    <w:link w:val="4"/>
    <w:qFormat/>
    <w:uiPriority w:val="0"/>
    <w:rPr>
      <w:rFonts w:ascii="宋体" w:hAnsi="Courier New" w:eastAsia="宋体" w:cs="Courier New"/>
      <w:szCs w:val="21"/>
    </w:rPr>
  </w:style>
  <w:style w:type="character" w:customStyle="1" w:styleId="16">
    <w:name w:val="标题 1 Char"/>
    <w:basedOn w:val="10"/>
    <w:link w:val="2"/>
    <w:qFormat/>
    <w:uiPriority w:val="9"/>
    <w:rPr>
      <w:rFonts w:ascii="宋体" w:hAnsi="宋体" w:eastAsia="宋体" w:cs="宋体"/>
      <w:b/>
      <w:kern w:val="44"/>
      <w:sz w:val="48"/>
      <w:szCs w:val="48"/>
    </w:rPr>
  </w:style>
  <w:style w:type="character" w:customStyle="1" w:styleId="17">
    <w:name w:val="font31"/>
    <w:basedOn w:val="10"/>
    <w:qFormat/>
    <w:uiPriority w:val="0"/>
    <w:rPr>
      <w:rFonts w:hint="eastAsia" w:ascii="宋体" w:hAnsi="宋体" w:eastAsia="宋体" w:cs="宋体"/>
      <w:b/>
      <w:color w:val="000000"/>
      <w:sz w:val="36"/>
      <w:szCs w:val="36"/>
      <w:u w:val="none"/>
    </w:rPr>
  </w:style>
  <w:style w:type="paragraph" w:customStyle="1" w:styleId="18">
    <w:name w:val="正文文本 (2)"/>
    <w:basedOn w:val="1"/>
    <w:qFormat/>
    <w:uiPriority w:val="99"/>
    <w:pPr>
      <w:shd w:val="clear" w:color="auto" w:fill="FFFFFF"/>
      <w:spacing w:before="60" w:after="300" w:line="479" w:lineRule="exact"/>
    </w:pPr>
    <w:rPr>
      <w:rFonts w:ascii="宋体" w:hAnsi="宋体" w:cs="宋体"/>
      <w:kern w:val="0"/>
      <w:sz w:val="32"/>
      <w:szCs w:val="32"/>
    </w:rPr>
  </w:style>
  <w:style w:type="paragraph" w:customStyle="1" w:styleId="19">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8264</Words>
  <Characters>8613</Characters>
  <Lines>37</Lines>
  <Paragraphs>10</Paragraphs>
  <TotalTime>4</TotalTime>
  <ScaleCrop>false</ScaleCrop>
  <LinksUpToDate>false</LinksUpToDate>
  <CharactersWithSpaces>8651</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2016-02-22T07:07:00Z</dcterms:created>
  <dc:creator>Administrator</dc:creator>
  <cp:lastModifiedBy>不二臣</cp:lastModifiedBy>
  <cp:lastPrinted>2018-11-29T03:23:00Z</cp:lastPrinted>
  <dcterms:modified xsi:type="dcterms:W3CDTF">2024-09-06T07:52:10Z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953D7E11FDBE4B889671E3BAE4A3B0A8</vt:lpwstr>
  </property>
</Properties>
</file>