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560" w:lineRule="exact"/>
        <w:ind w:left="0" w:right="0"/>
        <w:jc w:val="center"/>
        <w:rPr>
          <w:rFonts w:hint="eastAsia" w:ascii="方正小标宋简体" w:hAnsi="方正小标宋简体" w:eastAsia="方正小标宋简体" w:cs="方正小标宋简体"/>
          <w:b w:val="0"/>
          <w:bCs/>
          <w:color w:val="333333"/>
          <w:sz w:val="44"/>
          <w:szCs w:val="44"/>
          <w:shd w:val="clear" w:color="auto" w:fill="FFFFFF"/>
          <w:lang w:val="en-US" w:eastAsia="zh-CN" w:bidi="ar-SA"/>
        </w:rPr>
      </w:pPr>
      <w:r>
        <w:rPr>
          <w:rFonts w:hint="eastAsia" w:ascii="方正小标宋简体" w:hAnsi="方正小标宋简体" w:eastAsia="方正小标宋简体" w:cs="方正小标宋简体"/>
          <w:b w:val="0"/>
          <w:bCs/>
          <w:color w:val="333333"/>
          <w:sz w:val="44"/>
          <w:szCs w:val="44"/>
          <w:shd w:val="clear" w:color="auto" w:fill="FFFFFF"/>
          <w:lang w:val="en-US" w:eastAsia="zh-CN" w:bidi="ar-SA"/>
        </w:rPr>
        <w:t>沙河市</w:t>
      </w:r>
      <w:r>
        <w:rPr>
          <w:rFonts w:hint="eastAsia" w:ascii="方正小标宋简体" w:hAnsi="方正小标宋简体" w:eastAsia="方正小标宋简体" w:cs="方正小标宋简体"/>
          <w:b w:val="0"/>
          <w:bCs w:val="0"/>
          <w:i w:val="0"/>
          <w:iCs w:val="0"/>
          <w:caps w:val="0"/>
          <w:color w:val="333333"/>
          <w:spacing w:val="0"/>
          <w:sz w:val="44"/>
          <w:szCs w:val="44"/>
          <w:lang w:eastAsia="zh-CN"/>
        </w:rPr>
        <w:t>应急管理局</w:t>
      </w:r>
    </w:p>
    <w:p>
      <w:pPr>
        <w:pStyle w:val="4"/>
        <w:widowControl/>
        <w:shd w:val="clear" w:color="auto" w:fill="FFFFFF"/>
        <w:spacing w:before="0" w:beforeAutospacing="0" w:after="0" w:afterAutospacing="0" w:line="560" w:lineRule="exact"/>
        <w:ind w:left="0" w:right="0"/>
        <w:jc w:val="center"/>
        <w:rPr>
          <w:rFonts w:hint="eastAsia" w:ascii="方正小标宋简体" w:hAnsi="方正小标宋简体" w:eastAsia="方正小标宋简体" w:cs="方正小标宋简体"/>
          <w:b w:val="0"/>
          <w:bCs/>
          <w:color w:val="333333"/>
          <w:sz w:val="44"/>
          <w:szCs w:val="44"/>
          <w:shd w:val="clear" w:color="auto" w:fill="FFFFFF"/>
          <w:lang w:val="en-US" w:eastAsia="zh-CN" w:bidi="ar-SA"/>
        </w:rPr>
      </w:pPr>
      <w:r>
        <w:rPr>
          <w:rFonts w:hint="eastAsia" w:ascii="方正小标宋简体" w:hAnsi="方正小标宋简体" w:eastAsia="方正小标宋简体" w:cs="方正小标宋简体"/>
          <w:b w:val="0"/>
          <w:bCs/>
          <w:color w:val="333333"/>
          <w:sz w:val="44"/>
          <w:szCs w:val="44"/>
          <w:shd w:val="clear" w:color="auto" w:fill="FFFFFF"/>
          <w:lang w:val="en-US" w:eastAsia="zh-CN" w:bidi="ar-SA"/>
        </w:rPr>
        <w:t>2024年度政府信息公开工作年度报告</w:t>
      </w:r>
    </w:p>
    <w:p>
      <w:pPr>
        <w:pStyle w:val="4"/>
        <w:widowControl/>
        <w:shd w:val="clear" w:color="auto" w:fill="FFFFFF"/>
        <w:spacing w:before="0" w:beforeAutospacing="0" w:after="0" w:afterAutospacing="0" w:line="560" w:lineRule="exact"/>
        <w:ind w:left="0" w:right="0"/>
        <w:jc w:val="center"/>
        <w:rPr>
          <w:rFonts w:hint="eastAsia" w:ascii="方正小标宋简体" w:hAnsi="方正小标宋简体" w:eastAsia="方正小标宋简体" w:cs="方正小标宋简体"/>
          <w:b w:val="0"/>
          <w:bCs/>
          <w:color w:val="333333"/>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rPr>
          <w:rFonts w:hint="eastAsia" w:ascii="仿宋_GB2312" w:hAnsi="仿宋_GB2312" w:eastAsia="仿宋_GB2312" w:cs="仿宋_GB2312"/>
          <w:color w:val="000000"/>
          <w:spacing w:val="0"/>
          <w:kern w:val="0"/>
          <w:sz w:val="32"/>
          <w:szCs w:val="32"/>
          <w:shd w:val="clear" w:color="auto" w:fill="FFFFFF"/>
          <w:lang w:val="en-US" w:eastAsia="zh-CN" w:bidi="ar-SA"/>
        </w:rPr>
      </w:pPr>
      <w:r>
        <w:rPr>
          <w:rFonts w:hint="eastAsia" w:ascii="仿宋_GB2312" w:hAnsi="仿宋_GB2312" w:eastAsia="仿宋_GB2312" w:cs="仿宋_GB2312"/>
          <w:color w:val="000000"/>
          <w:spacing w:val="0"/>
          <w:kern w:val="0"/>
          <w:sz w:val="32"/>
          <w:szCs w:val="32"/>
          <w:shd w:val="clear" w:color="auto" w:fill="FFFFFF"/>
          <w:lang w:val="en-US" w:eastAsia="zh-CN" w:bidi="ar-SA"/>
        </w:rPr>
        <w:t>本年度报告依据《中华人民共和国政府信息公开条例》、《中华人民共和国政府信息公开工作年度报告格式》和省、市政务公开工作要求，发布本年度报告，年报中所列数据的统计期限为2024年1月1日至12月31日。如对本报告有任何疑问，请与沙河市应急管理局办公室联系，联系电话：0319-8700691。</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00" w:lineRule="exact"/>
        <w:ind w:right="0" w:firstLine="640" w:firstLineChars="200"/>
        <w:jc w:val="both"/>
        <w:textAlignment w:val="auto"/>
        <w:rPr>
          <w:rFonts w:hint="eastAsia" w:ascii="黑体" w:hAnsi="黑体" w:eastAsia="黑体" w:cs="黑体"/>
          <w:bCs/>
          <w:color w:val="000000"/>
          <w:spacing w:val="0"/>
          <w:sz w:val="32"/>
          <w:szCs w:val="32"/>
          <w:shd w:val="clear" w:color="auto" w:fill="FFFFFF"/>
          <w:lang w:val="en-US" w:eastAsia="zh-CN" w:bidi="ar-SA"/>
        </w:rPr>
      </w:pPr>
      <w:r>
        <w:rPr>
          <w:rFonts w:hint="eastAsia" w:ascii="黑体" w:hAnsi="黑体" w:eastAsia="黑体" w:cs="黑体"/>
          <w:bCs/>
          <w:color w:val="000000"/>
          <w:spacing w:val="0"/>
          <w:sz w:val="32"/>
          <w:szCs w:val="32"/>
          <w:shd w:val="clear" w:color="auto" w:fill="FFFFFF"/>
          <w:lang w:val="en-US" w:eastAsia="zh-CN" w:bidi="ar-SA"/>
        </w:rPr>
        <w:t>一、总体情况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textAlignment w:val="auto"/>
        <w:rPr>
          <w:rFonts w:hint="eastAsia" w:ascii="仿宋_GB2312" w:hAnsi="仿宋_GB2312" w:eastAsia="仿宋_GB2312" w:cs="仿宋_GB2312"/>
          <w:color w:val="000000"/>
          <w:spacing w:val="0"/>
          <w:kern w:val="0"/>
          <w:sz w:val="32"/>
          <w:szCs w:val="32"/>
          <w:shd w:val="clear" w:color="auto" w:fill="FFFFFF"/>
          <w:lang w:val="en-US" w:eastAsia="zh-CN" w:bidi="ar-SA"/>
        </w:rPr>
      </w:pPr>
      <w:r>
        <w:rPr>
          <w:rFonts w:hint="eastAsia" w:ascii="仿宋_GB2312" w:hAnsi="仿宋_GB2312" w:eastAsia="仿宋_GB2312" w:cs="仿宋_GB2312"/>
          <w:color w:val="000000"/>
          <w:spacing w:val="0"/>
          <w:kern w:val="0"/>
          <w:sz w:val="32"/>
          <w:szCs w:val="32"/>
          <w:shd w:val="clear" w:color="auto" w:fill="FFFFFF"/>
          <w:lang w:val="en-US" w:eastAsia="zh-CN" w:bidi="ar-SA"/>
        </w:rPr>
        <w:t>2024年，沙河市应急管理局坚持以习近平新时代中国特色社会主义思想为指导，深入贯彻党的二十大精神和党中央、国务院决策部署，全面落实应急管理部关于安全生产的重要部署，积极开展企业安全生产监管服务和防灾减灾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textAlignment w:val="auto"/>
        <w:rPr>
          <w:rFonts w:hint="eastAsia" w:ascii="仿宋_GB2312" w:hAnsi="仿宋_GB2312" w:eastAsia="仿宋_GB2312" w:cs="仿宋_GB2312"/>
          <w:color w:val="000000"/>
          <w:spacing w:val="0"/>
          <w:kern w:val="0"/>
          <w:sz w:val="32"/>
          <w:szCs w:val="32"/>
          <w:shd w:val="clear" w:color="auto" w:fill="FFFFFF"/>
          <w:lang w:val="en-US" w:eastAsia="zh-CN" w:bidi="ar-SA"/>
        </w:rPr>
      </w:pPr>
      <w:r>
        <w:rPr>
          <w:rFonts w:hint="eastAsia" w:ascii="楷体" w:hAnsi="楷体" w:eastAsia="楷体" w:cs="楷体"/>
          <w:color w:val="000000"/>
          <w:spacing w:val="0"/>
          <w:kern w:val="0"/>
          <w:sz w:val="32"/>
          <w:szCs w:val="32"/>
          <w:shd w:val="clear" w:color="auto" w:fill="FFFFFF"/>
          <w:lang w:val="en-US" w:eastAsia="zh-CN" w:bidi="ar-SA"/>
        </w:rPr>
        <w:t>（一）主动公开方面。</w:t>
      </w:r>
      <w:r>
        <w:rPr>
          <w:rFonts w:hint="eastAsia" w:ascii="仿宋_GB2312" w:hAnsi="仿宋_GB2312" w:eastAsia="仿宋_GB2312" w:cs="仿宋_GB2312"/>
          <w:color w:val="000000"/>
          <w:spacing w:val="0"/>
          <w:kern w:val="0"/>
          <w:sz w:val="32"/>
          <w:szCs w:val="32"/>
          <w:shd w:val="clear" w:color="auto" w:fill="FFFFFF"/>
          <w:lang w:val="en-US" w:eastAsia="zh-CN" w:bidi="ar-SA"/>
        </w:rPr>
        <w:t>2024年，通过沙河市政府信息公开平台发布各类政务信息61条，其中行政执法信息公开条数49条，财务信息2条，服务企业动态信息10条。</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textAlignment w:val="auto"/>
        <w:rPr>
          <w:rFonts w:hint="eastAsia" w:ascii="仿宋_GB2312" w:hAnsi="仿宋_GB2312" w:eastAsia="仿宋_GB2312" w:cs="仿宋_GB2312"/>
          <w:color w:val="000000"/>
          <w:spacing w:val="0"/>
          <w:kern w:val="0"/>
          <w:sz w:val="32"/>
          <w:szCs w:val="32"/>
          <w:shd w:val="clear" w:color="auto" w:fill="FFFFFF"/>
          <w:lang w:val="en-US" w:eastAsia="zh-CN" w:bidi="ar-SA"/>
        </w:rPr>
      </w:pPr>
      <w:r>
        <w:rPr>
          <w:rFonts w:hint="eastAsia" w:ascii="楷体" w:hAnsi="楷体" w:eastAsia="楷体" w:cs="楷体"/>
          <w:color w:val="000000"/>
          <w:spacing w:val="0"/>
          <w:kern w:val="0"/>
          <w:sz w:val="32"/>
          <w:szCs w:val="32"/>
          <w:shd w:val="clear" w:color="auto" w:fill="FFFFFF"/>
          <w:lang w:val="en-US" w:eastAsia="zh-CN" w:bidi="ar-SA"/>
        </w:rPr>
        <w:t>（二）依申请公开方面。</w:t>
      </w:r>
      <w:r>
        <w:rPr>
          <w:rFonts w:hint="eastAsia" w:ascii="仿宋_GB2312" w:hAnsi="仿宋_GB2312" w:eastAsia="仿宋_GB2312" w:cs="仿宋_GB2312"/>
          <w:color w:val="000000"/>
          <w:spacing w:val="0"/>
          <w:kern w:val="0"/>
          <w:sz w:val="32"/>
          <w:szCs w:val="32"/>
          <w:shd w:val="clear" w:color="auto" w:fill="FFFFFF"/>
          <w:lang w:val="en-US" w:eastAsia="zh-CN" w:bidi="ar-SA"/>
        </w:rPr>
        <w:t>2024年，我局未收到政府信息依申请公开，无因政府信息公开申请引起的行政复议和行政诉讼。</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textAlignment w:val="auto"/>
        <w:rPr>
          <w:rFonts w:hint="eastAsia" w:ascii="仿宋_GB2312" w:hAnsi="仿宋_GB2312" w:eastAsia="仿宋_GB2312" w:cs="仿宋_GB2312"/>
          <w:color w:val="000000"/>
          <w:spacing w:val="0"/>
          <w:kern w:val="0"/>
          <w:sz w:val="32"/>
          <w:szCs w:val="32"/>
          <w:shd w:val="clear" w:color="auto" w:fill="FFFFFF"/>
          <w:lang w:val="en-US" w:eastAsia="zh-CN" w:bidi="ar-SA"/>
        </w:rPr>
      </w:pPr>
      <w:r>
        <w:rPr>
          <w:rFonts w:hint="eastAsia" w:ascii="楷体" w:hAnsi="楷体" w:eastAsia="楷体" w:cs="楷体"/>
          <w:color w:val="000000"/>
          <w:spacing w:val="0"/>
          <w:kern w:val="0"/>
          <w:sz w:val="32"/>
          <w:szCs w:val="32"/>
          <w:shd w:val="clear" w:color="auto" w:fill="FFFFFF"/>
          <w:lang w:val="en-US" w:eastAsia="zh-CN" w:bidi="ar-SA"/>
        </w:rPr>
        <w:t>（三）政府信息管理方面。</w:t>
      </w:r>
      <w:r>
        <w:rPr>
          <w:rFonts w:hint="eastAsia" w:ascii="仿宋_GB2312" w:hAnsi="仿宋_GB2312" w:eastAsia="仿宋_GB2312" w:cs="仿宋_GB2312"/>
          <w:color w:val="000000"/>
          <w:spacing w:val="0"/>
          <w:kern w:val="0"/>
          <w:sz w:val="32"/>
          <w:szCs w:val="32"/>
          <w:shd w:val="clear" w:color="auto" w:fill="FFFFFF"/>
          <w:lang w:val="en-US" w:eastAsia="zh-CN" w:bidi="ar-SA"/>
        </w:rPr>
        <w:t>按照应急管理局的职责，发布了沙河市应急管理局关于公开实施《沙河市应急管理局行政执法事项清单（2024年版）和沙河市应急管理局行政持证执法人员公示。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textAlignment w:val="auto"/>
        <w:rPr>
          <w:rFonts w:hint="eastAsia" w:ascii="仿宋_GB2312" w:hAnsi="仿宋_GB2312" w:eastAsia="仿宋_GB2312" w:cs="仿宋_GB2312"/>
          <w:color w:val="000000"/>
          <w:spacing w:val="0"/>
          <w:kern w:val="0"/>
          <w:sz w:val="32"/>
          <w:szCs w:val="32"/>
          <w:shd w:val="clear" w:color="auto" w:fill="FFFFFF"/>
          <w:lang w:val="en-US" w:eastAsia="zh-CN" w:bidi="ar-SA"/>
        </w:rPr>
      </w:pPr>
      <w:r>
        <w:rPr>
          <w:rFonts w:hint="eastAsia" w:ascii="楷体" w:hAnsi="楷体" w:eastAsia="楷体" w:cs="楷体"/>
          <w:color w:val="000000"/>
          <w:spacing w:val="0"/>
          <w:kern w:val="0"/>
          <w:sz w:val="32"/>
          <w:szCs w:val="32"/>
          <w:shd w:val="clear" w:color="auto" w:fill="FFFFFF"/>
          <w:lang w:val="en-US" w:eastAsia="zh-CN" w:bidi="ar-SA"/>
        </w:rPr>
        <w:t>（四）政府信息公开平台建设方面。</w:t>
      </w:r>
      <w:r>
        <w:rPr>
          <w:rFonts w:hint="eastAsia" w:ascii="仿宋_GB2312" w:hAnsi="仿宋_GB2312" w:eastAsia="仿宋_GB2312" w:cs="仿宋_GB2312"/>
          <w:color w:val="000000"/>
          <w:spacing w:val="0"/>
          <w:kern w:val="0"/>
          <w:sz w:val="32"/>
          <w:szCs w:val="32"/>
          <w:shd w:val="clear" w:color="auto" w:fill="FFFFFF"/>
          <w:lang w:val="en-US" w:eastAsia="zh-CN" w:bidi="ar-SA"/>
        </w:rPr>
        <w:t>积极宣传和定期更新“沙河市应急管理局”微信公众号，发挥政务新媒体优势，加大安全生产宣传。</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textAlignment w:val="auto"/>
        <w:rPr>
          <w:rFonts w:hint="eastAsia" w:ascii="仿宋_GB2312" w:hAnsi="仿宋_GB2312" w:eastAsia="仿宋_GB2312" w:cs="仿宋_GB2312"/>
          <w:color w:val="000000"/>
          <w:spacing w:val="0"/>
          <w:kern w:val="0"/>
          <w:sz w:val="32"/>
          <w:szCs w:val="32"/>
          <w:shd w:val="clear" w:color="auto" w:fill="FFFFFF"/>
          <w:lang w:val="en-US" w:eastAsia="zh-CN" w:bidi="ar-SA"/>
        </w:rPr>
      </w:pPr>
      <w:r>
        <w:rPr>
          <w:rFonts w:hint="eastAsia" w:ascii="楷体" w:hAnsi="楷体" w:eastAsia="楷体" w:cs="楷体"/>
          <w:color w:val="000000"/>
          <w:spacing w:val="0"/>
          <w:kern w:val="0"/>
          <w:sz w:val="32"/>
          <w:szCs w:val="32"/>
          <w:shd w:val="clear" w:color="auto" w:fill="FFFFFF"/>
          <w:lang w:val="en-US" w:eastAsia="zh-CN" w:bidi="ar-SA"/>
        </w:rPr>
        <w:t>（五）强化监督保障方面。</w:t>
      </w:r>
      <w:r>
        <w:rPr>
          <w:rFonts w:hint="eastAsia" w:ascii="仿宋_GB2312" w:hAnsi="仿宋_GB2312" w:eastAsia="仿宋_GB2312" w:cs="仿宋_GB2312"/>
          <w:color w:val="000000"/>
          <w:spacing w:val="0"/>
          <w:kern w:val="0"/>
          <w:sz w:val="32"/>
          <w:szCs w:val="32"/>
          <w:shd w:val="clear" w:color="auto" w:fill="FFFFFF"/>
          <w:lang w:val="en-US" w:eastAsia="zh-CN" w:bidi="ar-SA"/>
        </w:rPr>
        <w:t>按照上级政务公开工作重点任务，逐项细化分解，明确责任分工，加强督导落实。总结梳理主动公开重点，着力提升政务公开业务能力和水平。</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00" w:lineRule="exact"/>
        <w:ind w:right="0" w:firstLine="640" w:firstLineChars="200"/>
        <w:jc w:val="both"/>
        <w:textAlignment w:val="auto"/>
        <w:rPr>
          <w:rFonts w:hint="eastAsia" w:ascii="黑体" w:hAnsi="黑体" w:eastAsia="黑体" w:cs="黑体"/>
          <w:bCs/>
          <w:color w:val="000000"/>
          <w:sz w:val="32"/>
          <w:szCs w:val="32"/>
          <w:shd w:val="clear" w:color="auto" w:fill="FFFFFF"/>
          <w:lang w:val="en-US" w:eastAsia="zh-CN" w:bidi="ar-SA"/>
        </w:rPr>
      </w:pPr>
      <w:bookmarkStart w:id="0" w:name="_GoBack"/>
      <w:r>
        <w:rPr>
          <w:rFonts w:hint="eastAsia" w:ascii="黑体" w:hAnsi="黑体" w:eastAsia="黑体" w:cs="黑体"/>
          <w:bCs/>
          <w:color w:val="000000"/>
          <w:sz w:val="32"/>
          <w:szCs w:val="32"/>
          <w:shd w:val="clear" w:color="auto" w:fill="FFFFFF"/>
          <w:lang w:val="en-US" w:eastAsia="zh-CN" w:bidi="ar-SA"/>
        </w:rPr>
        <w:t>二、主动公开政府信息情况</w:t>
      </w:r>
    </w:p>
    <w:tbl>
      <w:tblPr>
        <w:tblStyle w:val="6"/>
        <w:tblW w:w="9215" w:type="dxa"/>
        <w:jc w:val="center"/>
        <w:tblLayout w:type="fixed"/>
        <w:tblCellMar>
          <w:top w:w="0" w:type="dxa"/>
          <w:left w:w="0" w:type="dxa"/>
          <w:bottom w:w="0" w:type="dxa"/>
          <w:right w:w="0" w:type="dxa"/>
        </w:tblCellMar>
      </w:tblPr>
      <w:tblGrid>
        <w:gridCol w:w="1910"/>
        <w:gridCol w:w="2435"/>
        <w:gridCol w:w="2435"/>
        <w:gridCol w:w="2435"/>
      </w:tblGrid>
      <w:tr>
        <w:tblPrEx>
          <w:tblCellMar>
            <w:top w:w="0" w:type="dxa"/>
            <w:left w:w="0" w:type="dxa"/>
            <w:bottom w:w="0" w:type="dxa"/>
            <w:right w:w="0" w:type="dxa"/>
          </w:tblCellMar>
        </w:tblPrEx>
        <w:trPr>
          <w:trHeight w:val="340" w:hRule="atLeast"/>
          <w:jc w:val="center"/>
        </w:trPr>
        <w:tc>
          <w:tcPr>
            <w:tcW w:w="9215"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pPr>
            <w:r>
              <w:rPr>
                <w:rFonts w:hint="eastAsia" w:ascii="宋体" w:hAnsi="宋体" w:cs="宋体"/>
                <w:color w:val="000000"/>
                <w:kern w:val="0"/>
                <w:sz w:val="20"/>
                <w:lang w:bidi="ar"/>
              </w:rPr>
              <w:t>第二十条第（一）项</w:t>
            </w:r>
          </w:p>
        </w:tc>
      </w:tr>
      <w:tr>
        <w:tblPrEx>
          <w:tblCellMar>
            <w:top w:w="0" w:type="dxa"/>
            <w:left w:w="0" w:type="dxa"/>
            <w:bottom w:w="0" w:type="dxa"/>
            <w:right w:w="0" w:type="dxa"/>
          </w:tblCellMar>
        </w:tblPrEx>
        <w:trPr>
          <w:trHeight w:val="340" w:hRule="atLeast"/>
          <w:jc w:val="center"/>
        </w:trPr>
        <w:tc>
          <w:tcPr>
            <w:tcW w:w="191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pPr>
            <w:r>
              <w:rPr>
                <w:rFonts w:hint="eastAsia" w:ascii="宋体" w:hAnsi="宋体" w:cs="宋体"/>
                <w:color w:val="000000"/>
                <w:kern w:val="0"/>
                <w:sz w:val="20"/>
                <w:lang w:bidi="ar"/>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pPr>
            <w:r>
              <w:rPr>
                <w:rFonts w:hint="eastAsia" w:ascii="宋体" w:hAnsi="宋体" w:cs="宋体"/>
                <w:color w:val="000000"/>
                <w:kern w:val="0"/>
                <w:sz w:val="20"/>
                <w:lang w:bidi="ar"/>
              </w:rPr>
              <w:t>本年</w:t>
            </w:r>
            <w:r>
              <w:rPr>
                <w:rFonts w:hint="eastAsia" w:ascii="宋体" w:hAnsi="宋体" w:cs="宋体"/>
                <w:kern w:val="0"/>
                <w:sz w:val="20"/>
                <w:lang w:bidi="ar"/>
              </w:rPr>
              <w:t>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pPr>
            <w:r>
              <w:rPr>
                <w:rFonts w:hint="eastAsia" w:ascii="宋体" w:hAnsi="宋体" w:cs="宋体"/>
                <w:color w:val="000000"/>
                <w:kern w:val="0"/>
                <w:sz w:val="20"/>
                <w:lang w:bidi="ar"/>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pPr>
            <w:r>
              <w:rPr>
                <w:rFonts w:hint="eastAsia" w:ascii="宋体" w:hAnsi="宋体" w:cs="宋体"/>
                <w:color w:val="000000"/>
                <w:kern w:val="0"/>
                <w:sz w:val="20"/>
                <w:lang w:bidi="ar"/>
              </w:rPr>
              <w:t>现行有效件</w:t>
            </w:r>
            <w:r>
              <w:rPr>
                <w:rFonts w:hint="eastAsia" w:ascii="宋体" w:hAnsi="宋体" w:cs="宋体"/>
                <w:kern w:val="0"/>
                <w:sz w:val="20"/>
                <w:lang w:bidi="ar"/>
              </w:rPr>
              <w:t>数</w:t>
            </w:r>
          </w:p>
        </w:tc>
      </w:tr>
      <w:tr>
        <w:tblPrEx>
          <w:tblCellMar>
            <w:top w:w="0" w:type="dxa"/>
            <w:left w:w="0" w:type="dxa"/>
            <w:bottom w:w="0" w:type="dxa"/>
            <w:right w:w="0" w:type="dxa"/>
          </w:tblCellMar>
        </w:tblPrEx>
        <w:trPr>
          <w:trHeight w:val="340" w:hRule="atLeast"/>
          <w:jc w:val="center"/>
        </w:trPr>
        <w:tc>
          <w:tcPr>
            <w:tcW w:w="191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ascii="宋体" w:hAnsi="宋体" w:cs="宋体"/>
                <w:color w:val="000000"/>
                <w:kern w:val="0"/>
                <w:sz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ascii="宋体" w:hAnsi="宋体" w:cs="宋体"/>
                <w:color w:val="000000"/>
                <w:kern w:val="0"/>
                <w:sz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ascii="宋体" w:hAnsi="宋体" w:cs="宋体"/>
                <w:color w:val="000000"/>
                <w:kern w:val="0"/>
                <w:sz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ascii="Calibri" w:hAnsi="Calibri" w:cs="Calibri"/>
                <w:kern w:val="0"/>
                <w:szCs w:val="21"/>
                <w:lang w:bidi="ar"/>
              </w:rPr>
              <w:t> </w:t>
            </w:r>
            <w:r>
              <w:rPr>
                <w:rFonts w:hint="eastAsia" w:ascii="Calibri" w:hAnsi="Calibri" w:cs="Calibri"/>
                <w:kern w:val="0"/>
                <w:szCs w:val="21"/>
                <w:lang w:bidi="ar"/>
              </w:rPr>
              <w:t>0</w:t>
            </w:r>
          </w:p>
        </w:tc>
      </w:tr>
      <w:tr>
        <w:tblPrEx>
          <w:tblCellMar>
            <w:top w:w="0" w:type="dxa"/>
            <w:left w:w="0" w:type="dxa"/>
            <w:bottom w:w="0" w:type="dxa"/>
            <w:right w:w="0" w:type="dxa"/>
          </w:tblCellMar>
        </w:tblPrEx>
        <w:trPr>
          <w:trHeight w:val="340" w:hRule="atLeast"/>
          <w:jc w:val="center"/>
        </w:trPr>
        <w:tc>
          <w:tcPr>
            <w:tcW w:w="191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ascii="宋体" w:hAnsi="宋体" w:cs="宋体"/>
                <w:color w:val="000000"/>
                <w:kern w:val="0"/>
                <w:sz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ascii="宋体" w:hAnsi="宋体" w:cs="宋体"/>
                <w:color w:val="000000"/>
                <w:kern w:val="0"/>
                <w:sz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ascii="宋体" w:hAnsi="宋体" w:cs="宋体"/>
                <w:color w:val="000000"/>
                <w:kern w:val="0"/>
                <w:sz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等线"/>
                <w:lang w:eastAsia="zh-CN"/>
              </w:rPr>
            </w:pP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215"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pPr>
            <w:r>
              <w:rPr>
                <w:rFonts w:hint="eastAsia" w:ascii="宋体" w:hAnsi="宋体" w:cs="宋体"/>
                <w:color w:val="000000"/>
                <w:kern w:val="0"/>
                <w:sz w:val="20"/>
                <w:lang w:bidi="ar"/>
              </w:rPr>
              <w:t>第二十条第（五）项</w:t>
            </w:r>
          </w:p>
        </w:tc>
      </w:tr>
      <w:tr>
        <w:tblPrEx>
          <w:tblCellMar>
            <w:top w:w="0" w:type="dxa"/>
            <w:left w:w="0" w:type="dxa"/>
            <w:bottom w:w="0" w:type="dxa"/>
            <w:right w:w="0" w:type="dxa"/>
          </w:tblCellMar>
        </w:tblPrEx>
        <w:trPr>
          <w:trHeight w:val="340" w:hRule="atLeast"/>
          <w:jc w:val="center"/>
        </w:trPr>
        <w:tc>
          <w:tcPr>
            <w:tcW w:w="191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pPr>
            <w:r>
              <w:rPr>
                <w:rFonts w:hint="eastAsia" w:ascii="宋体" w:hAnsi="宋体" w:cs="宋体"/>
                <w:color w:val="000000"/>
                <w:kern w:val="0"/>
                <w:sz w:val="20"/>
                <w:lang w:bidi="ar"/>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pPr>
            <w:r>
              <w:rPr>
                <w:rFonts w:hint="eastAsia" w:ascii="宋体" w:hAnsi="宋体" w:cs="宋体"/>
                <w:color w:val="000000"/>
                <w:kern w:val="0"/>
                <w:sz w:val="20"/>
                <w:lang w:bidi="ar"/>
              </w:rPr>
              <w:t>本年处理决定数量</w:t>
            </w:r>
          </w:p>
        </w:tc>
      </w:tr>
      <w:tr>
        <w:tblPrEx>
          <w:tblCellMar>
            <w:top w:w="0" w:type="dxa"/>
            <w:left w:w="0" w:type="dxa"/>
            <w:bottom w:w="0" w:type="dxa"/>
            <w:right w:w="0" w:type="dxa"/>
          </w:tblCellMar>
        </w:tblPrEx>
        <w:trPr>
          <w:trHeight w:val="340" w:hRule="atLeast"/>
          <w:jc w:val="center"/>
        </w:trPr>
        <w:tc>
          <w:tcPr>
            <w:tcW w:w="191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ascii="宋体" w:hAnsi="宋体" w:cs="宋体"/>
                <w:color w:val="000000"/>
                <w:kern w:val="0"/>
                <w:sz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eastAsia="宋体"/>
                <w:lang w:val="en-US" w:eastAsia="zh-CN"/>
              </w:rPr>
            </w:pPr>
            <w:r>
              <w:rPr>
                <w:rFonts w:ascii="宋体" w:hAnsi="宋体" w:cs="宋体"/>
                <w:color w:val="000000"/>
                <w:kern w:val="0"/>
                <w:sz w:val="20"/>
                <w:lang w:bidi="ar"/>
              </w:rPr>
              <w:t> </w:t>
            </w:r>
            <w:r>
              <w:rPr>
                <w:rFonts w:hint="eastAsia" w:ascii="宋体" w:hAnsi="宋体" w:cs="宋体"/>
                <w:color w:val="000000"/>
                <w:kern w:val="0"/>
                <w:sz w:val="20"/>
                <w:lang w:val="en-US" w:eastAsia="zh-CN" w:bidi="ar"/>
              </w:rPr>
              <w:t>0</w:t>
            </w:r>
          </w:p>
        </w:tc>
      </w:tr>
      <w:tr>
        <w:tblPrEx>
          <w:tblCellMar>
            <w:top w:w="0" w:type="dxa"/>
            <w:left w:w="0" w:type="dxa"/>
            <w:bottom w:w="0" w:type="dxa"/>
            <w:right w:w="0" w:type="dxa"/>
          </w:tblCellMar>
        </w:tblPrEx>
        <w:trPr>
          <w:trHeight w:val="340" w:hRule="atLeast"/>
          <w:jc w:val="center"/>
        </w:trPr>
        <w:tc>
          <w:tcPr>
            <w:tcW w:w="9215"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pPr>
            <w:r>
              <w:rPr>
                <w:rFonts w:hint="eastAsia" w:ascii="宋体" w:hAnsi="宋体" w:cs="宋体"/>
                <w:color w:val="000000"/>
                <w:kern w:val="0"/>
                <w:sz w:val="20"/>
                <w:lang w:bidi="ar"/>
              </w:rPr>
              <w:t>第二十条第（六）项</w:t>
            </w:r>
          </w:p>
        </w:tc>
      </w:tr>
      <w:tr>
        <w:tblPrEx>
          <w:tblCellMar>
            <w:top w:w="0" w:type="dxa"/>
            <w:left w:w="0" w:type="dxa"/>
            <w:bottom w:w="0" w:type="dxa"/>
            <w:right w:w="0" w:type="dxa"/>
          </w:tblCellMar>
        </w:tblPrEx>
        <w:trPr>
          <w:trHeight w:val="340" w:hRule="atLeast"/>
          <w:jc w:val="center"/>
        </w:trPr>
        <w:tc>
          <w:tcPr>
            <w:tcW w:w="191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pPr>
            <w:r>
              <w:rPr>
                <w:rFonts w:hint="eastAsia" w:ascii="宋体" w:hAnsi="宋体" w:cs="宋体"/>
                <w:color w:val="000000"/>
                <w:kern w:val="0"/>
                <w:sz w:val="20"/>
                <w:lang w:bidi="ar"/>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pPr>
            <w:r>
              <w:rPr>
                <w:rFonts w:hint="eastAsia" w:ascii="宋体" w:hAnsi="宋体" w:cs="宋体"/>
                <w:color w:val="000000"/>
                <w:kern w:val="0"/>
                <w:sz w:val="20"/>
                <w:lang w:bidi="ar"/>
              </w:rPr>
              <w:t>本年处理决定数量</w:t>
            </w:r>
          </w:p>
        </w:tc>
      </w:tr>
      <w:tr>
        <w:tblPrEx>
          <w:tblCellMar>
            <w:top w:w="0" w:type="dxa"/>
            <w:left w:w="0" w:type="dxa"/>
            <w:bottom w:w="0" w:type="dxa"/>
            <w:right w:w="0" w:type="dxa"/>
          </w:tblCellMar>
        </w:tblPrEx>
        <w:trPr>
          <w:trHeight w:val="340" w:hRule="atLeast"/>
          <w:jc w:val="center"/>
        </w:trPr>
        <w:tc>
          <w:tcPr>
            <w:tcW w:w="191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ascii="宋体" w:hAnsi="宋体" w:cs="宋体"/>
                <w:color w:val="000000"/>
                <w:kern w:val="0"/>
                <w:sz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eastAsia="等线"/>
                <w:lang w:val="en-US" w:eastAsia="zh-CN"/>
              </w:rPr>
            </w:pPr>
            <w:r>
              <w:rPr>
                <w:rFonts w:hint="eastAsia" w:ascii="宋体" w:hAnsi="宋体" w:cs="宋体"/>
                <w:color w:val="000000"/>
                <w:kern w:val="0"/>
                <w:sz w:val="20"/>
                <w:lang w:bidi="ar"/>
              </w:rPr>
              <w:t>　</w:t>
            </w:r>
            <w:r>
              <w:rPr>
                <w:rFonts w:hint="eastAsia" w:ascii="宋体" w:hAnsi="宋体" w:cs="宋体"/>
                <w:color w:val="000000"/>
                <w:kern w:val="0"/>
                <w:sz w:val="20"/>
                <w:lang w:val="en-US" w:eastAsia="zh-CN" w:bidi="ar"/>
              </w:rPr>
              <w:t>37</w:t>
            </w:r>
          </w:p>
        </w:tc>
      </w:tr>
      <w:tr>
        <w:tblPrEx>
          <w:tblCellMar>
            <w:top w:w="0" w:type="dxa"/>
            <w:left w:w="0" w:type="dxa"/>
            <w:bottom w:w="0" w:type="dxa"/>
            <w:right w:w="0" w:type="dxa"/>
          </w:tblCellMar>
        </w:tblPrEx>
        <w:trPr>
          <w:trHeight w:val="340" w:hRule="atLeast"/>
          <w:jc w:val="center"/>
        </w:trPr>
        <w:tc>
          <w:tcPr>
            <w:tcW w:w="191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ascii="宋体" w:hAnsi="宋体" w:cs="宋体"/>
                <w:color w:val="000000"/>
                <w:kern w:val="0"/>
                <w:sz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ascii="宋体" w:hAnsi="宋体" w:cs="宋体"/>
                <w:color w:val="000000"/>
                <w:kern w:val="0"/>
                <w:sz w:val="20"/>
                <w:lang w:bidi="ar"/>
              </w:rPr>
              <w:t>　0</w:t>
            </w:r>
          </w:p>
        </w:tc>
      </w:tr>
      <w:tr>
        <w:tblPrEx>
          <w:tblCellMar>
            <w:top w:w="0" w:type="dxa"/>
            <w:left w:w="0" w:type="dxa"/>
            <w:bottom w:w="0" w:type="dxa"/>
            <w:right w:w="0" w:type="dxa"/>
          </w:tblCellMar>
        </w:tblPrEx>
        <w:trPr>
          <w:trHeight w:val="340" w:hRule="atLeast"/>
          <w:jc w:val="center"/>
        </w:trPr>
        <w:tc>
          <w:tcPr>
            <w:tcW w:w="9215"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pPr>
            <w:r>
              <w:rPr>
                <w:rFonts w:hint="eastAsia" w:ascii="宋体" w:hAnsi="宋体" w:cs="宋体"/>
                <w:color w:val="000000"/>
                <w:kern w:val="0"/>
                <w:sz w:val="20"/>
                <w:lang w:bidi="ar"/>
              </w:rPr>
              <w:t>第二十条第（八）项</w:t>
            </w:r>
          </w:p>
        </w:tc>
      </w:tr>
      <w:tr>
        <w:tblPrEx>
          <w:tblCellMar>
            <w:top w:w="0" w:type="dxa"/>
            <w:left w:w="0" w:type="dxa"/>
            <w:bottom w:w="0" w:type="dxa"/>
            <w:right w:w="0" w:type="dxa"/>
          </w:tblCellMar>
        </w:tblPrEx>
        <w:trPr>
          <w:trHeight w:val="340" w:hRule="atLeast"/>
          <w:jc w:val="center"/>
        </w:trPr>
        <w:tc>
          <w:tcPr>
            <w:tcW w:w="191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pPr>
            <w:r>
              <w:rPr>
                <w:rFonts w:hint="eastAsia" w:ascii="宋体" w:hAnsi="宋体" w:cs="宋体"/>
                <w:color w:val="000000"/>
                <w:kern w:val="0"/>
                <w:sz w:val="20"/>
                <w:lang w:bidi="ar"/>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pPr>
            <w:r>
              <w:rPr>
                <w:rFonts w:hint="eastAsia" w:ascii="宋体" w:hAnsi="宋体" w:cs="宋体"/>
                <w:color w:val="000000"/>
                <w:kern w:val="0"/>
                <w:sz w:val="20"/>
                <w:lang w:bidi="ar"/>
              </w:rPr>
              <w:t>本年收费金额（单位：万元）</w:t>
            </w:r>
          </w:p>
        </w:tc>
      </w:tr>
      <w:tr>
        <w:tblPrEx>
          <w:tblCellMar>
            <w:top w:w="0" w:type="dxa"/>
            <w:left w:w="0" w:type="dxa"/>
            <w:bottom w:w="0" w:type="dxa"/>
            <w:right w:w="0" w:type="dxa"/>
          </w:tblCellMar>
        </w:tblPrEx>
        <w:trPr>
          <w:trHeight w:val="340" w:hRule="atLeast"/>
          <w:jc w:val="center"/>
        </w:trPr>
        <w:tc>
          <w:tcPr>
            <w:tcW w:w="191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ascii="宋体" w:hAnsi="宋体" w:cs="宋体"/>
                <w:color w:val="000000"/>
                <w:kern w:val="0"/>
                <w:sz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200" w:firstLineChars="100"/>
              <w:textAlignment w:val="auto"/>
              <w:rPr>
                <w:rFonts w:hint="default" w:ascii="宋体" w:eastAsia="等线"/>
                <w:sz w:val="24"/>
                <w:szCs w:val="24"/>
                <w:lang w:val="en-US" w:eastAsia="zh-CN"/>
              </w:rPr>
            </w:pPr>
            <w:r>
              <w:rPr>
                <w:rFonts w:hint="eastAsia" w:ascii="宋体" w:hAnsi="宋体" w:cs="宋体"/>
                <w:color w:val="000000"/>
                <w:kern w:val="0"/>
                <w:sz w:val="20"/>
                <w:lang w:val="en-US" w:eastAsia="zh-CN" w:bidi="ar"/>
              </w:rPr>
              <w:t>0</w:t>
            </w:r>
          </w:p>
        </w:tc>
      </w:tr>
    </w:tbl>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00" w:lineRule="exact"/>
        <w:ind w:right="0" w:firstLine="640" w:firstLineChars="200"/>
        <w:jc w:val="both"/>
        <w:textAlignment w:val="auto"/>
        <w:rPr>
          <w:rFonts w:hint="eastAsia" w:ascii="黑体" w:hAnsi="黑体" w:eastAsia="黑体" w:cs="黑体"/>
          <w:bCs/>
          <w:color w:val="000000"/>
          <w:sz w:val="32"/>
          <w:szCs w:val="32"/>
          <w:shd w:val="clear" w:color="auto" w:fill="FFFFFF"/>
          <w:lang w:val="en-US" w:eastAsia="zh-CN" w:bidi="ar-SA"/>
        </w:rPr>
      </w:pPr>
      <w:r>
        <w:rPr>
          <w:rFonts w:hint="eastAsia" w:ascii="黑体" w:hAnsi="黑体" w:eastAsia="黑体" w:cs="黑体"/>
          <w:bCs/>
          <w:color w:val="000000"/>
          <w:sz w:val="32"/>
          <w:szCs w:val="32"/>
          <w:shd w:val="clear" w:color="auto" w:fill="FFFFFF"/>
          <w:lang w:val="en-US" w:eastAsia="zh-CN" w:bidi="ar-SA"/>
        </w:rPr>
        <w:t>三、收到和处理政府信息公开申请情况</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6" w:type="dxa"/>
            <w:gridSpan w:val="3"/>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ascii="宋体" w:hAnsi="宋体" w:cs="宋体"/>
                <w:color w:val="000000"/>
                <w:kern w:val="0"/>
                <w:sz w:val="20"/>
                <w:lang w:bidi="ar"/>
              </w:rPr>
              <w:t>（本列数据的勾稽关系为：第一项加第二项之和，等于第三项加第四项之和）</w:t>
            </w:r>
          </w:p>
        </w:tc>
        <w:tc>
          <w:tcPr>
            <w:tcW w:w="5515" w:type="dxa"/>
            <w:gridSpan w:val="7"/>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ascii="宋体" w:hAnsi="宋体" w:cs="宋体"/>
                <w:color w:val="000000"/>
                <w:kern w:val="0"/>
                <w:sz w:val="20"/>
                <w:lang w:bidi="ar"/>
              </w:rPr>
              <w:t>申请人情况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6" w:type="dxa"/>
            <w:gridSpan w:val="3"/>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813"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ascii="宋体" w:hAnsi="宋体" w:cs="宋体"/>
                <w:color w:val="000000"/>
                <w:kern w:val="0"/>
                <w:sz w:val="20"/>
                <w:lang w:bidi="ar"/>
              </w:rPr>
              <w:t>自然人</w:t>
            </w:r>
          </w:p>
        </w:tc>
        <w:tc>
          <w:tcPr>
            <w:tcW w:w="4007" w:type="dxa"/>
            <w:gridSpan w:val="5"/>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ascii="宋体" w:hAnsi="宋体" w:cs="宋体"/>
                <w:color w:val="000000"/>
                <w:kern w:val="0"/>
                <w:sz w:val="20"/>
                <w:lang w:bidi="ar"/>
              </w:rPr>
              <w:t>法人或其他组织</w:t>
            </w:r>
          </w:p>
        </w:tc>
        <w:tc>
          <w:tcPr>
            <w:tcW w:w="695"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ascii="宋体" w:hAnsi="宋体" w:cs="宋体"/>
                <w:color w:val="000000"/>
                <w:kern w:val="0"/>
                <w:sz w:val="20"/>
                <w:lang w:bidi="ar"/>
              </w:rPr>
              <w:t>总计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3556" w:type="dxa"/>
            <w:gridSpan w:val="3"/>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813"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ascii="宋体" w:hAnsi="宋体" w:cs="宋体"/>
                <w:color w:val="000000"/>
                <w:kern w:val="0"/>
                <w:sz w:val="20"/>
                <w:lang w:bidi="ar"/>
              </w:rPr>
              <w:t>商业企业</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ascii="宋体" w:hAnsi="宋体" w:cs="宋体"/>
                <w:color w:val="000000"/>
                <w:kern w:val="0"/>
                <w:sz w:val="20"/>
                <w:lang w:bidi="ar"/>
              </w:rPr>
              <w:t>科研机构</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ascii="宋体" w:hAnsi="宋体" w:cs="宋体"/>
                <w:color w:val="000000"/>
                <w:kern w:val="0"/>
                <w:sz w:val="20"/>
                <w:lang w:bidi="ar"/>
              </w:rPr>
              <w:t>社会公益组织</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ascii="宋体" w:hAnsi="宋体" w:cs="宋体"/>
                <w:color w:val="000000"/>
                <w:kern w:val="0"/>
                <w:sz w:val="20"/>
                <w:lang w:bidi="ar"/>
              </w:rPr>
              <w:t>法律服务机构</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ascii="宋体" w:hAnsi="宋体" w:cs="宋体"/>
                <w:color w:val="000000"/>
                <w:kern w:val="0"/>
                <w:sz w:val="20"/>
                <w:lang w:bidi="ar"/>
              </w:rPr>
              <w:t>其他</w:t>
            </w:r>
          </w:p>
        </w:tc>
        <w:tc>
          <w:tcPr>
            <w:tcW w:w="695"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6" w:type="dxa"/>
            <w:gridSpan w:val="3"/>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宋体" w:hAnsi="宋体" w:cs="宋体"/>
                <w:color w:val="000000"/>
                <w:kern w:val="0"/>
                <w:sz w:val="20"/>
                <w:lang w:bidi="ar"/>
              </w:rPr>
              <w:t>一、本年新收政府信息公开申请数量</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eastAsia="等线"/>
                <w:color w:val="000000"/>
                <w:lang w:val="en-US" w:eastAsia="zh-CN"/>
              </w:rPr>
            </w:pPr>
            <w:r>
              <w:rPr>
                <w:rFonts w:hint="eastAsia"/>
                <w:color w:val="00000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eastAsia="等线"/>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6" w:type="dxa"/>
            <w:gridSpan w:val="3"/>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宋体" w:hAnsi="宋体" w:cs="宋体"/>
                <w:color w:val="000000"/>
                <w:kern w:val="0"/>
                <w:sz w:val="20"/>
                <w:lang w:bidi="ar"/>
              </w:rPr>
              <w:t>二、上年结转政府信息公开申请数量</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ascii="宋体" w:hAnsi="宋体" w:cs="宋体"/>
                <w:color w:val="000000"/>
                <w:kern w:val="0"/>
                <w:sz w:val="20"/>
                <w:lang w:bidi="ar"/>
              </w:rPr>
              <w:t>三、本年度办理结果</w:t>
            </w:r>
          </w:p>
        </w:tc>
        <w:tc>
          <w:tcPr>
            <w:tcW w:w="2940"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（一）予以公开</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eastAsia="等线"/>
                <w:color w:val="000000"/>
                <w:lang w:val="en-US" w:eastAsia="zh-CN"/>
              </w:rPr>
            </w:pPr>
            <w:r>
              <w:rPr>
                <w:rFonts w:hint="eastAsia"/>
                <w:color w:val="00000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eastAsia="等线"/>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2940"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（二）部分公开（区分处理的，只计这一情形，不计其他情形）</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854"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（三）不予公开</w:t>
            </w: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1.属于国家秘密</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2.其他法律行政法规禁止公开</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eastAsia="等线"/>
                <w:color w:val="000000"/>
                <w:lang w:eastAsia="zh-CN"/>
              </w:rPr>
            </w:pPr>
            <w:r>
              <w:rPr>
                <w:rFonts w:hint="eastAsia"/>
                <w:color w:val="00000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eastAsia="等线"/>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3.危及“三安全一稳定”</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4.保护第三方合法权益</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5.属于三类内部事务信息</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6.属于四类过程性信息</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7.属于行政执法案卷</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8.属于行政查询事项</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854"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（四）无法提供</w:t>
            </w: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1.本机关不掌握相关政府信息</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eastAsia="等线"/>
                <w:color w:val="000000"/>
                <w:lang w:eastAsia="zh-CN"/>
              </w:rPr>
            </w:pPr>
            <w:r>
              <w:rPr>
                <w:rFonts w:hint="eastAsia"/>
                <w:color w:val="00000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eastAsia="等线"/>
                <w:color w:val="000000"/>
                <w:lang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2.没有现成信息需要另行制作</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eastAsia="等线"/>
                <w:color w:val="000000"/>
                <w:lang w:eastAsia="zh-CN"/>
              </w:rPr>
            </w:pPr>
            <w:r>
              <w:rPr>
                <w:rFonts w:hint="eastAsia"/>
                <w:color w:val="00000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eastAsia="等线"/>
                <w:color w:val="000000"/>
                <w:lang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69" w:hRule="atLeast"/>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3.补正后申请内容仍不明确</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854"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楷体" w:hAnsi="楷体" w:eastAsia="楷体" w:cs="楷体"/>
                <w:color w:val="000000"/>
                <w:kern w:val="0"/>
                <w:sz w:val="20"/>
                <w:lang w:bidi="ar"/>
              </w:rPr>
            </w:pPr>
          </w:p>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（五）不予处理</w:t>
            </w: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1.信访举报投诉类申请</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2.重复申请</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3.要求提供公开出版物</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4.无正当理由大量反复申请</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5.要求行政机关确认或重新出具已获取信息</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2940"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（六）其他处理</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宋体"/>
                <w:color w:val="000000"/>
                <w:sz w:val="24"/>
                <w:szCs w:val="24"/>
              </w:rPr>
            </w:pPr>
          </w:p>
        </w:tc>
        <w:tc>
          <w:tcPr>
            <w:tcW w:w="2940"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楷体" w:hAnsi="楷体" w:eastAsia="楷体" w:cs="楷体"/>
                <w:color w:val="000000"/>
                <w:kern w:val="0"/>
                <w:sz w:val="20"/>
                <w:lang w:bidi="ar"/>
              </w:rPr>
              <w:t>（七）总计</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eastAsia="等线"/>
                <w:color w:val="000000"/>
                <w:lang w:val="en-US" w:eastAsia="zh-CN"/>
              </w:rPr>
            </w:pPr>
            <w:r>
              <w:rPr>
                <w:rFonts w:hint="eastAsia"/>
                <w:color w:val="00000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eastAsia="等线"/>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6" w:type="dxa"/>
            <w:gridSpan w:val="3"/>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color w:val="000000"/>
              </w:rPr>
            </w:pPr>
            <w:r>
              <w:rPr>
                <w:rFonts w:hint="eastAsia" w:ascii="宋体" w:hAnsi="宋体" w:cs="宋体"/>
                <w:color w:val="000000"/>
                <w:kern w:val="0"/>
                <w:sz w:val="20"/>
                <w:lang w:bidi="ar"/>
              </w:rPr>
              <w:t>四、结转下年度继续办理</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color w:val="000000"/>
                <w:sz w:val="24"/>
                <w:szCs w:val="24"/>
              </w:rPr>
            </w:pPr>
            <w:r>
              <w:rPr>
                <w:rFonts w:hint="eastAsia"/>
                <w:color w:val="000000"/>
              </w:rPr>
              <w:t>0</w:t>
            </w:r>
          </w:p>
        </w:tc>
      </w:tr>
    </w:tbl>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00" w:lineRule="exact"/>
        <w:ind w:right="0" w:firstLine="640" w:firstLineChars="200"/>
        <w:jc w:val="both"/>
        <w:textAlignment w:val="auto"/>
        <w:rPr>
          <w:rFonts w:hint="eastAsia" w:ascii="黑体" w:hAnsi="黑体" w:eastAsia="黑体" w:cs="黑体"/>
          <w:bCs/>
          <w:color w:val="000000"/>
          <w:sz w:val="32"/>
          <w:szCs w:val="32"/>
          <w:shd w:val="clear" w:color="auto" w:fill="FFFFFF"/>
          <w:lang w:val="en-US" w:eastAsia="zh-CN" w:bidi="ar-SA"/>
        </w:rPr>
      </w:pPr>
      <w:r>
        <w:rPr>
          <w:rFonts w:hint="eastAsia" w:ascii="黑体" w:hAnsi="黑体" w:eastAsia="黑体" w:cs="黑体"/>
          <w:bCs/>
          <w:color w:val="000000"/>
          <w:sz w:val="32"/>
          <w:szCs w:val="32"/>
          <w:shd w:val="clear" w:color="auto" w:fill="FFFFFF"/>
          <w:lang w:val="en-US" w:eastAsia="zh-CN" w:bidi="ar-SA"/>
        </w:rPr>
        <w:t>四、政府信息公开行政复议、行政诉讼情况</w:t>
      </w:r>
    </w:p>
    <w:tbl>
      <w:tblPr>
        <w:tblStyle w:val="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ascii="宋体" w:hAnsi="宋体" w:cs="宋体"/>
                <w:color w:val="000000"/>
                <w:kern w:val="0"/>
                <w:sz w:val="20"/>
                <w:lang w:bidi="ar"/>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ascii="宋体" w:hAnsi="宋体" w:cs="宋体"/>
                <w:color w:val="000000"/>
                <w:kern w:val="0"/>
                <w:sz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ascii="宋体" w:hAnsi="宋体" w:cs="宋体"/>
                <w:color w:val="000000"/>
                <w:kern w:val="0"/>
                <w:sz w:val="20"/>
                <w:lang w:bidi="ar"/>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ascii="宋体" w:hAnsi="宋体" w:cs="宋体"/>
                <w:color w:val="000000"/>
                <w:kern w:val="0"/>
                <w:sz w:val="20"/>
                <w:lang w:bidi="ar"/>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ascii="宋体" w:hAnsi="宋体" w:cs="宋体"/>
                <w:color w:val="000000"/>
                <w:kern w:val="0"/>
                <w:sz w:val="20"/>
                <w:lang w:bidi="ar"/>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ascii="宋体" w:hAnsi="宋体" w:cs="宋体"/>
                <w:color w:val="000000"/>
                <w:kern w:val="0"/>
                <w:sz w:val="20"/>
                <w:lang w:bidi="ar"/>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ascii="宋体" w:hAnsi="宋体" w:cs="宋体"/>
                <w:color w:val="000000"/>
                <w:kern w:val="0"/>
                <w:sz w:val="20"/>
                <w:lang w:bidi="ar"/>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ascii="宋体" w:hAnsi="宋体" w:cs="宋体"/>
                <w:color w:val="000000"/>
                <w:kern w:val="0"/>
                <w:sz w:val="20"/>
                <w:lang w:bidi="ar"/>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ascii="宋体" w:hAnsi="宋体" w:cs="宋体"/>
                <w:color w:val="000000"/>
                <w:kern w:val="0"/>
                <w:sz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宋体"/>
                <w:color w:val="000000"/>
                <w:sz w:val="24"/>
                <w:szCs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宋体"/>
                <w:color w:val="000000"/>
                <w:sz w:val="24"/>
                <w:szCs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宋体"/>
                <w:color w:val="000000"/>
                <w:sz w:val="24"/>
                <w:szCs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宋体"/>
                <w:color w:val="000000"/>
                <w:sz w:val="24"/>
                <w:szCs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宋体"/>
                <w:color w:val="000000"/>
                <w:sz w:val="24"/>
                <w:szCs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ascii="宋体" w:hAnsi="宋体" w:cs="宋体"/>
                <w:color w:val="000000"/>
                <w:kern w:val="0"/>
                <w:sz w:val="20"/>
                <w:lang w:bidi="ar"/>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ascii="宋体" w:hAnsi="宋体" w:cs="宋体"/>
                <w:color w:val="000000"/>
                <w:kern w:val="0"/>
                <w:sz w:val="20"/>
                <w:lang w:bidi="ar"/>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ascii="宋体" w:hAnsi="宋体" w:cs="宋体"/>
                <w:color w:val="000000"/>
                <w:kern w:val="0"/>
                <w:sz w:val="20"/>
                <w:lang w:bidi="ar"/>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ascii="宋体" w:hAnsi="宋体" w:cs="宋体"/>
                <w:color w:val="000000"/>
                <w:kern w:val="0"/>
                <w:sz w:val="20"/>
                <w:lang w:bidi="ar"/>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ascii="宋体" w:hAnsi="宋体" w:cs="宋体"/>
                <w:color w:val="000000"/>
                <w:kern w:val="0"/>
                <w:sz w:val="20"/>
                <w:lang w:bidi="ar"/>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ascii="宋体" w:hAnsi="宋体" w:cs="宋体"/>
                <w:color w:val="000000"/>
                <w:kern w:val="0"/>
                <w:sz w:val="20"/>
                <w:lang w:bidi="ar"/>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ascii="宋体" w:hAnsi="宋体" w:cs="宋体"/>
                <w:color w:val="000000"/>
                <w:kern w:val="0"/>
                <w:sz w:val="20"/>
                <w:lang w:bidi="ar"/>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ascii="宋体" w:hAnsi="宋体" w:cs="宋体"/>
                <w:color w:val="000000"/>
                <w:kern w:val="0"/>
                <w:sz w:val="20"/>
                <w:lang w:bidi="ar"/>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ascii="宋体" w:hAnsi="宋体" w:cs="宋体"/>
                <w:color w:val="000000"/>
                <w:kern w:val="0"/>
                <w:sz w:val="20"/>
                <w:lang w:bidi="ar"/>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ascii="宋体" w:hAnsi="宋体" w:cs="宋体"/>
                <w:color w:val="000000"/>
                <w:kern w:val="0"/>
                <w:sz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color w:val="000000"/>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color w:val="000000"/>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color w:val="000000"/>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color w:val="000000"/>
              </w:rPr>
              <w:t>0</w:t>
            </w:r>
          </w:p>
        </w:tc>
        <w:tc>
          <w:tcPr>
            <w:tcW w:w="65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color w:val="000000"/>
              </w:rPr>
              <w:t>0</w:t>
            </w: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color w:val="000000"/>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color w:val="000000"/>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color w:val="000000"/>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color w:val="000000"/>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color w:val="000000"/>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color w:val="000000"/>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color w:val="000000"/>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rPr>
            </w:pPr>
            <w:r>
              <w:rPr>
                <w:rFonts w:hint="eastAsia"/>
                <w:color w:val="000000"/>
              </w:rPr>
              <w:t>0</w:t>
            </w:r>
          </w:p>
        </w:tc>
        <w:tc>
          <w:tcPr>
            <w:tcW w:w="60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color w:val="000000"/>
              </w:rPr>
            </w:pPr>
            <w:r>
              <w:rPr>
                <w:rFonts w:hint="eastAsia"/>
                <w:color w:val="000000"/>
              </w:rPr>
              <w:t>0</w:t>
            </w:r>
          </w:p>
        </w:tc>
        <w:tc>
          <w:tcPr>
            <w:tcW w:w="60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color w:val="000000"/>
              </w:rPr>
            </w:pPr>
            <w:r>
              <w:rPr>
                <w:rFonts w:hint="eastAsia"/>
                <w:color w:val="000000"/>
              </w:rPr>
              <w:t>0</w:t>
            </w:r>
          </w:p>
        </w:tc>
      </w:tr>
    </w:tbl>
    <w:p>
      <w:pPr>
        <w:pStyle w:val="4"/>
        <w:keepNext w:val="0"/>
        <w:keepLines w:val="0"/>
        <w:pageBreakBefore w:val="0"/>
        <w:widowControl/>
        <w:kinsoku/>
        <w:wordWrap/>
        <w:overflowPunct/>
        <w:topLinePunct w:val="0"/>
        <w:autoSpaceDE/>
        <w:autoSpaceDN/>
        <w:bidi w:val="0"/>
        <w:adjustRightInd/>
        <w:snapToGrid/>
        <w:spacing w:before="157" w:beforeLines="50" w:beforeAutospacing="0" w:after="0" w:afterAutospacing="0" w:line="500" w:lineRule="exact"/>
        <w:ind w:right="0" w:firstLine="640" w:firstLineChars="200"/>
        <w:jc w:val="both"/>
        <w:textAlignment w:val="auto"/>
        <w:rPr>
          <w:rFonts w:hint="eastAsia" w:ascii="黑体" w:hAnsi="黑体" w:eastAsia="黑体" w:cs="黑体"/>
          <w:bCs/>
          <w:color w:val="000000"/>
          <w:sz w:val="32"/>
          <w:szCs w:val="32"/>
          <w:shd w:val="clear" w:color="auto" w:fill="FFFFFF"/>
          <w:lang w:val="en-US" w:eastAsia="zh-CN" w:bidi="ar-SA"/>
        </w:rPr>
      </w:pPr>
      <w:r>
        <w:rPr>
          <w:rFonts w:hint="eastAsia" w:ascii="黑体" w:hAnsi="黑体" w:eastAsia="黑体" w:cs="黑体"/>
          <w:bCs/>
          <w:color w:val="000000"/>
          <w:sz w:val="32"/>
          <w:szCs w:val="32"/>
          <w:shd w:val="clear" w:color="auto" w:fill="FFFFFF"/>
          <w:lang w:val="en-US" w:eastAsia="zh-CN" w:bidi="ar-SA"/>
        </w:rPr>
        <w:t>五、存在的主要问题及改进情况</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0" w:afterAutospacing="0" w:line="500" w:lineRule="exact"/>
        <w:ind w:left="0" w:right="0" w:firstLine="672" w:firstLineChars="200"/>
        <w:jc w:val="both"/>
        <w:textAlignment w:val="auto"/>
        <w:rPr>
          <w:rFonts w:hint="eastAsia" w:ascii="仿宋_GB2312" w:hAnsi="仿宋_GB2312" w:eastAsia="仿宋_GB2312" w:cs="仿宋_GB2312"/>
          <w:color w:val="000000"/>
          <w:spacing w:val="8"/>
          <w:kern w:val="0"/>
          <w:sz w:val="32"/>
          <w:szCs w:val="32"/>
          <w:shd w:val="clear" w:color="auto" w:fill="FFFFFF"/>
          <w:lang w:val="en-US" w:eastAsia="zh-CN" w:bidi="ar-SA"/>
        </w:rPr>
      </w:pPr>
      <w:r>
        <w:rPr>
          <w:rFonts w:hint="eastAsia" w:ascii="仿宋_GB2312" w:hAnsi="仿宋_GB2312" w:eastAsia="仿宋_GB2312" w:cs="仿宋_GB2312"/>
          <w:color w:val="000000"/>
          <w:spacing w:val="8"/>
          <w:kern w:val="0"/>
          <w:sz w:val="32"/>
          <w:szCs w:val="32"/>
          <w:shd w:val="clear" w:color="auto" w:fill="FFFFFF"/>
          <w:lang w:val="en-US" w:eastAsia="zh-CN" w:bidi="ar-SA"/>
        </w:rPr>
        <w:t xml:space="preserve">2024年，我局在信息公开方面存在的不足之处，一是政务公开工作机制有待进一步完善，二是信息公开形式比较单一。 </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0" w:afterAutospacing="0" w:line="500" w:lineRule="exact"/>
        <w:ind w:left="0" w:right="0" w:firstLine="672" w:firstLineChars="200"/>
        <w:jc w:val="both"/>
        <w:textAlignment w:val="auto"/>
        <w:rPr>
          <w:rFonts w:hint="eastAsia" w:ascii="仿宋_GB2312" w:hAnsi="仿宋_GB2312" w:eastAsia="仿宋_GB2312" w:cs="仿宋_GB2312"/>
          <w:color w:val="000000"/>
          <w:spacing w:val="8"/>
          <w:kern w:val="0"/>
          <w:sz w:val="32"/>
          <w:szCs w:val="32"/>
          <w:shd w:val="clear" w:color="auto" w:fill="FFFFFF"/>
          <w:lang w:val="en-US" w:eastAsia="zh-CN" w:bidi="ar-SA"/>
        </w:rPr>
      </w:pPr>
      <w:r>
        <w:rPr>
          <w:rFonts w:hint="eastAsia" w:ascii="仿宋_GB2312" w:hAnsi="仿宋_GB2312" w:eastAsia="仿宋_GB2312" w:cs="仿宋_GB2312"/>
          <w:color w:val="000000"/>
          <w:spacing w:val="8"/>
          <w:kern w:val="0"/>
          <w:sz w:val="32"/>
          <w:szCs w:val="32"/>
          <w:shd w:val="clear" w:color="auto" w:fill="FFFFFF"/>
          <w:lang w:val="en-US" w:eastAsia="zh-CN" w:bidi="ar-SA"/>
        </w:rPr>
        <w:t>今后，我局将按照市政府信息公开工作的安排，继续推进政务公开工作，加强信息发布、解读和回应工作，进一步强化制度机制和平台建设，增强公开实效，全面提升政务公开工作。</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0" w:afterAutospacing="0" w:line="500" w:lineRule="exact"/>
        <w:ind w:left="0" w:right="0" w:firstLine="640" w:firstLineChars="200"/>
        <w:jc w:val="both"/>
        <w:textAlignment w:val="auto"/>
        <w:rPr>
          <w:rFonts w:hint="eastAsia" w:ascii="黑体" w:hAnsi="黑体" w:eastAsia="黑体" w:cs="黑体"/>
          <w:bCs/>
          <w:color w:val="000000"/>
          <w:sz w:val="32"/>
          <w:szCs w:val="32"/>
          <w:shd w:val="clear" w:color="auto" w:fill="FFFFFF"/>
          <w:lang w:val="en-US" w:eastAsia="zh-CN" w:bidi="ar-SA"/>
        </w:rPr>
      </w:pPr>
      <w:r>
        <w:rPr>
          <w:rFonts w:hint="eastAsia" w:ascii="黑体" w:hAnsi="黑体" w:eastAsia="黑体" w:cs="黑体"/>
          <w:bCs/>
          <w:color w:val="000000"/>
          <w:sz w:val="32"/>
          <w:szCs w:val="32"/>
          <w:shd w:val="clear" w:color="auto" w:fill="FFFFFF"/>
          <w:lang w:val="en-US" w:eastAsia="zh-CN" w:bidi="ar-SA"/>
        </w:rPr>
        <w:t>六、其他需要报告的事项</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672" w:firstLineChars="200"/>
        <w:jc w:val="left"/>
        <w:textAlignment w:val="auto"/>
      </w:pPr>
      <w:r>
        <w:rPr>
          <w:rFonts w:hint="eastAsia" w:ascii="仿宋_GB2312" w:hAnsi="仿宋_GB2312" w:eastAsia="仿宋_GB2312" w:cs="仿宋_GB2312"/>
          <w:color w:val="000000"/>
          <w:spacing w:val="8"/>
          <w:kern w:val="0"/>
          <w:sz w:val="32"/>
          <w:szCs w:val="32"/>
          <w:shd w:val="clear" w:color="auto" w:fill="FFFFFF"/>
          <w:lang w:val="en-US" w:eastAsia="zh-CN" w:bidi="ar-SA"/>
        </w:rPr>
        <w:t>认真贯彻执行国务院办公厅《政府信息公开信息处理费管理办法》和《关于政府信息公开处理费管理有关事项的通知》。2024年,我局没有收取信息处理费。无其他需要报告事项。</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OTcwMDNkMWNmYTBjNGU0MDY2YTg5MGU4MjAyOWUifQ=="/>
  </w:docVars>
  <w:rsids>
    <w:rsidRoot w:val="00000000"/>
    <w:rsid w:val="00847DE1"/>
    <w:rsid w:val="00ED5986"/>
    <w:rsid w:val="01934780"/>
    <w:rsid w:val="030A6CC4"/>
    <w:rsid w:val="031407B1"/>
    <w:rsid w:val="03A82039"/>
    <w:rsid w:val="04531FA4"/>
    <w:rsid w:val="05137986"/>
    <w:rsid w:val="052F6E42"/>
    <w:rsid w:val="05B13426"/>
    <w:rsid w:val="05D13AC9"/>
    <w:rsid w:val="064C75F3"/>
    <w:rsid w:val="07AA637F"/>
    <w:rsid w:val="082D0D5E"/>
    <w:rsid w:val="083B791F"/>
    <w:rsid w:val="08AD5B44"/>
    <w:rsid w:val="08EE04EE"/>
    <w:rsid w:val="0A636597"/>
    <w:rsid w:val="0AD55E09"/>
    <w:rsid w:val="0B41275B"/>
    <w:rsid w:val="0B8B1A92"/>
    <w:rsid w:val="0BAD643E"/>
    <w:rsid w:val="0D6C40D7"/>
    <w:rsid w:val="0DDF2AFB"/>
    <w:rsid w:val="0DE212DF"/>
    <w:rsid w:val="0E130AAD"/>
    <w:rsid w:val="0E571C5A"/>
    <w:rsid w:val="0E884F40"/>
    <w:rsid w:val="0FD4052B"/>
    <w:rsid w:val="112B06EC"/>
    <w:rsid w:val="11473D3D"/>
    <w:rsid w:val="12415B32"/>
    <w:rsid w:val="131C20FB"/>
    <w:rsid w:val="16BE59A3"/>
    <w:rsid w:val="17946704"/>
    <w:rsid w:val="18335F1D"/>
    <w:rsid w:val="193261D5"/>
    <w:rsid w:val="19CA665C"/>
    <w:rsid w:val="1A385A6D"/>
    <w:rsid w:val="1A6B49C1"/>
    <w:rsid w:val="1B570174"/>
    <w:rsid w:val="1B7A1CFF"/>
    <w:rsid w:val="1E0C793C"/>
    <w:rsid w:val="213F5933"/>
    <w:rsid w:val="215869F4"/>
    <w:rsid w:val="21E64000"/>
    <w:rsid w:val="22264BFB"/>
    <w:rsid w:val="226D4721"/>
    <w:rsid w:val="22C407E5"/>
    <w:rsid w:val="22FA5B26"/>
    <w:rsid w:val="23502079"/>
    <w:rsid w:val="23A7558E"/>
    <w:rsid w:val="23DF33FD"/>
    <w:rsid w:val="245F009A"/>
    <w:rsid w:val="248C70E1"/>
    <w:rsid w:val="25D9601A"/>
    <w:rsid w:val="27430538"/>
    <w:rsid w:val="27846795"/>
    <w:rsid w:val="27910BBC"/>
    <w:rsid w:val="27AB2CDF"/>
    <w:rsid w:val="28411BCE"/>
    <w:rsid w:val="29BB5D72"/>
    <w:rsid w:val="2A273408"/>
    <w:rsid w:val="2BEE242F"/>
    <w:rsid w:val="2C9F3729"/>
    <w:rsid w:val="2CDD56D3"/>
    <w:rsid w:val="2CFC0B7C"/>
    <w:rsid w:val="2D3E1194"/>
    <w:rsid w:val="2E156399"/>
    <w:rsid w:val="2E9A4997"/>
    <w:rsid w:val="2F7566A8"/>
    <w:rsid w:val="2FF80CF7"/>
    <w:rsid w:val="304E5B92"/>
    <w:rsid w:val="32E7407C"/>
    <w:rsid w:val="335B4EBC"/>
    <w:rsid w:val="34475066"/>
    <w:rsid w:val="36E20DE2"/>
    <w:rsid w:val="39875C71"/>
    <w:rsid w:val="3A540249"/>
    <w:rsid w:val="3D8F586E"/>
    <w:rsid w:val="3FA72BC9"/>
    <w:rsid w:val="41011D8C"/>
    <w:rsid w:val="41265D6F"/>
    <w:rsid w:val="412A0DFF"/>
    <w:rsid w:val="42E95CA2"/>
    <w:rsid w:val="433C7ACC"/>
    <w:rsid w:val="44550E45"/>
    <w:rsid w:val="454B3FF6"/>
    <w:rsid w:val="455358BB"/>
    <w:rsid w:val="45C85647"/>
    <w:rsid w:val="482A25E9"/>
    <w:rsid w:val="4970227E"/>
    <w:rsid w:val="4986621D"/>
    <w:rsid w:val="4A235542"/>
    <w:rsid w:val="4D333CEE"/>
    <w:rsid w:val="4DC00BCF"/>
    <w:rsid w:val="4DF16326"/>
    <w:rsid w:val="4FE662FB"/>
    <w:rsid w:val="4FEE03A0"/>
    <w:rsid w:val="50AC0097"/>
    <w:rsid w:val="51D81308"/>
    <w:rsid w:val="51E62B80"/>
    <w:rsid w:val="51FF0643"/>
    <w:rsid w:val="52AF5983"/>
    <w:rsid w:val="53145159"/>
    <w:rsid w:val="53C90F08"/>
    <w:rsid w:val="5438608E"/>
    <w:rsid w:val="549C661D"/>
    <w:rsid w:val="55061CE8"/>
    <w:rsid w:val="554B78D9"/>
    <w:rsid w:val="557430F6"/>
    <w:rsid w:val="562B5EAA"/>
    <w:rsid w:val="579730CB"/>
    <w:rsid w:val="57F30C49"/>
    <w:rsid w:val="58BC103B"/>
    <w:rsid w:val="58E4040A"/>
    <w:rsid w:val="58F50A40"/>
    <w:rsid w:val="5B5A0DBD"/>
    <w:rsid w:val="5C6D4CE1"/>
    <w:rsid w:val="5CCE758F"/>
    <w:rsid w:val="5D5E2B42"/>
    <w:rsid w:val="5F1F650F"/>
    <w:rsid w:val="5F5228A6"/>
    <w:rsid w:val="5FAB3BB8"/>
    <w:rsid w:val="6007410A"/>
    <w:rsid w:val="60367925"/>
    <w:rsid w:val="60487659"/>
    <w:rsid w:val="60854409"/>
    <w:rsid w:val="60995CEB"/>
    <w:rsid w:val="61C202FC"/>
    <w:rsid w:val="62685D90"/>
    <w:rsid w:val="62A80AEC"/>
    <w:rsid w:val="638B61DA"/>
    <w:rsid w:val="639A3A4D"/>
    <w:rsid w:val="64AF782A"/>
    <w:rsid w:val="64CD7042"/>
    <w:rsid w:val="68B12E00"/>
    <w:rsid w:val="68CD129C"/>
    <w:rsid w:val="695D23C7"/>
    <w:rsid w:val="6AE85CC0"/>
    <w:rsid w:val="6BF67CD7"/>
    <w:rsid w:val="6CA63567"/>
    <w:rsid w:val="6E4476B1"/>
    <w:rsid w:val="72987FCC"/>
    <w:rsid w:val="73306456"/>
    <w:rsid w:val="73F2195D"/>
    <w:rsid w:val="74EC45FF"/>
    <w:rsid w:val="75596138"/>
    <w:rsid w:val="77903967"/>
    <w:rsid w:val="79075EAB"/>
    <w:rsid w:val="791800B8"/>
    <w:rsid w:val="7B656EB9"/>
    <w:rsid w:val="7BB5399C"/>
    <w:rsid w:val="7E1150D6"/>
    <w:rsid w:val="7E47092B"/>
    <w:rsid w:val="7E5F5E41"/>
    <w:rsid w:val="7EFB200E"/>
    <w:rsid w:val="7F4D1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line="560" w:lineRule="exact"/>
      <w:ind w:firstLine="739" w:firstLineChars="231"/>
    </w:pPr>
    <w:rPr>
      <w:rFonts w:ascii="Times New Roman" w:hAnsi="Times New Roman" w:eastAsia="仿宋_GB2312" w:cs="Times New Roman"/>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2"/>
    <w:unhideWhenUsed/>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1383</Words>
  <Characters>1437</Characters>
  <Lines>0</Lines>
  <Paragraphs>0</Paragraphs>
  <TotalTime>22</TotalTime>
  <ScaleCrop>false</ScaleCrop>
  <LinksUpToDate>false</LinksUpToDate>
  <CharactersWithSpaces>1450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不二臣</cp:lastModifiedBy>
  <cp:lastPrinted>2025-01-15T06:36:00Z</cp:lastPrinted>
  <dcterms:modified xsi:type="dcterms:W3CDTF">2025-01-21T08:02:49Z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1DE2E1E26A204343B9BDB4BA65C7924C</vt:lpwstr>
  </property>
  <property fmtid="{D5CDD505-2E9C-101B-9397-08002B2CF9AE}" pid="4" name="KSOTemplateDocerSaveRecord">
    <vt:lpwstr>eyJoZGlkIjoiM2NlMTgyOGNjMDcxMDExZTMzODViNzVhZTEyY2YxYjkiLCJ1c2VySWQiOiI2NDU1NzE2NTcifQ==</vt:lpwstr>
  </property>
</Properties>
</file>