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center"/>
        <w:rPr>
          <w:rFonts w:ascii="仿宋" w:hAnsi="仿宋" w:eastAsia="仿宋" w:cs="仿宋"/>
          <w:sz w:val="32"/>
          <w:szCs w:val="32"/>
        </w:rPr>
      </w:pPr>
      <w:bookmarkStart w:id="0" w:name="_GoBack"/>
      <w:bookmarkEnd w:id="0"/>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b/>
                <w:sz w:val="24"/>
                <w:szCs w:val="20"/>
              </w:rPr>
            </w:pPr>
            <w:r>
              <w:rPr>
                <w:rFonts w:ascii="仿宋_GB2312" w:hAnsi="新宋体" w:eastAsia="仿宋_GB2312" w:cs="仿宋_GB2312"/>
                <w:b/>
                <w:kern w:val="0"/>
                <w:sz w:val="21"/>
                <w:szCs w:val="21"/>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投入（1</w:t>
            </w:r>
            <w:r>
              <w:rPr>
                <w:rFonts w:hint="eastAsia" w:ascii="仿宋_GB2312" w:hAnsi="新宋体" w:eastAsia="仿宋_GB2312" w:cs="仿宋_GB2312"/>
                <w:kern w:val="0"/>
                <w:sz w:val="24"/>
                <w:szCs w:val="18"/>
                <w:lang w:bidi="ar"/>
              </w:rPr>
              <w:t>0</w:t>
            </w:r>
            <w:r>
              <w:rPr>
                <w:rFonts w:ascii="仿宋_GB2312" w:hAnsi="新宋体" w:eastAsia="仿宋_GB2312" w:cs="仿宋_GB2312"/>
                <w:kern w:val="0"/>
                <w:sz w:val="24"/>
                <w:szCs w:val="18"/>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hint="eastAsia" w:ascii="仿宋_GB2312" w:hAnsi="新宋体" w:eastAsia="仿宋_GB2312" w:cs="仿宋_GB2312"/>
                <w:kern w:val="0"/>
                <w:sz w:val="24"/>
                <w:szCs w:val="18"/>
                <w:lang w:bidi="ar"/>
              </w:rPr>
              <w:t>绩效</w:t>
            </w:r>
            <w:r>
              <w:rPr>
                <w:rFonts w:ascii="仿宋_GB2312" w:hAnsi="新宋体" w:eastAsia="仿宋_GB2312" w:cs="仿宋_GB2312"/>
                <w:kern w:val="0"/>
                <w:sz w:val="24"/>
                <w:szCs w:val="18"/>
                <w:lang w:bidi="ar"/>
              </w:rPr>
              <w:t>目标设定</w:t>
            </w:r>
            <w:r>
              <w:rPr>
                <w:rFonts w:hint="eastAsia" w:ascii="仿宋_GB2312" w:hAnsi="新宋体" w:eastAsia="仿宋_GB2312" w:cs="仿宋_GB2312"/>
                <w:kern w:val="0"/>
                <w:sz w:val="24"/>
                <w:szCs w:val="18"/>
                <w:lang w:bidi="ar"/>
              </w:rPr>
              <w:t>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color w:val="FF0000"/>
                <w:sz w:val="24"/>
                <w:szCs w:val="18"/>
              </w:rPr>
            </w:pPr>
            <w:r>
              <w:rPr>
                <w:rFonts w:ascii="仿宋_GB2312" w:hAnsi="新宋体" w:eastAsia="仿宋_GB2312" w:cs="仿宋_GB2312"/>
                <w:kern w:val="0"/>
                <w:sz w:val="24"/>
                <w:szCs w:val="18"/>
                <w:lang w:bidi="ar"/>
              </w:rPr>
              <w:t>（5</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职责明确</w:t>
            </w:r>
            <w:r>
              <w:rPr>
                <w:rFonts w:hint="eastAsia" w:ascii="仿宋_GB2312" w:hAnsi="新宋体" w:eastAsia="仿宋_GB2312" w:cs="仿宋_GB2312"/>
                <w:kern w:val="0"/>
                <w:sz w:val="24"/>
                <w:szCs w:val="18"/>
                <w:lang w:bidi="ar"/>
              </w:rPr>
              <w:t xml:space="preserve"> </w:t>
            </w:r>
            <w:r>
              <w:rPr>
                <w:rFonts w:ascii="仿宋_GB2312" w:hAnsi="新宋体" w:eastAsia="仿宋_GB2312" w:cs="仿宋_GB2312"/>
                <w:kern w:val="0"/>
                <w:sz w:val="24"/>
                <w:szCs w:val="18"/>
                <w:lang w:bidi="ar"/>
              </w:rPr>
              <w:t>（1</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符合（1）；</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活动合规性（2</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部门的活动是否在职责范围之内并符合部门中长期规划，用以反映和评价部门活动目标与部门履职、年度工作任务的相符性情况。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评价要点：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1.部门活动的设定在部门所确定的职责范围之内；</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2.部门活动符合</w:t>
            </w:r>
            <w:r>
              <w:rPr>
                <w:rFonts w:hint="eastAsia" w:ascii="仿宋_GB2312" w:hAnsi="新宋体" w:eastAsia="仿宋_GB2312" w:cs="仿宋_GB2312"/>
                <w:kern w:val="0"/>
                <w:sz w:val="24"/>
                <w:szCs w:val="18"/>
                <w:lang w:bidi="ar"/>
              </w:rPr>
              <w:t>市</w:t>
            </w:r>
            <w:r>
              <w:rPr>
                <w:rFonts w:ascii="仿宋_GB2312" w:hAnsi="新宋体" w:eastAsia="仿宋_GB2312" w:cs="仿宋_GB2312"/>
                <w:kern w:val="0"/>
                <w:sz w:val="24"/>
                <w:szCs w:val="18"/>
                <w:lang w:bidi="ar"/>
              </w:rPr>
              <w:t>委、</w:t>
            </w:r>
            <w:r>
              <w:rPr>
                <w:rFonts w:hint="eastAsia" w:ascii="仿宋_GB2312" w:hAnsi="新宋体" w:eastAsia="仿宋_GB2312" w:cs="仿宋_GB2312"/>
                <w:kern w:val="0"/>
                <w:sz w:val="24"/>
                <w:szCs w:val="18"/>
                <w:lang w:bidi="ar"/>
              </w:rPr>
              <w:t>市</w:t>
            </w:r>
            <w:r>
              <w:rPr>
                <w:rFonts w:ascii="仿宋_GB2312" w:hAnsi="新宋体" w:eastAsia="仿宋_GB2312" w:cs="仿宋_GB2312"/>
                <w:kern w:val="0"/>
                <w:sz w:val="24"/>
                <w:szCs w:val="18"/>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全部符合（2）；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活动合理性（2</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部门所设立的活动是否明确合理、活动的关键性指标设置是否可衡量，用以反映和评价部门活动目标设定的合理性。</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评价要点：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1.活动目标的设定是可量化的，可通过清晰、可衡量的关键指标值予以体现；</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全部符合（2）；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预算配置</w:t>
            </w:r>
            <w:r>
              <w:rPr>
                <w:rFonts w:hint="eastAsia" w:ascii="仿宋_GB2312" w:hAnsi="新宋体" w:eastAsia="仿宋_GB2312" w:cs="仿宋_GB2312"/>
                <w:kern w:val="0"/>
                <w:sz w:val="24"/>
                <w:szCs w:val="18"/>
                <w:lang w:bidi="ar"/>
              </w:rPr>
              <w:t>情况</w:t>
            </w: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5分</w:t>
            </w:r>
            <w:r>
              <w:rPr>
                <w:rFonts w:ascii="仿宋_GB2312" w:hAnsi="新宋体" w:eastAsia="仿宋_GB2312" w:cs="仿宋_GB2312"/>
                <w:kern w:val="0"/>
                <w:sz w:val="24"/>
                <w:szCs w:val="18"/>
                <w:lang w:bidi="ar"/>
              </w:rPr>
              <w:t>)</w:t>
            </w:r>
          </w:p>
        </w:tc>
        <w:tc>
          <w:tcPr>
            <w:tcW w:w="1275" w:type="dxa"/>
            <w:tcBorders>
              <w:top w:val="single" w:color="auto"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在职人员控制率（</w:t>
            </w:r>
            <w:r>
              <w:rPr>
                <w:rFonts w:hint="eastAsia" w:ascii="仿宋_GB2312" w:hAnsi="新宋体" w:eastAsia="仿宋_GB2312" w:cs="仿宋_GB2312"/>
                <w:kern w:val="0"/>
                <w:sz w:val="24"/>
                <w:szCs w:val="18"/>
                <w:lang w:bidi="ar"/>
              </w:rPr>
              <w:t>1分</w:t>
            </w:r>
            <w:r>
              <w:rPr>
                <w:rFonts w:ascii="仿宋_GB2312" w:hAnsi="新宋体" w:eastAsia="仿宋_GB2312" w:cs="仿宋_GB2312"/>
                <w:kern w:val="0"/>
                <w:sz w:val="24"/>
                <w:szCs w:val="18"/>
                <w:lang w:bidi="ar"/>
              </w:rPr>
              <w:t>）</w:t>
            </w:r>
          </w:p>
        </w:tc>
        <w:tc>
          <w:tcPr>
            <w:tcW w:w="3436" w:type="dxa"/>
            <w:tcBorders>
              <w:top w:val="single" w:color="auto" w:sz="4" w:space="0"/>
              <w:left w:val="single" w:color="auto"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部门本年度实际在职人员数与编制数的比率，用以反映和评价部门对人员成本的控制程度。</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在职人员控制率=（在职人员数/编制数）×100%。</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在职人员数：部门实际在职人数，以财政部确定的部门决算编制口径为准，由编制部门和人劳部门批复同意的临聘人员除外。</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1.在职人员控制率小于或等于100%的，得满分；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2.在职人员控制率大于或等于115%的，得0分；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3.在职人员控制率在100%-115%之间的，在0分和满分之间计算确定：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tc>
        <w:tc>
          <w:tcPr>
            <w:tcW w:w="1275" w:type="dxa"/>
            <w:tcBorders>
              <w:top w:val="single" w:color="auto"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kern w:val="0"/>
                <w:sz w:val="24"/>
                <w:szCs w:val="18"/>
                <w:lang w:bidi="ar"/>
              </w:rPr>
            </w:pPr>
            <w:r>
              <w:rPr>
                <w:rFonts w:hint="eastAsia" w:ascii="仿宋" w:hAnsi="仿宋" w:eastAsia="仿宋" w:cs="仿宋"/>
                <w:color w:val="000000"/>
                <w:kern w:val="0"/>
                <w:sz w:val="24"/>
                <w:szCs w:val="18"/>
                <w:lang w:bidi="ar"/>
              </w:rPr>
              <w:t>“三公经费”变动率（2分）</w:t>
            </w:r>
          </w:p>
        </w:tc>
        <w:tc>
          <w:tcPr>
            <w:tcW w:w="343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kern w:val="0"/>
                <w:sz w:val="24"/>
                <w:szCs w:val="18"/>
                <w:lang w:bidi="ar"/>
              </w:rPr>
            </w:pPr>
            <w:r>
              <w:rPr>
                <w:rFonts w:hint="eastAsia" w:ascii="仿宋" w:hAnsi="仿宋" w:eastAsia="仿宋" w:cs="仿宋"/>
                <w:color w:val="000000"/>
                <w:kern w:val="0"/>
                <w:sz w:val="24"/>
                <w:szCs w:val="18"/>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w:t>
            </w:r>
            <w:r>
              <w:rPr>
                <w:rFonts w:hint="eastAsia" w:ascii="仿宋" w:hAnsi="仿宋" w:eastAsia="仿宋" w:cs="仿宋"/>
                <w:color w:val="000000"/>
                <w:kern w:val="0"/>
                <w:sz w:val="24"/>
                <w:szCs w:val="18"/>
                <w:lang w:bidi="ar"/>
              </w:rPr>
              <w:t>“三公经费”变动率</w:t>
            </w:r>
            <w:r>
              <w:rPr>
                <w:rFonts w:ascii="仿宋_GB2312" w:hAnsi="新宋体" w:eastAsia="仿宋_GB2312" w:cs="仿宋_GB2312"/>
                <w:kern w:val="0"/>
                <w:sz w:val="24"/>
                <w:szCs w:val="18"/>
                <w:lang w:bidi="ar"/>
              </w:rPr>
              <w:t>小于或等于</w:t>
            </w:r>
            <w:r>
              <w:rPr>
                <w:rFonts w:hint="eastAsia" w:ascii="仿宋_GB2312" w:hAnsi="新宋体" w:eastAsia="仿宋_GB2312" w:cs="仿宋_GB2312"/>
                <w:kern w:val="0"/>
                <w:sz w:val="24"/>
                <w:szCs w:val="18"/>
                <w:lang w:bidi="ar"/>
              </w:rPr>
              <w:t>-5</w:t>
            </w:r>
            <w:r>
              <w:rPr>
                <w:rFonts w:ascii="仿宋_GB2312" w:hAnsi="新宋体" w:eastAsia="仿宋_GB2312" w:cs="仿宋_GB2312"/>
                <w:kern w:val="0"/>
                <w:sz w:val="24"/>
                <w:szCs w:val="18"/>
                <w:lang w:bidi="ar"/>
              </w:rPr>
              <w:t>%的，得满分；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ascii="仿宋_GB2312" w:hAnsi="新宋体" w:eastAsia="仿宋_GB2312" w:cs="仿宋_GB2312"/>
                <w:kern w:val="0"/>
                <w:sz w:val="24"/>
                <w:szCs w:val="18"/>
                <w:lang w:bidi="ar"/>
              </w:rPr>
              <w:t>2.</w:t>
            </w:r>
            <w:r>
              <w:rPr>
                <w:rFonts w:hint="eastAsia" w:ascii="仿宋" w:hAnsi="仿宋" w:eastAsia="仿宋" w:cs="仿宋"/>
                <w:color w:val="000000"/>
                <w:kern w:val="0"/>
                <w:sz w:val="24"/>
                <w:szCs w:val="18"/>
                <w:lang w:bidi="ar"/>
              </w:rPr>
              <w:t>“三公经费”变动率</w:t>
            </w:r>
            <w:r>
              <w:rPr>
                <w:rFonts w:ascii="仿宋_GB2312" w:hAnsi="新宋体" w:eastAsia="仿宋_GB2312" w:cs="仿宋_GB2312"/>
                <w:kern w:val="0"/>
                <w:sz w:val="24"/>
                <w:szCs w:val="18"/>
                <w:lang w:bidi="ar"/>
              </w:rPr>
              <w:t>大于或等于1</w:t>
            </w:r>
            <w:r>
              <w:rPr>
                <w:rFonts w:hint="eastAsia" w:ascii="仿宋_GB2312" w:hAnsi="新宋体" w:eastAsia="仿宋_GB2312" w:cs="仿宋_GB2312"/>
                <w:kern w:val="0"/>
                <w:sz w:val="24"/>
                <w:szCs w:val="18"/>
                <w:lang w:bidi="ar"/>
              </w:rPr>
              <w:t>0</w:t>
            </w:r>
            <w:r>
              <w:rPr>
                <w:rFonts w:ascii="仿宋_GB2312" w:hAnsi="新宋体" w:eastAsia="仿宋_GB2312" w:cs="仿宋_GB2312"/>
                <w:kern w:val="0"/>
                <w:sz w:val="24"/>
                <w:szCs w:val="18"/>
                <w:lang w:bidi="ar"/>
              </w:rPr>
              <w:t>%的，得0分；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3.在职人员控制率在</w:t>
            </w:r>
            <w:r>
              <w:rPr>
                <w:rFonts w:hint="eastAsia" w:ascii="仿宋_GB2312" w:hAnsi="新宋体" w:eastAsia="仿宋_GB2312" w:cs="仿宋_GB2312"/>
                <w:kern w:val="0"/>
                <w:sz w:val="24"/>
                <w:szCs w:val="18"/>
                <w:lang w:bidi="ar"/>
              </w:rPr>
              <w:t>-5</w:t>
            </w: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10</w:t>
            </w:r>
            <w:r>
              <w:rPr>
                <w:rFonts w:ascii="仿宋_GB2312" w:hAnsi="新宋体" w:eastAsia="仿宋_GB2312" w:cs="仿宋_GB2312"/>
                <w:kern w:val="0"/>
                <w:sz w:val="24"/>
                <w:szCs w:val="18"/>
                <w:lang w:bidi="ar"/>
              </w:rPr>
              <w:t>%之间的，在0分和满分之间计算确定：</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kern w:val="0"/>
                <w:sz w:val="24"/>
                <w:szCs w:val="18"/>
                <w:lang w:bidi="ar"/>
              </w:rPr>
            </w:pPr>
            <w:r>
              <w:rPr>
                <w:rFonts w:ascii="仿宋_GB2312" w:hAnsi="新宋体" w:eastAsia="仿宋_GB2312" w:cs="仿宋_GB2312"/>
                <w:kern w:val="0"/>
                <w:sz w:val="24"/>
                <w:szCs w:val="18"/>
                <w:lang w:bidi="ar"/>
              </w:rPr>
              <w:t>得分=[max（</w:t>
            </w:r>
            <w:r>
              <w:rPr>
                <w:rFonts w:hint="eastAsia" w:ascii="仿宋" w:hAnsi="仿宋" w:eastAsia="仿宋" w:cs="仿宋"/>
                <w:color w:val="000000"/>
                <w:kern w:val="0"/>
                <w:sz w:val="24"/>
                <w:szCs w:val="18"/>
                <w:lang w:bidi="ar"/>
              </w:rPr>
              <w:t>“三公经费”变动率</w:t>
            </w:r>
            <w:r>
              <w:rPr>
                <w:rFonts w:ascii="仿宋_GB2312" w:hAnsi="新宋体" w:eastAsia="仿宋_GB2312" w:cs="仿宋_GB2312"/>
                <w:kern w:val="0"/>
                <w:sz w:val="24"/>
                <w:szCs w:val="18"/>
                <w:lang w:bidi="ar"/>
              </w:rPr>
              <w:t>）－</w:t>
            </w:r>
            <w:r>
              <w:rPr>
                <w:rFonts w:hint="eastAsia" w:ascii="仿宋" w:hAnsi="仿宋" w:eastAsia="仿宋" w:cs="仿宋"/>
                <w:color w:val="000000"/>
                <w:kern w:val="0"/>
                <w:sz w:val="24"/>
                <w:szCs w:val="18"/>
                <w:lang w:bidi="ar"/>
              </w:rPr>
              <w:t>“三公经费”变动率</w:t>
            </w:r>
            <w:r>
              <w:rPr>
                <w:rFonts w:ascii="仿宋_GB2312" w:hAnsi="新宋体" w:eastAsia="仿宋_GB2312" w:cs="仿宋_GB2312"/>
                <w:kern w:val="0"/>
                <w:sz w:val="24"/>
                <w:szCs w:val="18"/>
                <w:lang w:bidi="ar"/>
              </w:rPr>
              <w:t>]/[max（</w:t>
            </w:r>
            <w:r>
              <w:rPr>
                <w:rFonts w:hint="eastAsia" w:ascii="仿宋" w:hAnsi="仿宋" w:eastAsia="仿宋" w:cs="仿宋"/>
                <w:color w:val="000000"/>
                <w:kern w:val="0"/>
                <w:sz w:val="24"/>
                <w:szCs w:val="18"/>
                <w:lang w:bidi="ar"/>
              </w:rPr>
              <w:t>“三公经费”变动率</w:t>
            </w:r>
            <w:r>
              <w:rPr>
                <w:rFonts w:ascii="仿宋_GB2312" w:hAnsi="新宋体" w:eastAsia="仿宋_GB2312" w:cs="仿宋_GB2312"/>
                <w:kern w:val="0"/>
                <w:sz w:val="24"/>
                <w:szCs w:val="18"/>
                <w:lang w:bidi="ar"/>
              </w:rPr>
              <w:t>）－min（</w:t>
            </w:r>
            <w:r>
              <w:rPr>
                <w:rFonts w:hint="eastAsia" w:ascii="仿宋" w:hAnsi="仿宋" w:eastAsia="仿宋" w:cs="仿宋"/>
                <w:color w:val="000000"/>
                <w:kern w:val="0"/>
                <w:sz w:val="24"/>
                <w:szCs w:val="18"/>
                <w:lang w:bidi="ar"/>
              </w:rPr>
              <w:t>“三公经费”变动率</w:t>
            </w:r>
            <w:r>
              <w:rPr>
                <w:rFonts w:ascii="仿宋_GB2312" w:hAnsi="新宋体" w:eastAsia="仿宋_GB2312" w:cs="仿宋_GB2312"/>
                <w:kern w:val="0"/>
                <w:sz w:val="24"/>
                <w:szCs w:val="18"/>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tc>
        <w:tc>
          <w:tcPr>
            <w:tcW w:w="1275" w:type="dxa"/>
            <w:tcBorders>
              <w:top w:val="single" w:color="auto"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kern w:val="0"/>
                <w:sz w:val="24"/>
                <w:szCs w:val="18"/>
                <w:lang w:bidi="ar"/>
              </w:rPr>
            </w:pPr>
            <w:r>
              <w:rPr>
                <w:rFonts w:hint="eastAsia" w:ascii="仿宋" w:hAnsi="仿宋" w:eastAsia="仿宋" w:cs="仿宋"/>
                <w:color w:val="000000"/>
                <w:kern w:val="0"/>
                <w:sz w:val="24"/>
                <w:szCs w:val="18"/>
                <w:lang w:bidi="ar"/>
              </w:rPr>
              <w:t>重点支出安排率（2分）</w:t>
            </w:r>
          </w:p>
        </w:tc>
        <w:tc>
          <w:tcPr>
            <w:tcW w:w="343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kern w:val="0"/>
                <w:sz w:val="24"/>
                <w:szCs w:val="18"/>
                <w:lang w:bidi="ar"/>
              </w:rPr>
            </w:pPr>
            <w:r>
              <w:rPr>
                <w:rFonts w:hint="eastAsia" w:ascii="仿宋" w:hAnsi="仿宋" w:eastAsia="仿宋" w:cs="仿宋"/>
                <w:color w:val="000000"/>
                <w:kern w:val="0"/>
                <w:sz w:val="24"/>
                <w:szCs w:val="18"/>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大于或等于95%的，得满分；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小于或等于85%的，得0分；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在85%-95%之间的，在0分和满分之间计算确定：</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kern w:val="0"/>
                <w:sz w:val="24"/>
                <w:szCs w:val="18"/>
                <w:lang w:bidi="ar"/>
              </w:rPr>
            </w:pPr>
            <w:r>
              <w:rPr>
                <w:rFonts w:ascii="仿宋_GB2312" w:hAnsi="新宋体" w:eastAsia="仿宋_GB2312" w:cs="仿宋_GB2312"/>
                <w:kern w:val="0"/>
                <w:sz w:val="24"/>
                <w:szCs w:val="18"/>
                <w:lang w:bidi="ar"/>
              </w:rPr>
              <w:t>得分=[某部门</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-min（</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）]/[max（</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）－min（</w:t>
            </w:r>
            <w:r>
              <w:rPr>
                <w:rFonts w:hint="eastAsia" w:ascii="仿宋" w:hAnsi="仿宋" w:eastAsia="仿宋" w:cs="仿宋"/>
                <w:color w:val="000000"/>
                <w:kern w:val="0"/>
                <w:sz w:val="24"/>
                <w:szCs w:val="18"/>
                <w:lang w:bidi="ar"/>
              </w:rPr>
              <w:t>重点支出安排率</w:t>
            </w:r>
            <w:r>
              <w:rPr>
                <w:rFonts w:ascii="仿宋_GB2312" w:hAnsi="新宋体" w:eastAsia="仿宋_GB2312" w:cs="仿宋_GB2312"/>
                <w:kern w:val="0"/>
                <w:sz w:val="24"/>
                <w:szCs w:val="18"/>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过程(</w:t>
            </w:r>
            <w:r>
              <w:rPr>
                <w:rFonts w:hint="eastAsia" w:ascii="仿宋_GB2312" w:hAnsi="新宋体" w:eastAsia="仿宋_GB2312" w:cs="仿宋_GB2312"/>
                <w:kern w:val="0"/>
                <w:sz w:val="24"/>
                <w:szCs w:val="18"/>
                <w:lang w:bidi="ar"/>
              </w:rPr>
              <w:t>45分</w:t>
            </w:r>
            <w:r>
              <w:rPr>
                <w:rFonts w:ascii="仿宋_GB2312" w:hAnsi="新宋体" w:eastAsia="仿宋_GB2312" w:cs="仿宋_GB2312"/>
                <w:kern w:val="0"/>
                <w:sz w:val="24"/>
                <w:szCs w:val="18"/>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预算执行</w:t>
            </w:r>
            <w:r>
              <w:rPr>
                <w:rFonts w:hint="eastAsia" w:ascii="仿宋_GB2312" w:hAnsi="新宋体" w:eastAsia="仿宋_GB2312" w:cs="仿宋_GB2312"/>
                <w:kern w:val="0"/>
                <w:sz w:val="24"/>
                <w:szCs w:val="18"/>
                <w:lang w:bidi="ar"/>
              </w:rPr>
              <w:t>情况</w:t>
            </w: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25分</w:t>
            </w:r>
            <w:r>
              <w:rPr>
                <w:rFonts w:ascii="仿宋_GB2312" w:hAnsi="新宋体" w:eastAsia="仿宋_GB2312" w:cs="仿宋_GB2312"/>
                <w:kern w:val="0"/>
                <w:sz w:val="24"/>
                <w:szCs w:val="18"/>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预算完成率（5</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通过对部门本年度预算完成数与预算数的比较，反映和评价部门预算的完成程度。</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1.预算完成率大于或等于95%的，得满分；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2.预算完成率小于或等于85%的，得0分；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3.预算完成率在85%-95%之间的，在0分和满分之间计算确定：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预算调整率（</w:t>
            </w:r>
            <w:r>
              <w:rPr>
                <w:rFonts w:hint="eastAsia" w:ascii="仿宋_GB2312" w:hAnsi="新宋体" w:eastAsia="仿宋_GB2312" w:cs="仿宋_GB2312"/>
                <w:kern w:val="0"/>
                <w:sz w:val="24"/>
                <w:szCs w:val="18"/>
                <w:lang w:bidi="ar"/>
              </w:rPr>
              <w:t>3分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部门本年度预算调整数与预算数的比率，用以反映和评价部门预算的调整程度。</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 xml:space="preserve">1.预算调整率等于0的，得满分； </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2.预算调整率大于或等于10%的，得0分；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3.预算调整率在0-10%之间的，在0分和满分之间确定：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default" w:eastAsia="仿宋_GB2312"/>
                <w:sz w:val="24"/>
                <w:szCs w:val="18"/>
                <w:lang w:val="en-US" w:eastAsia="zh-CN"/>
              </w:rPr>
            </w:pPr>
            <w:r>
              <w:rPr>
                <w:rFonts w:hint="eastAsia"/>
                <w:sz w:val="24"/>
                <w:szCs w:val="18"/>
                <w:lang w:val="en-US" w:eastAsia="zh-CN"/>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color w:val="000000"/>
                <w:kern w:val="0"/>
                <w:sz w:val="24"/>
                <w:szCs w:val="18"/>
                <w:lang w:bidi="ar"/>
              </w:rPr>
              <w:t>支付进度率</w:t>
            </w: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5分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度支付数与</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度任务数的比率，用以反映和评价部门预算执行的及时和均衡程度。</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支付进度率=（</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度支付数/</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按</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度的执行情况进行打分</w:t>
            </w:r>
            <w:r>
              <w:rPr>
                <w:rFonts w:hint="eastAsia" w:ascii="仿宋_GB2312" w:hAnsi="新宋体" w:eastAsia="仿宋_GB2312" w:cs="仿宋_GB2312"/>
                <w:kern w:val="0"/>
                <w:sz w:val="24"/>
                <w:szCs w:val="18"/>
                <w:lang w:bidi="ar"/>
              </w:rPr>
              <w:t>。</w:t>
            </w:r>
            <w:r>
              <w:rPr>
                <w:rFonts w:ascii="仿宋_GB2312" w:hAnsi="新宋体" w:eastAsia="仿宋_GB2312" w:cs="仿宋_GB2312"/>
                <w:kern w:val="0"/>
                <w:sz w:val="24"/>
                <w:szCs w:val="18"/>
                <w:lang w:bidi="ar"/>
              </w:rPr>
              <w:t>得分=</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度支付数/</w:t>
            </w:r>
            <w:r>
              <w:rPr>
                <w:rFonts w:hint="eastAsia" w:ascii="仿宋_GB2312" w:hAnsi="新宋体" w:eastAsia="仿宋_GB2312" w:cs="仿宋_GB2312"/>
                <w:kern w:val="0"/>
                <w:sz w:val="24"/>
                <w:szCs w:val="18"/>
                <w:lang w:bidi="ar"/>
              </w:rPr>
              <w:t>年</w:t>
            </w:r>
            <w:r>
              <w:rPr>
                <w:rFonts w:ascii="仿宋_GB2312" w:hAnsi="新宋体" w:eastAsia="仿宋_GB2312" w:cs="仿宋_GB2312"/>
                <w:kern w:val="0"/>
                <w:sz w:val="24"/>
                <w:szCs w:val="18"/>
                <w:lang w:bidi="ar"/>
              </w:rPr>
              <w:t>度任务数×该指标分值。</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结转结余率（4</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通过对部门本年度结转结余总额与支出预算数的比较，反映和评价部门对本年度结转结余资金的实际控制程度。</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1.结转结余率等于0的，得满分；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2.结转结余率大于或等于50%的，得0分；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3.结转结余率在0-50%之间的，在0和满分之间计算确定：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default" w:eastAsia="仿宋_GB2312"/>
                <w:sz w:val="24"/>
                <w:szCs w:val="18"/>
                <w:lang w:val="en-US" w:eastAsia="zh-CN"/>
              </w:rPr>
            </w:pPr>
            <w:r>
              <w:rPr>
                <w:rFonts w:hint="eastAsia"/>
                <w:sz w:val="24"/>
                <w:szCs w:val="18"/>
                <w:lang w:val="en-US" w:eastAsia="zh-CN"/>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公用经费控制率（</w:t>
            </w:r>
            <w:r>
              <w:rPr>
                <w:rFonts w:hint="eastAsia" w:ascii="仿宋_GB2312" w:hAnsi="新宋体" w:eastAsia="仿宋_GB2312" w:cs="仿宋_GB2312"/>
                <w:kern w:val="0"/>
                <w:sz w:val="24"/>
                <w:szCs w:val="18"/>
                <w:lang w:bidi="ar"/>
              </w:rPr>
              <w:t>4分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通过对部门本年度实际支出的公用经费总额与预算安排的公用经费总额的比率，反映和评价部门对机构运转成本的实际控制程度。</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1.公用经费控制率小于或等于100%的，得满分；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2.公用经费控制率大于或等于105%的，得0分；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3.公用经费控制率在100%-105%之间的，在0和满分之间计算确定：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政府采购执行率（</w:t>
            </w:r>
            <w:r>
              <w:rPr>
                <w:rFonts w:hint="eastAsia" w:ascii="仿宋_GB2312" w:hAnsi="新宋体" w:eastAsia="仿宋_GB2312" w:cs="仿宋_GB2312"/>
                <w:kern w:val="0"/>
                <w:sz w:val="24"/>
                <w:szCs w:val="18"/>
                <w:lang w:bidi="ar"/>
              </w:rPr>
              <w:t>4分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通过对部门本年度实际政府采购预算项目个数与政府采购预算项目个数的比较，反映和评价部门政府采购预算执行情况。</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政府采购执行率=（实际政府采购预算项目个数/政府采购预算项目个数）×100%。</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1.政府采购执行率等于100%的，得满分；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2.政府采购执行率小于或等于90%的，0分；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3.政府采购执行率在90%-100%之间的，在0和满分之间计算确定：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预算管理</w:t>
            </w:r>
            <w:r>
              <w:rPr>
                <w:rFonts w:hint="eastAsia" w:ascii="仿宋_GB2312" w:hAnsi="新宋体" w:eastAsia="仿宋_GB2312" w:cs="仿宋_GB2312"/>
                <w:kern w:val="0"/>
                <w:sz w:val="24"/>
                <w:szCs w:val="18"/>
                <w:lang w:bidi="ar"/>
              </w:rPr>
              <w:t>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资金使用合规性（8</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部门使用预算资金是否符合相关的预算财务管理制度的规定，反映和评价部门预算资金的规范运行情况。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评价要点：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1.符合国家财经法规和财务管理制度规定以及有关部门资金管理办法的规定；</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2.资金的拨付有完整的审批过程和手续；</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3.项目的重大开支经过评估论证；</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4.符合部门预算批复的用途；</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5.不存在截留情况；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6.不存在挤占情况；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7.不存在挪用情况；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全部符合（8）；</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符合其中七项（6）；</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符合其中六项（4）；</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符合其中五项（2）；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预决算信息公开性（3</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部门是否按照政府信息公开有关规定公开相关预决算信息，用以反映和评价部门预决算管理的公开透明情况。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预决算信息是指与部门预算、执行、决算、监督、绩效等管理相关的信息。</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评价要点：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1.公开预决算信息；</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2.按规定内容公开预决算信息；</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全部符合（3）；</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符合其中两项（2）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color w:val="000000"/>
                <w:kern w:val="0"/>
                <w:sz w:val="24"/>
                <w:szCs w:val="18"/>
                <w:lang w:bidi="ar"/>
              </w:rPr>
              <w:t>基础信息完善性</w:t>
            </w:r>
            <w:r>
              <w:rPr>
                <w:rFonts w:ascii="仿宋_GB2312" w:hAnsi="新宋体" w:eastAsia="仿宋_GB2312" w:cs="仿宋_GB2312"/>
                <w:kern w:val="0"/>
                <w:sz w:val="24"/>
                <w:szCs w:val="18"/>
                <w:lang w:bidi="ar"/>
              </w:rPr>
              <w:t>（4</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部门基础信息是否完善，用以反映和评价基础信息对预算管理工作的支撑情况。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评价要点：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1.基本财务管理制度健全；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2.基础数据信息和会计信息资料真实；</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3.基础数据信息和会计信息资料完整；</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符合全部四项（4）；</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符合其中三项（2）；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符合其中两项（1）；</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资产管理</w:t>
            </w:r>
            <w:r>
              <w:rPr>
                <w:rFonts w:hint="eastAsia" w:ascii="仿宋_GB2312" w:hAnsi="新宋体" w:eastAsia="仿宋_GB2312" w:cs="仿宋_GB2312"/>
                <w:kern w:val="0"/>
                <w:sz w:val="24"/>
                <w:szCs w:val="18"/>
                <w:lang w:bidi="ar"/>
              </w:rPr>
              <w:t>情况</w:t>
            </w: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5分</w:t>
            </w:r>
            <w:r>
              <w:rPr>
                <w:rFonts w:ascii="仿宋_GB2312" w:hAnsi="新宋体" w:eastAsia="仿宋_GB2312" w:cs="仿宋_GB2312"/>
                <w:kern w:val="0"/>
                <w:sz w:val="24"/>
                <w:szCs w:val="18"/>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资产管理完整性（</w:t>
            </w:r>
            <w:r>
              <w:rPr>
                <w:rFonts w:hint="eastAsia" w:ascii="仿宋_GB2312" w:hAnsi="新宋体" w:eastAsia="仿宋_GB2312" w:cs="仿宋_GB2312"/>
                <w:kern w:val="0"/>
                <w:sz w:val="24"/>
                <w:szCs w:val="18"/>
                <w:lang w:bidi="ar"/>
              </w:rPr>
              <w:t>2分</w:t>
            </w:r>
            <w:r>
              <w:rPr>
                <w:rFonts w:ascii="仿宋_GB2312" w:hAnsi="新宋体" w:eastAsia="仿宋_GB2312" w:cs="仿宋_GB2312"/>
                <w:kern w:val="0"/>
                <w:sz w:val="24"/>
                <w:szCs w:val="18"/>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部门的资产是否保存完整、使用合规、收入及时足额上缴，用以反映和评价部门资产运行情况。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评价要点：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1.资产保存完整；</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2.资产账务管理是否合规，</w:t>
            </w:r>
            <w:r>
              <w:rPr>
                <w:rFonts w:hint="eastAsia" w:ascii="仿宋_GB2312" w:hAnsi="新宋体" w:cs="仿宋_GB2312"/>
                <w:kern w:val="0"/>
                <w:sz w:val="24"/>
                <w:szCs w:val="18"/>
                <w:lang w:eastAsia="zh-CN" w:bidi="ar"/>
              </w:rPr>
              <w:t>账</w:t>
            </w:r>
            <w:r>
              <w:rPr>
                <w:rFonts w:ascii="仿宋_GB2312" w:hAnsi="新宋体" w:eastAsia="仿宋_GB2312" w:cs="仿宋_GB2312"/>
                <w:kern w:val="0"/>
                <w:sz w:val="24"/>
                <w:szCs w:val="18"/>
                <w:lang w:bidi="ar"/>
              </w:rPr>
              <w:t>实相符；</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符合全部三项（3）；</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符合其中两项（2）；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符合其中一项（1）；</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固定资产利用率（</w:t>
            </w:r>
            <w:r>
              <w:rPr>
                <w:rFonts w:hint="eastAsia" w:ascii="仿宋_GB2312" w:hAnsi="新宋体" w:eastAsia="仿宋_GB2312" w:cs="仿宋_GB2312"/>
                <w:kern w:val="0"/>
                <w:sz w:val="24"/>
                <w:szCs w:val="18"/>
                <w:lang w:bidi="ar"/>
              </w:rPr>
              <w:t>3分</w:t>
            </w:r>
            <w:r>
              <w:rPr>
                <w:rFonts w:ascii="仿宋_GB2312" w:hAnsi="新宋体" w:eastAsia="仿宋_GB2312" w:cs="仿宋_GB2312"/>
                <w:kern w:val="0"/>
                <w:sz w:val="24"/>
                <w:szCs w:val="18"/>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部门实际在用固定资产总额与所有固定资产总额的比率，用以反映和评价部门固定资产使用效率。</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1.固定资产利用率大于或等于95%的，得满分；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2.固定资产利用率小于或等于85%的，得0分；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3.固定资产利用率在85%-95%之间的，在0和满分之间计算确定：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产出(2</w:t>
            </w:r>
            <w:r>
              <w:rPr>
                <w:rFonts w:hint="eastAsia" w:ascii="仿宋_GB2312" w:hAnsi="新宋体" w:eastAsia="仿宋_GB2312" w:cs="仿宋_GB2312"/>
                <w:kern w:val="0"/>
                <w:sz w:val="24"/>
                <w:szCs w:val="18"/>
                <w:lang w:bidi="ar"/>
              </w:rPr>
              <w:t>5分</w:t>
            </w:r>
            <w:r>
              <w:rPr>
                <w:rFonts w:ascii="仿宋_GB2312" w:hAnsi="新宋体" w:eastAsia="仿宋_GB2312" w:cs="仿宋_GB2312"/>
                <w:kern w:val="0"/>
                <w:sz w:val="24"/>
                <w:szCs w:val="18"/>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职责履行</w:t>
            </w:r>
            <w:r>
              <w:rPr>
                <w:rFonts w:hint="eastAsia" w:ascii="仿宋_GB2312" w:hAnsi="新宋体" w:eastAsia="仿宋_GB2312" w:cs="仿宋_GB2312"/>
                <w:kern w:val="0"/>
                <w:sz w:val="24"/>
                <w:szCs w:val="18"/>
                <w:lang w:bidi="ar"/>
              </w:rPr>
              <w:t>情况</w:t>
            </w:r>
            <w:r>
              <w:rPr>
                <w:rFonts w:ascii="仿宋_GB2312" w:hAnsi="新宋体" w:eastAsia="仿宋_GB2312" w:cs="仿宋_GB2312"/>
                <w:kern w:val="0"/>
                <w:sz w:val="24"/>
                <w:szCs w:val="18"/>
                <w:lang w:bidi="ar"/>
              </w:rPr>
              <w:t>（2</w:t>
            </w:r>
            <w:r>
              <w:rPr>
                <w:rFonts w:hint="eastAsia" w:ascii="仿宋_GB2312" w:hAnsi="新宋体" w:eastAsia="仿宋_GB2312" w:cs="仿宋_GB2312"/>
                <w:kern w:val="0"/>
                <w:sz w:val="24"/>
                <w:szCs w:val="18"/>
                <w:lang w:bidi="ar"/>
              </w:rPr>
              <w:t>5</w:t>
            </w:r>
            <w:r>
              <w:rPr>
                <w:rFonts w:ascii="仿宋_GB2312" w:hAnsi="新宋体" w:eastAsia="仿宋_GB2312" w:cs="仿宋_GB2312"/>
                <w:kern w:val="0"/>
                <w:sz w:val="24"/>
                <w:szCs w:val="18"/>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hint="eastAsia" w:ascii="仿宋_GB2312" w:hAnsi="新宋体" w:eastAsia="仿宋_GB2312" w:cs="仿宋_GB2312"/>
                <w:kern w:val="0"/>
                <w:sz w:val="24"/>
                <w:szCs w:val="18"/>
                <w:lang w:bidi="ar"/>
              </w:rPr>
              <w:t>履职完成情况</w:t>
            </w: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10分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sz w:val="24"/>
                <w:szCs w:val="18"/>
              </w:rPr>
            </w:pPr>
            <w:r>
              <w:rPr>
                <w:rFonts w:hint="eastAsia" w:ascii="仿宋" w:hAnsi="仿宋" w:eastAsia="仿宋" w:cs="仿宋"/>
                <w:color w:val="000000"/>
                <w:kern w:val="0"/>
                <w:sz w:val="24"/>
                <w:szCs w:val="18"/>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 xml:space="preserve">1.每项任务是否已制定了明确、具体、可量化、可衡量的绩效指标；           </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2.每项任务绩效指标的完成情况，是全部完成、基本完成、未完成，还是未实施；</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3.每项任务实施效果情况，是优秀、良好、一般，还是无效果；</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sz w:val="24"/>
                <w:szCs w:val="18"/>
              </w:rPr>
            </w:pPr>
            <w:r>
              <w:rPr>
                <w:rFonts w:hint="eastAsia" w:ascii="仿宋" w:hAnsi="仿宋" w:eastAsia="仿宋" w:cs="仿宋"/>
                <w:color w:val="000000"/>
                <w:kern w:val="0"/>
                <w:sz w:val="24"/>
                <w:szCs w:val="18"/>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default" w:eastAsia="仿宋_GB2312"/>
                <w:sz w:val="24"/>
                <w:szCs w:val="18"/>
                <w:lang w:val="en-US" w:eastAsia="zh-CN"/>
              </w:rPr>
            </w:pPr>
            <w:r>
              <w:rPr>
                <w:rFonts w:hint="eastAsia"/>
                <w:sz w:val="24"/>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1275" w:type="dxa"/>
            <w:tcBorders>
              <w:top w:val="single" w:color="000000" w:sz="4" w:space="0"/>
              <w:left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项目</w:t>
            </w:r>
            <w:r>
              <w:rPr>
                <w:rFonts w:hint="eastAsia" w:ascii="仿宋_GB2312" w:hAnsi="新宋体" w:eastAsia="仿宋_GB2312" w:cs="仿宋_GB2312"/>
                <w:kern w:val="0"/>
                <w:sz w:val="24"/>
                <w:szCs w:val="18"/>
                <w:lang w:bidi="ar"/>
              </w:rPr>
              <w:t>完成</w:t>
            </w:r>
            <w:r>
              <w:rPr>
                <w:rFonts w:ascii="仿宋_GB2312" w:hAnsi="新宋体" w:eastAsia="仿宋_GB2312" w:cs="仿宋_GB2312"/>
                <w:kern w:val="0"/>
                <w:sz w:val="24"/>
                <w:szCs w:val="18"/>
                <w:lang w:bidi="ar"/>
              </w:rPr>
              <w:t>质量达标率（</w:t>
            </w:r>
            <w:r>
              <w:rPr>
                <w:rFonts w:hint="eastAsia" w:ascii="仿宋_GB2312" w:hAnsi="新宋体" w:eastAsia="仿宋_GB2312" w:cs="仿宋_GB2312"/>
                <w:kern w:val="0"/>
                <w:sz w:val="24"/>
                <w:szCs w:val="18"/>
                <w:lang w:bidi="ar"/>
              </w:rPr>
              <w:t>15</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部门已完成项目中质量达标项目个数占已完成项目个数的比率,用以反映和评价部门履职质量目标的实现程度。</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项目质量达标率=（已完成项目中质量达标项目个数/已完成项目个数）×100%。</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1.项目质量达标率等于100%的，得满分；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2.项目质量达标率小于或等于99%的，得0分；</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 xml:space="preserve">3.项目质量达标率在99%-100%之间的，在0和满分之间计算确定： </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default" w:eastAsia="仿宋_GB2312"/>
                <w:sz w:val="24"/>
                <w:szCs w:val="18"/>
                <w:lang w:val="en-US" w:eastAsia="zh-CN"/>
              </w:rPr>
            </w:pPr>
            <w:r>
              <w:rPr>
                <w:rFonts w:hint="eastAsia"/>
                <w:sz w:val="24"/>
                <w:szCs w:val="18"/>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_GB2312" w:hAnsi="新宋体" w:eastAsia="仿宋_GB2312" w:cs="仿宋_GB2312"/>
                <w:kern w:val="0"/>
                <w:sz w:val="24"/>
                <w:szCs w:val="18"/>
                <w:lang w:bidi="ar"/>
              </w:rPr>
              <w:t>效果（</w:t>
            </w:r>
            <w:r>
              <w:rPr>
                <w:rFonts w:hint="eastAsia" w:ascii="仿宋_GB2312" w:hAnsi="新宋体" w:eastAsia="仿宋_GB2312" w:cs="仿宋_GB2312"/>
                <w:kern w:val="0"/>
                <w:sz w:val="24"/>
                <w:szCs w:val="18"/>
                <w:lang w:bidi="ar"/>
              </w:rPr>
              <w:t>2</w:t>
            </w:r>
            <w:r>
              <w:rPr>
                <w:rFonts w:ascii="仿宋_GB2312" w:hAnsi="新宋体" w:eastAsia="仿宋_GB2312" w:cs="仿宋_GB2312"/>
                <w:kern w:val="0"/>
                <w:sz w:val="24"/>
                <w:szCs w:val="18"/>
                <w:lang w:bidi="ar"/>
              </w:rPr>
              <w:t>0</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743"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r>
              <w:rPr>
                <w:rFonts w:hint="eastAsia" w:ascii="仿宋_GB2312" w:hAnsi="新宋体" w:eastAsia="仿宋_GB2312" w:cs="仿宋_GB2312"/>
                <w:kern w:val="0"/>
                <w:sz w:val="24"/>
                <w:szCs w:val="18"/>
                <w:lang w:bidi="ar"/>
              </w:rPr>
              <w:t>履职效益情况</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r>
              <w:rPr>
                <w:rFonts w:ascii="仿宋_GB2312" w:hAnsi="新宋体" w:eastAsia="仿宋_GB2312" w:cs="仿宋_GB2312"/>
                <w:kern w:val="0"/>
                <w:sz w:val="24"/>
                <w:szCs w:val="18"/>
                <w:lang w:bidi="ar"/>
              </w:rPr>
              <w:t>（</w:t>
            </w:r>
            <w:r>
              <w:rPr>
                <w:rFonts w:hint="eastAsia" w:ascii="仿宋_GB2312" w:hAnsi="新宋体" w:eastAsia="仿宋_GB2312" w:cs="仿宋_GB2312"/>
                <w:kern w:val="0"/>
                <w:sz w:val="24"/>
                <w:szCs w:val="18"/>
                <w:lang w:bidi="ar"/>
              </w:rPr>
              <w:t>2</w:t>
            </w:r>
            <w:r>
              <w:rPr>
                <w:rFonts w:ascii="仿宋_GB2312" w:hAnsi="新宋体" w:eastAsia="仿宋_GB2312" w:cs="仿宋_GB2312"/>
                <w:kern w:val="0"/>
                <w:sz w:val="24"/>
                <w:szCs w:val="18"/>
                <w:lang w:bidi="ar"/>
              </w:rPr>
              <w:t>0</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hint="eastAsia" w:ascii="仿宋_GB2312" w:hAnsi="新宋体" w:eastAsia="仿宋_GB2312" w:cs="仿宋_GB2312"/>
                <w:color w:val="000000"/>
                <w:kern w:val="0"/>
                <w:sz w:val="24"/>
                <w:szCs w:val="18"/>
                <w:lang w:bidi="ar"/>
              </w:rPr>
              <w:t>经济效益</w:t>
            </w:r>
            <w:r>
              <w:rPr>
                <w:rFonts w:ascii="仿宋_GB2312" w:hAnsi="新宋体" w:eastAsia="仿宋_GB2312" w:cs="仿宋_GB2312"/>
                <w:kern w:val="0"/>
                <w:sz w:val="24"/>
                <w:szCs w:val="18"/>
                <w:lang w:bidi="ar"/>
              </w:rPr>
              <w:t>（5</w:t>
            </w:r>
            <w:r>
              <w:rPr>
                <w:rFonts w:hint="eastAsia" w:ascii="仿宋_GB2312" w:hAnsi="新宋体" w:eastAsia="仿宋_GB2312" w:cs="仿宋_GB2312"/>
                <w:kern w:val="0"/>
                <w:sz w:val="24"/>
                <w:szCs w:val="18"/>
                <w:lang w:bidi="ar"/>
              </w:rPr>
              <w:t>分</w:t>
            </w:r>
            <w:r>
              <w:rPr>
                <w:rFonts w:ascii="仿宋_GB2312" w:hAnsi="新宋体" w:eastAsia="仿宋_GB2312" w:cs="仿宋_GB2312"/>
                <w:kern w:val="0"/>
                <w:sz w:val="24"/>
                <w:szCs w:val="18"/>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color w:val="000000"/>
                <w:kern w:val="0"/>
                <w:sz w:val="24"/>
                <w:szCs w:val="18"/>
                <w:lang w:bidi="ar"/>
              </w:rPr>
            </w:pPr>
            <w:r>
              <w:rPr>
                <w:rFonts w:hint="eastAsia" w:ascii="仿宋" w:hAnsi="仿宋" w:eastAsia="仿宋" w:cs="仿宋"/>
                <w:color w:val="000000"/>
                <w:kern w:val="0"/>
                <w:sz w:val="24"/>
                <w:szCs w:val="18"/>
                <w:lang w:bidi="ar"/>
              </w:rPr>
              <w:t>部门及所属二级单位通过履行职责和预算安排支出项目的实施，对我市带来的经济影响。</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sz w:val="24"/>
                <w:szCs w:val="18"/>
              </w:rPr>
            </w:pPr>
            <w:r>
              <w:rPr>
                <w:rFonts w:hint="eastAsia" w:ascii="仿宋" w:hAnsi="仿宋" w:eastAsia="仿宋" w:cs="仿宋"/>
                <w:color w:val="000000"/>
                <w:kern w:val="0"/>
                <w:sz w:val="24"/>
                <w:szCs w:val="18"/>
                <w:lang w:bidi="ar"/>
              </w:rPr>
              <w:t>评价要点：</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 xml:space="preserve">1.通过部门所属企事业单位改革，促进了企事业单位效益增长情况；          </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2.通过预算支出项目的实施，促进了行业生产能力增长，从而带动行业经济效益增长；</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3.通过预算支出项目的实施，有效提高劳动效率，节约成本费用；</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4.通过预算支出项目的实施，降低了损耗，从而提高了生产效益；</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sz w:val="24"/>
                <w:szCs w:val="18"/>
              </w:rPr>
            </w:pPr>
            <w:r>
              <w:rPr>
                <w:rFonts w:hint="eastAsia" w:ascii="仿宋" w:hAnsi="仿宋" w:eastAsia="仿宋" w:cs="仿宋"/>
                <w:color w:val="000000"/>
                <w:kern w:val="0"/>
                <w:sz w:val="24"/>
                <w:szCs w:val="18"/>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tc>
        <w:tc>
          <w:tcPr>
            <w:tcW w:w="7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color w:val="000000"/>
                <w:kern w:val="0"/>
                <w:sz w:val="24"/>
                <w:szCs w:val="18"/>
                <w:lang w:bidi="ar"/>
              </w:rPr>
            </w:pPr>
            <w:r>
              <w:rPr>
                <w:rFonts w:hint="eastAsia" w:ascii="仿宋_GB2312" w:hAnsi="新宋体" w:eastAsia="仿宋_GB2312" w:cs="仿宋_GB2312"/>
                <w:color w:val="000000"/>
                <w:kern w:val="0"/>
                <w:sz w:val="24"/>
                <w:szCs w:val="18"/>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color w:val="000000"/>
                <w:kern w:val="0"/>
                <w:sz w:val="24"/>
                <w:szCs w:val="18"/>
                <w:lang w:bidi="ar"/>
              </w:rPr>
            </w:pPr>
            <w:r>
              <w:rPr>
                <w:rFonts w:hint="eastAsia" w:ascii="仿宋" w:hAnsi="仿宋" w:eastAsia="仿宋" w:cs="仿宋"/>
                <w:color w:val="000000"/>
                <w:kern w:val="0"/>
                <w:sz w:val="24"/>
                <w:szCs w:val="18"/>
                <w:lang w:bidi="ar"/>
              </w:rPr>
              <w:t>部门及所属二级单位履行职责对社会发展所带来的直接或间接影响。</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color w:val="000000"/>
                <w:kern w:val="0"/>
                <w:sz w:val="24"/>
                <w:szCs w:val="18"/>
                <w:lang w:bidi="ar"/>
              </w:rPr>
            </w:pPr>
            <w:r>
              <w:rPr>
                <w:rFonts w:hint="eastAsia" w:ascii="仿宋" w:hAnsi="仿宋" w:eastAsia="仿宋" w:cs="仿宋"/>
                <w:color w:val="000000"/>
                <w:kern w:val="0"/>
                <w:sz w:val="24"/>
                <w:szCs w:val="18"/>
                <w:lang w:bidi="ar"/>
              </w:rPr>
              <w:t>评价要点：</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 xml:space="preserve">1.通过部门所属企事业单位的改革，促进了企事业单位可持续发展，带动就业增长情况；          </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2.通过预算支出项目的实施，是否明显促进了行业精神文明建设；</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3.通过部门履职是否明显提高城乡居民生活水平，满足了人们日益增长的物质与文化生活需求；</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4.通过预算项目的实施，是否提高了劳动生产率，降低了劳动强度，促进了劳动人民的身心健康；</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sz w:val="24"/>
                <w:szCs w:val="18"/>
              </w:rPr>
            </w:pPr>
            <w:r>
              <w:rPr>
                <w:rFonts w:hint="eastAsia" w:ascii="仿宋" w:hAnsi="仿宋" w:eastAsia="仿宋" w:cs="仿宋"/>
                <w:color w:val="000000"/>
                <w:kern w:val="0"/>
                <w:sz w:val="24"/>
                <w:szCs w:val="18"/>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tc>
        <w:tc>
          <w:tcPr>
            <w:tcW w:w="7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kern w:val="0"/>
                <w:sz w:val="24"/>
                <w:szCs w:val="18"/>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_GB2312" w:hAnsi="新宋体" w:eastAsia="仿宋_GB2312" w:cs="仿宋_GB2312"/>
                <w:color w:val="000000"/>
                <w:kern w:val="0"/>
                <w:sz w:val="24"/>
                <w:szCs w:val="18"/>
                <w:lang w:bidi="ar"/>
              </w:rPr>
            </w:pPr>
            <w:r>
              <w:rPr>
                <w:rFonts w:hint="eastAsia" w:ascii="仿宋_GB2312" w:hAnsi="新宋体" w:eastAsia="仿宋_GB2312" w:cs="仿宋_GB2312"/>
                <w:color w:val="000000"/>
                <w:kern w:val="0"/>
                <w:sz w:val="24"/>
                <w:szCs w:val="18"/>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color w:val="000000"/>
                <w:kern w:val="0"/>
                <w:sz w:val="24"/>
                <w:szCs w:val="18"/>
                <w:lang w:bidi="ar"/>
              </w:rPr>
            </w:pPr>
            <w:r>
              <w:rPr>
                <w:rFonts w:hint="eastAsia" w:ascii="仿宋" w:hAnsi="仿宋" w:eastAsia="仿宋" w:cs="仿宋"/>
                <w:color w:val="000000"/>
                <w:kern w:val="0"/>
                <w:sz w:val="24"/>
                <w:szCs w:val="18"/>
                <w:lang w:bidi="ar"/>
              </w:rPr>
              <w:t>部门及所属二级单位履行职责对生态环境所带来的直接或间接影响。</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rFonts w:ascii="仿宋" w:hAnsi="仿宋" w:eastAsia="仿宋" w:cs="仿宋"/>
                <w:color w:val="000000"/>
                <w:kern w:val="0"/>
                <w:sz w:val="24"/>
                <w:szCs w:val="18"/>
                <w:lang w:bidi="ar"/>
              </w:rPr>
            </w:pPr>
            <w:r>
              <w:rPr>
                <w:rFonts w:hint="eastAsia" w:ascii="仿宋" w:hAnsi="仿宋" w:eastAsia="仿宋" w:cs="仿宋"/>
                <w:color w:val="000000"/>
                <w:kern w:val="0"/>
                <w:sz w:val="24"/>
                <w:szCs w:val="18"/>
                <w:lang w:bidi="ar"/>
              </w:rPr>
              <w:t>评价要点：</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2.通过履职有效地控制虚假、伪劣、霉变等劣质产品进入市场，影响了人民生活质量，净化地市场环境；</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3.通过预算支出项目的实施，是否达到减少污染物排放；</w:t>
            </w:r>
            <w:r>
              <w:rPr>
                <w:rFonts w:hint="eastAsia" w:ascii="仿宋" w:hAnsi="仿宋" w:eastAsia="仿宋" w:cs="仿宋"/>
                <w:color w:val="000000"/>
                <w:kern w:val="0"/>
                <w:sz w:val="24"/>
                <w:szCs w:val="18"/>
                <w:lang w:bidi="ar"/>
              </w:rPr>
              <w:br w:type="textWrapping"/>
            </w:r>
            <w:r>
              <w:rPr>
                <w:rFonts w:hint="eastAsia" w:ascii="仿宋" w:hAnsi="仿宋" w:eastAsia="仿宋" w:cs="仿宋"/>
                <w:color w:val="000000"/>
                <w:kern w:val="0"/>
                <w:sz w:val="24"/>
                <w:szCs w:val="18"/>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center"/>
              <w:rPr>
                <w:sz w:val="24"/>
                <w:szCs w:val="18"/>
              </w:rPr>
            </w:pPr>
            <w:r>
              <w:rPr>
                <w:rFonts w:hint="eastAsia" w:ascii="仿宋" w:hAnsi="仿宋" w:eastAsia="仿宋" w:cs="仿宋"/>
                <w:color w:val="000000"/>
                <w:kern w:val="0"/>
                <w:sz w:val="24"/>
                <w:szCs w:val="18"/>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ascii="宋体"/>
                <w:sz w:val="24"/>
                <w:szCs w:val="18"/>
              </w:rPr>
            </w:pPr>
          </w:p>
        </w:tc>
        <w:tc>
          <w:tcPr>
            <w:tcW w:w="7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hint="eastAsia" w:ascii="仿宋_GB2312" w:hAnsi="新宋体" w:eastAsia="仿宋_GB2312" w:cs="仿宋_GB2312"/>
                <w:kern w:val="0"/>
                <w:sz w:val="24"/>
                <w:szCs w:val="18"/>
                <w:lang w:bidi="ar"/>
              </w:rPr>
              <w:t>服务对象</w:t>
            </w:r>
            <w:r>
              <w:rPr>
                <w:rFonts w:ascii="仿宋_GB2312" w:hAnsi="新宋体" w:eastAsia="仿宋_GB2312" w:cs="仿宋_GB2312"/>
                <w:kern w:val="0"/>
                <w:sz w:val="24"/>
                <w:szCs w:val="18"/>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sz w:val="24"/>
                <w:szCs w:val="18"/>
              </w:rPr>
            </w:pPr>
            <w:r>
              <w:rPr>
                <w:rFonts w:hint="eastAsia" w:ascii="仿宋_GB2312" w:hAnsi="新宋体" w:eastAsia="仿宋_GB2312" w:cs="仿宋_GB2312"/>
                <w:kern w:val="0"/>
                <w:sz w:val="24"/>
                <w:szCs w:val="18"/>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 w:hAnsi="仿宋" w:eastAsia="仿宋" w:cs="宋体"/>
                <w:kern w:val="0"/>
                <w:sz w:val="24"/>
                <w:szCs w:val="18"/>
              </w:rPr>
            </w:pPr>
            <w:r>
              <w:rPr>
                <w:rFonts w:ascii="仿宋" w:hAnsi="仿宋" w:eastAsia="仿宋" w:cs="Arial"/>
                <w:kern w:val="0"/>
                <w:sz w:val="24"/>
                <w:szCs w:val="18"/>
              </w:rPr>
              <w:t>按照满意度调查的优秀、良好、合格、不合格给予该项指标打分：</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r>
              <w:rPr>
                <w:rFonts w:ascii="仿宋" w:hAnsi="仿宋" w:eastAsia="仿宋" w:cs="Arial"/>
                <w:kern w:val="0"/>
                <w:sz w:val="24"/>
                <w:szCs w:val="18"/>
              </w:rPr>
              <w:t>优秀（</w:t>
            </w:r>
            <w:r>
              <w:rPr>
                <w:rFonts w:hint="eastAsia" w:ascii="仿宋" w:hAnsi="仿宋" w:eastAsia="仿宋" w:cs="Arial"/>
                <w:kern w:val="0"/>
                <w:sz w:val="24"/>
                <w:szCs w:val="18"/>
              </w:rPr>
              <w:t>5</w:t>
            </w:r>
            <w:r>
              <w:rPr>
                <w:rFonts w:ascii="仿宋" w:hAnsi="仿宋" w:eastAsia="仿宋" w:cs="Arial"/>
                <w:kern w:val="0"/>
                <w:sz w:val="24"/>
                <w:szCs w:val="18"/>
              </w:rPr>
              <w:t>）；良好（</w:t>
            </w:r>
            <w:r>
              <w:rPr>
                <w:rFonts w:hint="eastAsia" w:ascii="仿宋" w:hAnsi="仿宋" w:eastAsia="仿宋" w:cs="Arial"/>
                <w:kern w:val="0"/>
                <w:sz w:val="24"/>
                <w:szCs w:val="18"/>
              </w:rPr>
              <w:t>3</w:t>
            </w:r>
            <w:r>
              <w:rPr>
                <w:rFonts w:ascii="仿宋" w:hAnsi="仿宋" w:eastAsia="仿宋" w:cs="Arial"/>
                <w:kern w:val="0"/>
                <w:sz w:val="24"/>
                <w:szCs w:val="18"/>
              </w:rPr>
              <w:t>）；合格（</w:t>
            </w:r>
            <w:r>
              <w:rPr>
                <w:rFonts w:hint="eastAsia" w:ascii="仿宋" w:hAnsi="仿宋" w:eastAsia="仿宋" w:cs="Arial"/>
                <w:kern w:val="0"/>
                <w:sz w:val="24"/>
                <w:szCs w:val="18"/>
              </w:rPr>
              <w:t>1</w:t>
            </w:r>
            <w:r>
              <w:rPr>
                <w:rFonts w:ascii="仿宋" w:hAnsi="仿宋" w:eastAsia="仿宋" w:cs="Arial"/>
                <w:kern w:val="0"/>
                <w:sz w:val="24"/>
                <w:szCs w:val="18"/>
              </w:rPr>
              <w:t>）；不合格（</w:t>
            </w:r>
            <w:r>
              <w:rPr>
                <w:rFonts w:hint="eastAsia" w:ascii="仿宋" w:hAnsi="仿宋" w:eastAsia="仿宋" w:cs="Arial"/>
                <w:kern w:val="0"/>
                <w:sz w:val="24"/>
                <w:szCs w:val="18"/>
              </w:rPr>
              <w:t>0</w:t>
            </w:r>
            <w:r>
              <w:rPr>
                <w:rFonts w:ascii="仿宋" w:hAnsi="仿宋" w:eastAsia="仿宋" w:cs="Arial"/>
                <w:kern w:val="0"/>
                <w:sz w:val="24"/>
                <w:szCs w:val="18"/>
              </w:rPr>
              <w:t>）。</w:t>
            </w: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eastAsia="仿宋_GB2312"/>
                <w:sz w:val="24"/>
                <w:szCs w:val="18"/>
                <w:lang w:val="en-US" w:eastAsia="zh-CN"/>
              </w:rPr>
            </w:pPr>
            <w:r>
              <w:rPr>
                <w:rFonts w:hint="eastAsia"/>
                <w:sz w:val="24"/>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both"/>
              <w:rPr>
                <w:rFonts w:hint="eastAsia" w:ascii="宋体" w:eastAsiaTheme="minorEastAsia"/>
                <w:sz w:val="24"/>
                <w:szCs w:val="18"/>
                <w:lang w:val="en-US" w:eastAsia="zh-CN"/>
              </w:rPr>
            </w:pPr>
            <w:r>
              <w:rPr>
                <w:rFonts w:hint="eastAsia" w:ascii="宋体"/>
                <w:sz w:val="24"/>
                <w:szCs w:val="18"/>
                <w:lang w:val="en-US" w:eastAsia="zh-CN"/>
              </w:rPr>
              <w:t>合计</w:t>
            </w:r>
          </w:p>
        </w:tc>
        <w:tc>
          <w:tcPr>
            <w:tcW w:w="743" w:type="dxa"/>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sz w:val="24"/>
                <w:szCs w:val="18"/>
              </w:rPr>
            </w:pPr>
          </w:p>
        </w:tc>
        <w:tc>
          <w:tcPr>
            <w:tcW w:w="12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eastAsia" w:ascii="仿宋_GB2312" w:hAnsi="新宋体" w:eastAsia="仿宋_GB2312" w:cs="仿宋_GB2312"/>
                <w:kern w:val="0"/>
                <w:sz w:val="24"/>
                <w:szCs w:val="18"/>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0" w:firstLineChars="0"/>
              <w:jc w:val="both"/>
              <w:rPr>
                <w:rFonts w:hint="eastAsia" w:ascii="仿宋_GB2312" w:hAnsi="新宋体" w:eastAsia="仿宋_GB2312" w:cs="仿宋_GB2312"/>
                <w:kern w:val="0"/>
                <w:sz w:val="24"/>
                <w:szCs w:val="18"/>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ascii="仿宋" w:hAnsi="仿宋" w:eastAsia="仿宋" w:cs="Arial"/>
                <w:kern w:val="0"/>
                <w:sz w:val="24"/>
                <w:szCs w:val="18"/>
              </w:rPr>
            </w:pPr>
          </w:p>
        </w:tc>
        <w:tc>
          <w:tcPr>
            <w:tcW w:w="76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rPr>
                <w:rFonts w:hint="default" w:eastAsia="仿宋_GB2312"/>
                <w:sz w:val="24"/>
                <w:szCs w:val="18"/>
                <w:lang w:val="en-US" w:eastAsia="zh-CN"/>
              </w:rPr>
            </w:pPr>
            <w:r>
              <w:rPr>
                <w:rFonts w:hint="eastAsia"/>
                <w:sz w:val="24"/>
                <w:szCs w:val="18"/>
                <w:lang w:val="en-US" w:eastAsia="zh-CN"/>
              </w:rPr>
              <w:t>99.76</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TAwZTA5ZGI3MTQxYWI0MWNmNjdmNGY0NTEyMjEifQ=="/>
  </w:docVars>
  <w:rsids>
    <w:rsidRoot w:val="6C11748C"/>
    <w:rsid w:val="2B9E53C5"/>
    <w:rsid w:val="2E505DD0"/>
    <w:rsid w:val="38F5528A"/>
    <w:rsid w:val="45AC4DE0"/>
    <w:rsid w:val="562D3635"/>
    <w:rsid w:val="62835682"/>
    <w:rsid w:val="670414F3"/>
    <w:rsid w:val="6C11748C"/>
    <w:rsid w:val="7C36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2"/>
      <w:lang w:val="en-US" w:eastAsia="zh-CN" w:bidi="ar-SA"/>
    </w:rPr>
  </w:style>
  <w:style w:type="paragraph" w:styleId="4">
    <w:name w:val="heading 1"/>
    <w:basedOn w:val="5"/>
    <w:next w:val="1"/>
    <w:link w:val="10"/>
    <w:qFormat/>
    <w:uiPriority w:val="0"/>
    <w:pPr>
      <w:spacing w:before="100" w:beforeAutospacing="1" w:after="100" w:afterAutospacing="1" w:line="500" w:lineRule="exact"/>
      <w:jc w:val="center"/>
      <w:outlineLvl w:val="0"/>
    </w:pPr>
    <w:rPr>
      <w:rFonts w:hint="eastAsia" w:ascii="宋体" w:hAnsi="宋体" w:eastAsia="方正小标宋简体" w:cs="宋体"/>
      <w:b w:val="0"/>
      <w:kern w:val="44"/>
      <w:sz w:val="44"/>
      <w:szCs w:val="48"/>
    </w:rPr>
  </w:style>
  <w:style w:type="paragraph" w:styleId="6">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sz w:val="32"/>
      <w:szCs w:val="22"/>
    </w:rPr>
  </w:style>
  <w:style w:type="paragraph" w:styleId="7">
    <w:name w:val="heading 3"/>
    <w:basedOn w:val="1"/>
    <w:next w:val="1"/>
    <w:semiHidden/>
    <w:unhideWhenUsed/>
    <w:qFormat/>
    <w:uiPriority w:val="0"/>
    <w:pPr>
      <w:keepNext/>
      <w:keepLines/>
      <w:spacing w:beforeLines="0" w:beforeAutospacing="0" w:afterLines="0" w:afterAutospacing="0" w:line="560" w:lineRule="exact"/>
      <w:ind w:firstLine="883" w:firstLineChars="200"/>
      <w:outlineLvl w:val="2"/>
    </w:pPr>
    <w:rPr>
      <w:rFonts w:eastAsia="楷体_GB2312" w:asciiTheme="minorAscii" w:hAnsiTheme="minorAscii"/>
      <w:b/>
      <w:sz w:val="32"/>
      <w:szCs w:val="22"/>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customStyle="1" w:styleId="10">
    <w:name w:val="标题 1 Char"/>
    <w:basedOn w:val="9"/>
    <w:link w:val="4"/>
    <w:qFormat/>
    <w:uiPriority w:val="9"/>
    <w:rPr>
      <w:rFonts w:ascii="宋体" w:hAnsi="宋体" w:eastAsia="方正小标宋简体" w:cs="宋体"/>
      <w:kern w:val="44"/>
      <w:sz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2022-04-24T06:24:00Z</dcterms:created>
  <dc:creator>路</dc:creator>
  <cp:lastModifiedBy>梦入人生</cp:lastModifiedBy>
  <dcterms:modified xsi:type="dcterms:W3CDTF">2024-02-01T08:02:33Z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4394136873B444C085684DB2ABD52FE0</vt:lpwstr>
  </property>
</Properties>
</file>