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沙河市财政局</w:t>
      </w:r>
    </w:p>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2020</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rPr>
        <w:t>《</w:t>
      </w:r>
      <w:r>
        <w:rPr>
          <w:rFonts w:hint="eastAsia" w:ascii="仿宋" w:hAnsi="仿宋" w:eastAsia="仿宋" w:cs="Times New Roman"/>
          <w:sz w:val="32"/>
          <w:szCs w:val="32"/>
          <w:lang w:eastAsia="zh-CN"/>
        </w:rPr>
        <w:t>中华人民共和国</w:t>
      </w:r>
      <w:r>
        <w:rPr>
          <w:rFonts w:hint="eastAsia" w:ascii="仿宋" w:hAnsi="仿宋" w:eastAsia="仿宋" w:cs="Times New Roman"/>
          <w:sz w:val="32"/>
          <w:szCs w:val="32"/>
        </w:rPr>
        <w:t>预算法》、</w:t>
      </w:r>
      <w:r>
        <w:rPr>
          <w:rFonts w:ascii="仿宋" w:hAnsi="仿宋" w:eastAsia="仿宋" w:cs="Times New Roman"/>
          <w:sz w:val="32"/>
          <w:szCs w:val="32"/>
        </w:rPr>
        <w:t>《地方预决算公开操作规程》</w:t>
      </w:r>
      <w:r>
        <w:rPr>
          <w:rFonts w:hint="eastAsia" w:ascii="仿宋" w:hAnsi="仿宋" w:eastAsia="仿宋" w:cs="Times New Roman"/>
          <w:sz w:val="32"/>
          <w:szCs w:val="32"/>
        </w:rPr>
        <w:t>规定</w:t>
      </w:r>
      <w:r>
        <w:rPr>
          <w:rFonts w:ascii="仿宋" w:hAnsi="仿宋" w:eastAsia="仿宋" w:cs="Times New Roman"/>
          <w:sz w:val="32"/>
          <w:szCs w:val="32"/>
        </w:rPr>
        <w:t>，现将</w:t>
      </w:r>
      <w:r>
        <w:rPr>
          <w:rFonts w:hint="eastAsia" w:ascii="仿宋" w:hAnsi="仿宋" w:eastAsia="仿宋" w:cs="Times New Roman"/>
          <w:sz w:val="32"/>
          <w:szCs w:val="32"/>
          <w:lang w:eastAsia="zh-CN"/>
        </w:rPr>
        <w:t>2020</w:t>
      </w:r>
      <w:r>
        <w:rPr>
          <w:rFonts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widowControl/>
        <w:spacing w:line="610" w:lineRule="atLeast"/>
        <w:ind w:firstLine="640"/>
        <w:jc w:val="left"/>
        <w:rPr>
          <w:rFonts w:ascii="仿宋" w:hAnsi="仿宋" w:eastAsia="仿宋" w:cs="Times New Roman"/>
          <w:b/>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p>
    <w:p>
      <w:pPr>
        <w:widowControl/>
        <w:spacing w:line="610" w:lineRule="atLeast"/>
        <w:ind w:firstLine="640" w:firstLineChars="200"/>
        <w:jc w:val="left"/>
        <w:rPr>
          <w:rFonts w:ascii="仿宋" w:hAnsi="仿宋" w:eastAsia="仿宋" w:cs="宋体"/>
          <w:kern w:val="0"/>
          <w:sz w:val="24"/>
          <w:szCs w:val="24"/>
        </w:rPr>
      </w:pPr>
      <w:r>
        <w:rPr>
          <w:rFonts w:hint="eastAsia" w:ascii="仿宋" w:hAnsi="仿宋" w:eastAsia="仿宋" w:cs="宋体"/>
          <w:kern w:val="0"/>
          <w:sz w:val="32"/>
          <w:szCs w:val="32"/>
        </w:rPr>
        <w:t>（一）贯彻执行国家、省、市财政工作的方针、政策、法律、法规和规章，制定我市相关措施和办法，经市政府批准后组织实施。</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（二）拟</w:t>
      </w:r>
      <w:r>
        <w:rPr>
          <w:rFonts w:hint="eastAsia" w:ascii="仿宋" w:hAnsi="仿宋" w:eastAsia="仿宋" w:cs="宋体"/>
          <w:kern w:val="0"/>
          <w:sz w:val="32"/>
          <w:szCs w:val="32"/>
          <w:lang w:val="en-US" w:eastAsia="zh-CN"/>
        </w:rPr>
        <w:t>定</w:t>
      </w:r>
      <w:r>
        <w:rPr>
          <w:rFonts w:hint="eastAsia" w:ascii="仿宋" w:hAnsi="仿宋" w:eastAsia="仿宋" w:cs="宋体"/>
          <w:kern w:val="0"/>
          <w:sz w:val="32"/>
          <w:szCs w:val="32"/>
        </w:rPr>
        <w:t>财税发展战略、规划、政策和改革方案并组织实施；分析预测宏观经济形势，参与制定各项宏观经济政策，提出运用财税政策实施宏观调控和综合平衡社会财力的建议；拟</w:t>
      </w:r>
      <w:r>
        <w:rPr>
          <w:rFonts w:hint="eastAsia" w:ascii="仿宋" w:hAnsi="仿宋" w:eastAsia="仿宋" w:cs="宋体"/>
          <w:kern w:val="0"/>
          <w:sz w:val="32"/>
          <w:szCs w:val="32"/>
          <w:lang w:val="en-US" w:eastAsia="zh-CN"/>
        </w:rPr>
        <w:t>定</w:t>
      </w:r>
      <w:r>
        <w:rPr>
          <w:rFonts w:hint="eastAsia" w:ascii="仿宋" w:hAnsi="仿宋" w:eastAsia="仿宋" w:cs="宋体"/>
          <w:kern w:val="0"/>
          <w:sz w:val="32"/>
          <w:szCs w:val="32"/>
        </w:rPr>
        <w:t>国家与地方企业的分配政策，完善鼓励公益事业发展的财税政策。</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（三）制定财政、预算、财务、会计管理的有关规章制度并监督实施。</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四）承担财政预算管理的责任。负责编制年度市本级预决算草案并组织执行，汇编全市年度预决算草案；受市政府委托，向市人民代表大会报告全市及市本级预算及其执行情况，向市人大常委会报告决算；组织制定经费开支标准、定额，负责审核批复部门（单位）的年度预决算。</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（五）承担财政国库管理的责任。组织制定国库管理制度、国库集中收付制度并组织实施；指导和监督市本级国库业务，按规定开展国库现金管理；负责制定政府采购制度并组织实施和监督管理。</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（六）负责政府非税收入和政府性基金管理，按规定管理行政事业性收费；管理财政票据；制定彩票管理政策和有关办法，管理彩票市场，按规定管理彩票资金。</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（七）负责组织起草地方性税收实施细则和税收政策调整方案的建议；提出省授权税目税率调整、减免和地方税收政策等重大事项的建议，对地方承担出口退税事务实施监管，监督检查税收政策的执行情况。</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八）负责制定行政事业单位国有资产管理规章制度，以及市委、市政府直属事业单位和市直部门所属事业单位的国有资产监督管理；制定需要全市统一规定的开支标准和支出政策；承担市直机关事业单位公务车辆编制管理职责。</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（九）负责审核和汇总编制全市国有资本经营预决算草案，制定国有资本经营预算的制度和办法，收取市本级企业国有资本收益；制定并组织实施企业财务制度；按规定管理地方金融类企业国有资产，参与拟</w:t>
      </w:r>
      <w:r>
        <w:rPr>
          <w:rFonts w:hint="eastAsia" w:ascii="仿宋" w:hAnsi="仿宋" w:eastAsia="仿宋" w:cs="宋体"/>
          <w:kern w:val="0"/>
          <w:sz w:val="32"/>
          <w:szCs w:val="32"/>
          <w:lang w:val="en-US" w:eastAsia="zh-CN"/>
        </w:rPr>
        <w:t>定</w:t>
      </w:r>
      <w:r>
        <w:rPr>
          <w:rFonts w:hint="eastAsia" w:ascii="仿宋" w:hAnsi="仿宋" w:eastAsia="仿宋" w:cs="宋体"/>
          <w:kern w:val="0"/>
          <w:sz w:val="32"/>
          <w:szCs w:val="32"/>
        </w:rPr>
        <w:t>企业国有资产管理相关制度，按规定管理资产评估。</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（十）负责办理和监督市级财政的经济社会发展支出、市投资项目的财政拨款，参与拟</w:t>
      </w:r>
      <w:r>
        <w:rPr>
          <w:rFonts w:hint="eastAsia" w:ascii="仿宋" w:hAnsi="仿宋" w:eastAsia="仿宋" w:cs="宋体"/>
          <w:kern w:val="0"/>
          <w:sz w:val="32"/>
          <w:szCs w:val="32"/>
          <w:lang w:val="en-US" w:eastAsia="zh-CN"/>
        </w:rPr>
        <w:t>定</w:t>
      </w:r>
      <w:r>
        <w:rPr>
          <w:rFonts w:hint="eastAsia" w:ascii="仿宋" w:hAnsi="仿宋" w:eastAsia="仿宋" w:cs="宋体"/>
          <w:kern w:val="0"/>
          <w:sz w:val="32"/>
          <w:szCs w:val="32"/>
        </w:rPr>
        <w:t>市建设投资的有关政策，制定基本建设财务制度；负责有关政策性补贴和专项储备资金财政管理。</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（十一）会同有关部门管理市级财政社会保障和就业及医疗卫生支出，会同有关部门拟</w:t>
      </w:r>
      <w:r>
        <w:rPr>
          <w:rFonts w:hint="eastAsia" w:ascii="仿宋" w:hAnsi="仿宋" w:eastAsia="仿宋" w:cs="宋体"/>
          <w:kern w:val="0"/>
          <w:sz w:val="32"/>
          <w:szCs w:val="32"/>
          <w:lang w:val="en-US" w:eastAsia="zh-CN"/>
        </w:rPr>
        <w:t>定</w:t>
      </w:r>
      <w:r>
        <w:rPr>
          <w:rFonts w:hint="eastAsia" w:ascii="仿宋" w:hAnsi="仿宋" w:eastAsia="仿宋" w:cs="宋体"/>
          <w:kern w:val="0"/>
          <w:sz w:val="32"/>
          <w:szCs w:val="32"/>
        </w:rPr>
        <w:t>社会保障资金（基金）的财务管理制度，编制市级社会保障预决算草案。</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（十二）负责管理市政府的国内外债权、债务。执行国家外债管理的政策，拟</w:t>
      </w:r>
      <w:r>
        <w:rPr>
          <w:rFonts w:hint="eastAsia" w:ascii="仿宋" w:hAnsi="仿宋" w:eastAsia="仿宋" w:cs="宋体"/>
          <w:kern w:val="0"/>
          <w:sz w:val="32"/>
          <w:szCs w:val="32"/>
          <w:lang w:val="en-US" w:eastAsia="zh-CN"/>
        </w:rPr>
        <w:t>定</w:t>
      </w:r>
      <w:r>
        <w:rPr>
          <w:rFonts w:hint="eastAsia" w:ascii="仿宋" w:hAnsi="仿宋" w:eastAsia="仿宋" w:cs="宋体"/>
          <w:kern w:val="0"/>
          <w:sz w:val="32"/>
          <w:szCs w:val="32"/>
        </w:rPr>
        <w:t>具体实施办法，承担外国政府贷款、国际金融组织贷款的对外谈判与磋商；负责财政预算内行政机构、事业单位和社会团体的非贸易外汇管理；受市政府委托会同有关部门处理涉及财政、债务等方面的涉外事务。</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（十三）负责管理全市会计工作，监督和规范会计行为，组织实施国家统一的会计制度，指导和监督注册会计师和会计事务所的业务，指导和管理社会审计。</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（十四）监督检查财税法规、政策的执行情况，反映财政收支管理中的重大问题。</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（十五）承办市政府交办的其他事项。</w:t>
      </w:r>
    </w:p>
    <w:p>
      <w:pPr>
        <w:widowControl/>
        <w:spacing w:line="610" w:lineRule="atLeast"/>
        <w:ind w:firstLine="640"/>
        <w:jc w:val="left"/>
        <w:rPr>
          <w:rFonts w:ascii="仿宋" w:hAnsi="仿宋" w:eastAsia="仿宋" w:cs="宋体"/>
          <w:kern w:val="0"/>
          <w:sz w:val="32"/>
          <w:szCs w:val="32"/>
        </w:rPr>
      </w:pPr>
      <w:r>
        <w:rPr>
          <w:rFonts w:hint="eastAsia" w:ascii="仿宋" w:hAnsi="仿宋" w:eastAsia="仿宋" w:cs="Times New Roman"/>
          <w:b/>
          <w:sz w:val="32"/>
          <w:szCs w:val="32"/>
        </w:rPr>
        <w:t>机构设置：</w:t>
      </w:r>
      <w:r>
        <w:rPr>
          <w:rFonts w:hint="eastAsia" w:ascii="仿宋" w:hAnsi="仿宋" w:eastAsia="仿宋" w:cs="宋体"/>
          <w:kern w:val="0"/>
          <w:sz w:val="32"/>
          <w:szCs w:val="32"/>
        </w:rPr>
        <w:t>本部门无下级预算单位，部门预算单位构成只包括沙河财政局。</w:t>
      </w:r>
    </w:p>
    <w:p>
      <w:pPr>
        <w:spacing w:line="610" w:lineRule="exact"/>
        <w:ind w:firstLine="640"/>
        <w:jc w:val="center"/>
        <w:rPr>
          <w:rFonts w:ascii="仿宋" w:hAnsi="仿宋" w:eastAsia="仿宋" w:cs="Times New Roman"/>
          <w:b/>
          <w:sz w:val="32"/>
          <w:szCs w:val="32"/>
        </w:rPr>
      </w:pPr>
      <w:r>
        <w:rPr>
          <w:rFonts w:hint="eastAsia" w:ascii="仿宋" w:hAnsi="仿宋" w:eastAsia="仿宋" w:cs="Times New Roman"/>
          <w:b/>
          <w:sz w:val="32"/>
          <w:szCs w:val="32"/>
        </w:rPr>
        <w:t>部门机构设置情况</w:t>
      </w:r>
    </w:p>
    <w:p>
      <w:pPr>
        <w:spacing w:line="610" w:lineRule="exact"/>
        <w:ind w:firstLine="640"/>
        <w:jc w:val="center"/>
        <w:rPr>
          <w:rFonts w:ascii="仿宋" w:hAnsi="仿宋" w:eastAsia="仿宋" w:cs="Times New Roman"/>
          <w:b/>
          <w:sz w:val="32"/>
          <w:szCs w:val="32"/>
        </w:rPr>
      </w:pPr>
    </w:p>
    <w:tbl>
      <w:tblPr>
        <w:tblStyle w:val="7"/>
        <w:tblW w:w="111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3"/>
        <w:gridCol w:w="1668"/>
        <w:gridCol w:w="2343"/>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843" w:type="dxa"/>
            <w:vAlign w:val="center"/>
          </w:tcPr>
          <w:p>
            <w:pPr>
              <w:spacing w:line="610" w:lineRule="exact"/>
              <w:jc w:val="left"/>
              <w:rPr>
                <w:rFonts w:ascii="仿宋" w:hAnsi="仿宋" w:eastAsia="仿宋" w:cs="Times New Roman"/>
                <w:b/>
                <w:sz w:val="32"/>
                <w:szCs w:val="32"/>
              </w:rPr>
            </w:pPr>
            <w:r>
              <w:rPr>
                <w:rFonts w:hint="eastAsia" w:ascii="仿宋" w:hAnsi="仿宋" w:eastAsia="仿宋" w:cs="Times New Roman"/>
                <w:b/>
                <w:sz w:val="32"/>
                <w:szCs w:val="32"/>
              </w:rPr>
              <w:t>单位名称</w:t>
            </w:r>
            <w:r>
              <w:rPr>
                <w:rFonts w:hint="eastAsia" w:ascii="仿宋" w:hAnsi="仿宋" w:eastAsia="仿宋" w:cs="Times New Roman"/>
                <w:b/>
                <w:sz w:val="32"/>
                <w:szCs w:val="32"/>
              </w:rPr>
              <w:tab/>
            </w:r>
            <w:r>
              <w:rPr>
                <w:rFonts w:hint="eastAsia" w:ascii="仿宋" w:hAnsi="仿宋" w:eastAsia="仿宋" w:cs="Times New Roman"/>
                <w:b/>
                <w:sz w:val="32"/>
                <w:szCs w:val="32"/>
              </w:rPr>
              <w:tab/>
            </w:r>
            <w:r>
              <w:rPr>
                <w:rFonts w:hint="eastAsia" w:ascii="仿宋" w:hAnsi="仿宋" w:eastAsia="仿宋" w:cs="Times New Roman"/>
                <w:b/>
                <w:sz w:val="32"/>
                <w:szCs w:val="32"/>
              </w:rPr>
              <w:tab/>
            </w:r>
          </w:p>
        </w:tc>
        <w:tc>
          <w:tcPr>
            <w:tcW w:w="1668" w:type="dxa"/>
            <w:vAlign w:val="center"/>
          </w:tcPr>
          <w:p>
            <w:pPr>
              <w:spacing w:line="610" w:lineRule="exact"/>
              <w:jc w:val="left"/>
              <w:rPr>
                <w:rFonts w:ascii="仿宋" w:hAnsi="仿宋" w:eastAsia="仿宋" w:cs="Times New Roman"/>
                <w:b/>
                <w:sz w:val="32"/>
                <w:szCs w:val="32"/>
              </w:rPr>
            </w:pPr>
            <w:r>
              <w:rPr>
                <w:rFonts w:hint="eastAsia" w:ascii="仿宋" w:hAnsi="仿宋" w:eastAsia="仿宋" w:cs="Times New Roman"/>
                <w:b/>
                <w:sz w:val="32"/>
                <w:szCs w:val="32"/>
              </w:rPr>
              <w:t>单位性质</w:t>
            </w:r>
          </w:p>
        </w:tc>
        <w:tc>
          <w:tcPr>
            <w:tcW w:w="2343" w:type="dxa"/>
            <w:vAlign w:val="center"/>
          </w:tcPr>
          <w:p>
            <w:pPr>
              <w:spacing w:line="610" w:lineRule="exact"/>
              <w:jc w:val="left"/>
              <w:rPr>
                <w:rFonts w:ascii="仿宋" w:hAnsi="仿宋" w:eastAsia="仿宋" w:cs="Times New Roman"/>
                <w:b/>
                <w:sz w:val="32"/>
                <w:szCs w:val="32"/>
              </w:rPr>
            </w:pPr>
            <w:r>
              <w:rPr>
                <w:rFonts w:hint="eastAsia" w:ascii="仿宋" w:hAnsi="仿宋" w:eastAsia="仿宋" w:cs="Times New Roman"/>
                <w:b/>
                <w:sz w:val="32"/>
                <w:szCs w:val="32"/>
              </w:rPr>
              <w:t>单位规格</w:t>
            </w:r>
          </w:p>
        </w:tc>
        <w:tc>
          <w:tcPr>
            <w:tcW w:w="2343" w:type="dxa"/>
            <w:vAlign w:val="center"/>
          </w:tcPr>
          <w:p>
            <w:pPr>
              <w:spacing w:line="610" w:lineRule="exact"/>
              <w:jc w:val="left"/>
              <w:rPr>
                <w:rFonts w:ascii="仿宋" w:hAnsi="仿宋" w:eastAsia="仿宋" w:cs="Times New Roman"/>
                <w:b/>
                <w:sz w:val="32"/>
                <w:szCs w:val="32"/>
              </w:rPr>
            </w:pPr>
            <w:r>
              <w:rPr>
                <w:rFonts w:hint="eastAsia" w:ascii="仿宋" w:hAnsi="仿宋" w:eastAsia="仿宋" w:cs="Times New Roman"/>
                <w:b/>
                <w:sz w:val="32"/>
                <w:szCs w:val="32"/>
              </w:rPr>
              <w:t>经费保障形式</w:t>
            </w:r>
            <w:r>
              <w:rPr>
                <w:rFonts w:hint="eastAsia" w:ascii="仿宋" w:hAnsi="仿宋" w:eastAsia="仿宋" w:cs="Times New Roman"/>
                <w:b/>
                <w:sz w:val="32"/>
                <w:szCs w:val="3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4843" w:type="dxa"/>
            <w:vAlign w:val="center"/>
          </w:tcPr>
          <w:p>
            <w:pPr>
              <w:spacing w:line="610" w:lineRule="exact"/>
              <w:jc w:val="left"/>
              <w:rPr>
                <w:rFonts w:ascii="仿宋" w:hAnsi="仿宋" w:eastAsia="仿宋" w:cs="Times New Roman"/>
                <w:b/>
                <w:sz w:val="32"/>
                <w:szCs w:val="32"/>
              </w:rPr>
            </w:pPr>
            <w:r>
              <w:rPr>
                <w:rFonts w:hint="eastAsia" w:ascii="仿宋" w:hAnsi="仿宋" w:eastAsia="仿宋" w:cs="Times New Roman"/>
                <w:b/>
                <w:sz w:val="32"/>
                <w:szCs w:val="32"/>
              </w:rPr>
              <w:t>沙河市财政局</w:t>
            </w:r>
          </w:p>
        </w:tc>
        <w:tc>
          <w:tcPr>
            <w:tcW w:w="1668" w:type="dxa"/>
            <w:vAlign w:val="center"/>
          </w:tcPr>
          <w:p>
            <w:pPr>
              <w:spacing w:line="610" w:lineRule="exact"/>
              <w:jc w:val="left"/>
              <w:rPr>
                <w:rFonts w:ascii="仿宋" w:hAnsi="仿宋" w:eastAsia="仿宋" w:cs="Times New Roman"/>
                <w:b/>
                <w:sz w:val="32"/>
                <w:szCs w:val="32"/>
              </w:rPr>
            </w:pPr>
            <w:r>
              <w:rPr>
                <w:rFonts w:hint="eastAsia" w:ascii="仿宋" w:hAnsi="仿宋" w:eastAsia="仿宋" w:cs="Times New Roman"/>
                <w:b/>
                <w:sz w:val="32"/>
                <w:szCs w:val="32"/>
              </w:rPr>
              <w:t>行政</w:t>
            </w:r>
          </w:p>
        </w:tc>
        <w:tc>
          <w:tcPr>
            <w:tcW w:w="2343" w:type="dxa"/>
            <w:vAlign w:val="center"/>
          </w:tcPr>
          <w:p>
            <w:pPr>
              <w:spacing w:line="610" w:lineRule="exact"/>
              <w:jc w:val="left"/>
              <w:rPr>
                <w:rFonts w:ascii="仿宋" w:hAnsi="仿宋" w:eastAsia="仿宋" w:cs="Times New Roman"/>
                <w:b/>
                <w:sz w:val="32"/>
                <w:szCs w:val="32"/>
              </w:rPr>
            </w:pPr>
            <w:r>
              <w:rPr>
                <w:rFonts w:hint="eastAsia" w:ascii="仿宋" w:hAnsi="仿宋" w:eastAsia="仿宋" w:cs="Times New Roman"/>
                <w:b/>
                <w:sz w:val="32"/>
                <w:szCs w:val="32"/>
              </w:rPr>
              <w:t>正科</w:t>
            </w:r>
          </w:p>
        </w:tc>
        <w:tc>
          <w:tcPr>
            <w:tcW w:w="2343" w:type="dxa"/>
            <w:vAlign w:val="center"/>
          </w:tcPr>
          <w:p>
            <w:pPr>
              <w:spacing w:line="610" w:lineRule="exact"/>
              <w:jc w:val="left"/>
              <w:rPr>
                <w:rFonts w:ascii="仿宋" w:hAnsi="仿宋" w:eastAsia="仿宋" w:cs="Times New Roman"/>
                <w:b/>
                <w:sz w:val="32"/>
                <w:szCs w:val="32"/>
              </w:rPr>
            </w:pPr>
            <w:r>
              <w:rPr>
                <w:rFonts w:hint="eastAsia" w:ascii="仿宋" w:hAnsi="仿宋" w:eastAsia="仿宋" w:cs="Times New Roman"/>
                <w:b/>
                <w:sz w:val="32"/>
                <w:szCs w:val="32"/>
              </w:rPr>
              <w:t>财政拨款</w:t>
            </w:r>
          </w:p>
        </w:tc>
      </w:tr>
    </w:tbl>
    <w:p>
      <w:pPr>
        <w:widowControl/>
        <w:spacing w:line="610" w:lineRule="atLeast"/>
        <w:jc w:val="left"/>
        <w:rPr>
          <w:rFonts w:ascii="仿宋" w:hAnsi="仿宋" w:eastAsia="仿宋" w:cs="宋体"/>
          <w:kern w:val="0"/>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部门预算的编制实行综合预算制度，即全部收入和支出都反映的预算中</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单位的收支包含在部门预算中。</w:t>
      </w:r>
    </w:p>
    <w:p>
      <w:pPr>
        <w:widowControl/>
        <w:spacing w:line="610" w:lineRule="atLeast"/>
        <w:ind w:firstLine="64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收入说明 ：反映本部门当年全部收入。</w:t>
      </w:r>
      <w:r>
        <w:rPr>
          <w:rFonts w:hint="eastAsia" w:ascii="Times New Roman" w:hAnsi="Times New Roman" w:eastAsia="仿宋" w:cs="Times New Roman"/>
          <w:sz w:val="32"/>
          <w:szCs w:val="32"/>
          <w:lang w:eastAsia="zh-CN"/>
        </w:rPr>
        <w:t>2020</w:t>
      </w:r>
      <w:r>
        <w:rPr>
          <w:rFonts w:hint="eastAsia" w:ascii="Times New Roman" w:hAnsi="Times New Roman" w:eastAsia="仿宋" w:cs="Times New Roman"/>
          <w:sz w:val="32"/>
          <w:szCs w:val="32"/>
        </w:rPr>
        <w:t>年预算</w:t>
      </w:r>
      <w:r>
        <w:rPr>
          <w:rFonts w:hint="eastAsia" w:ascii="Times New Roman" w:hAnsi="Times New Roman" w:eastAsia="仿宋" w:cs="Times New Roman"/>
          <w:sz w:val="32"/>
          <w:szCs w:val="32"/>
          <w:lang w:eastAsia="zh-CN"/>
        </w:rPr>
        <w:t>收入</w:t>
      </w:r>
      <w:r>
        <w:rPr>
          <w:rFonts w:hint="eastAsia" w:ascii="Times New Roman" w:hAnsi="Times New Roman" w:eastAsia="仿宋" w:cs="Times New Roman"/>
          <w:sz w:val="32"/>
          <w:szCs w:val="32"/>
        </w:rPr>
        <w:t>8</w:t>
      </w:r>
      <w:r>
        <w:rPr>
          <w:rFonts w:hint="eastAsia" w:ascii="Times New Roman" w:hAnsi="Times New Roman" w:eastAsia="仿宋" w:cs="Times New Roman"/>
          <w:sz w:val="32"/>
          <w:szCs w:val="32"/>
          <w:lang w:val="en-US" w:eastAsia="zh-CN"/>
        </w:rPr>
        <w:t>49.07</w:t>
      </w:r>
      <w:r>
        <w:rPr>
          <w:rFonts w:hint="eastAsia" w:ascii="Times New Roman" w:hAnsi="Times New Roman" w:eastAsia="仿宋" w:cs="Times New Roman"/>
          <w:sz w:val="32"/>
          <w:szCs w:val="32"/>
        </w:rPr>
        <w:t>万元，共预算收入8</w:t>
      </w:r>
      <w:r>
        <w:rPr>
          <w:rFonts w:hint="eastAsia" w:ascii="Times New Roman" w:hAnsi="Times New Roman" w:eastAsia="仿宋" w:cs="Times New Roman"/>
          <w:sz w:val="32"/>
          <w:szCs w:val="32"/>
          <w:lang w:val="en-US" w:eastAsia="zh-CN"/>
        </w:rPr>
        <w:t>49.07</w:t>
      </w:r>
      <w:r>
        <w:rPr>
          <w:rFonts w:hint="eastAsia" w:ascii="Times New Roman" w:hAnsi="Times New Roman" w:eastAsia="仿宋" w:cs="Times New Roman"/>
          <w:sz w:val="32"/>
          <w:szCs w:val="32"/>
        </w:rPr>
        <w:t>万元，基金预算拨款0元。</w:t>
      </w:r>
    </w:p>
    <w:p>
      <w:pPr>
        <w:widowControl/>
        <w:spacing w:line="610" w:lineRule="atLeast"/>
        <w:ind w:firstLine="64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2、支出说明：收支预算总表支出栏、基本支出表、项目支出表按经济分类和支出功能分类科目编制，反映沙河市财政局</w:t>
      </w:r>
      <w:r>
        <w:rPr>
          <w:rFonts w:hint="eastAsia" w:ascii="Times New Roman" w:hAnsi="Times New Roman" w:eastAsia="仿宋" w:cs="Times New Roman"/>
          <w:sz w:val="32"/>
          <w:szCs w:val="32"/>
          <w:lang w:eastAsia="zh-CN"/>
        </w:rPr>
        <w:t>2020</w:t>
      </w:r>
      <w:r>
        <w:rPr>
          <w:rFonts w:hint="eastAsia" w:ascii="Times New Roman" w:hAnsi="Times New Roman" w:eastAsia="仿宋" w:cs="Times New Roman"/>
          <w:sz w:val="32"/>
          <w:szCs w:val="32"/>
        </w:rPr>
        <w:t>年度部门预算中支出预算的总体情况。</w:t>
      </w:r>
      <w:r>
        <w:rPr>
          <w:rFonts w:hint="eastAsia" w:ascii="Times New Roman" w:hAnsi="Times New Roman" w:eastAsia="仿宋" w:cs="Times New Roman"/>
          <w:sz w:val="32"/>
          <w:szCs w:val="32"/>
          <w:lang w:eastAsia="zh-CN"/>
        </w:rPr>
        <w:t>2020</w:t>
      </w:r>
      <w:r>
        <w:rPr>
          <w:rFonts w:hint="eastAsia" w:ascii="Times New Roman" w:hAnsi="Times New Roman" w:eastAsia="仿宋" w:cs="Times New Roman"/>
          <w:sz w:val="32"/>
          <w:szCs w:val="32"/>
        </w:rPr>
        <w:t>年支出预算8</w:t>
      </w:r>
      <w:r>
        <w:rPr>
          <w:rFonts w:hint="eastAsia" w:ascii="Times New Roman" w:hAnsi="Times New Roman" w:eastAsia="仿宋" w:cs="Times New Roman"/>
          <w:sz w:val="32"/>
          <w:szCs w:val="32"/>
          <w:lang w:val="en-US" w:eastAsia="zh-CN"/>
        </w:rPr>
        <w:t>49.07</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731.07</w:t>
      </w:r>
      <w:r>
        <w:rPr>
          <w:rFonts w:hint="eastAsia" w:ascii="Times New Roman" w:hAnsi="Times New Roman" w:eastAsia="仿宋" w:cs="Times New Roman"/>
          <w:sz w:val="32"/>
          <w:szCs w:val="32"/>
        </w:rPr>
        <w:t>万元，包括人员经费和日常公用经费；项目支出</w:t>
      </w:r>
      <w:r>
        <w:rPr>
          <w:rFonts w:hint="eastAsia" w:ascii="Times New Roman" w:hAnsi="Times New Roman" w:eastAsia="仿宋" w:cs="Times New Roman"/>
          <w:sz w:val="32"/>
          <w:szCs w:val="32"/>
          <w:lang w:val="en-US" w:eastAsia="zh-CN"/>
        </w:rPr>
        <w:t>118</w:t>
      </w:r>
      <w:r>
        <w:rPr>
          <w:rFonts w:hint="eastAsia" w:ascii="Times New Roman" w:hAnsi="Times New Roman" w:eastAsia="仿宋" w:cs="Times New Roman"/>
          <w:sz w:val="32"/>
          <w:szCs w:val="32"/>
        </w:rPr>
        <w:t>万元，主要是财政事务支出。</w:t>
      </w:r>
    </w:p>
    <w:p>
      <w:pPr>
        <w:widowControl/>
        <w:spacing w:line="610" w:lineRule="atLeast"/>
        <w:ind w:firstLine="640"/>
        <w:jc w:val="left"/>
        <w:rPr>
          <w:rFonts w:ascii="仿宋" w:hAnsi="仿宋" w:eastAsia="仿宋" w:cs="宋体"/>
          <w:kern w:val="0"/>
          <w:sz w:val="24"/>
          <w:szCs w:val="24"/>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r>
        <w:rPr>
          <w:rFonts w:hint="eastAsia" w:ascii="Times New Roman" w:hAnsi="Times New Roman" w:eastAsia="仿宋" w:cs="Times New Roman"/>
          <w:sz w:val="32"/>
          <w:szCs w:val="32"/>
        </w:rPr>
        <w:t>：</w:t>
      </w:r>
      <w:r>
        <w:rPr>
          <w:rFonts w:hint="eastAsia" w:ascii="仿宋" w:hAnsi="仿宋" w:eastAsia="仿宋" w:cs="宋体"/>
          <w:kern w:val="0"/>
          <w:sz w:val="32"/>
          <w:szCs w:val="32"/>
          <w:lang w:eastAsia="zh-CN"/>
        </w:rPr>
        <w:t>2020</w:t>
      </w:r>
      <w:r>
        <w:rPr>
          <w:rFonts w:hint="eastAsia" w:ascii="仿宋" w:hAnsi="仿宋" w:eastAsia="仿宋" w:cs="宋体"/>
          <w:kern w:val="0"/>
          <w:sz w:val="32"/>
          <w:szCs w:val="32"/>
        </w:rPr>
        <w:t>年预算收支安排8</w:t>
      </w:r>
      <w:r>
        <w:rPr>
          <w:rFonts w:hint="eastAsia" w:ascii="仿宋" w:hAnsi="仿宋" w:eastAsia="仿宋" w:cs="宋体"/>
          <w:kern w:val="0"/>
          <w:sz w:val="32"/>
          <w:szCs w:val="32"/>
          <w:lang w:val="en-US" w:eastAsia="zh-CN"/>
        </w:rPr>
        <w:t>49.07</w:t>
      </w:r>
      <w:r>
        <w:rPr>
          <w:rFonts w:hint="eastAsia" w:ascii="仿宋" w:hAnsi="仿宋" w:eastAsia="仿宋" w:cs="宋体"/>
          <w:kern w:val="0"/>
          <w:sz w:val="32"/>
          <w:szCs w:val="32"/>
        </w:rPr>
        <w:t>万元，较</w:t>
      </w:r>
      <w:r>
        <w:rPr>
          <w:rFonts w:hint="eastAsia" w:ascii="仿宋" w:hAnsi="仿宋" w:eastAsia="仿宋" w:cs="宋体"/>
          <w:kern w:val="0"/>
          <w:sz w:val="32"/>
          <w:szCs w:val="32"/>
          <w:lang w:eastAsia="zh-CN"/>
        </w:rPr>
        <w:t>2019</w:t>
      </w:r>
      <w:r>
        <w:rPr>
          <w:rFonts w:hint="eastAsia" w:ascii="仿宋" w:hAnsi="仿宋" w:eastAsia="仿宋" w:cs="宋体"/>
          <w:kern w:val="0"/>
          <w:sz w:val="32"/>
          <w:szCs w:val="32"/>
        </w:rPr>
        <w:t>年预算增加</w:t>
      </w:r>
      <w:r>
        <w:rPr>
          <w:rFonts w:hint="eastAsia" w:ascii="仿宋" w:hAnsi="仿宋" w:eastAsia="仿宋" w:cs="宋体"/>
          <w:kern w:val="0"/>
          <w:sz w:val="32"/>
          <w:szCs w:val="32"/>
          <w:lang w:val="en-US" w:eastAsia="zh-CN"/>
        </w:rPr>
        <w:t>25.96</w:t>
      </w:r>
      <w:r>
        <w:rPr>
          <w:rFonts w:hint="eastAsia" w:ascii="仿宋" w:hAnsi="仿宋" w:eastAsia="仿宋" w:cs="宋体"/>
          <w:kern w:val="0"/>
          <w:sz w:val="32"/>
          <w:szCs w:val="32"/>
        </w:rPr>
        <w:t>万元。主要原因是本年度我部门编制预算</w:t>
      </w:r>
      <w:r>
        <w:rPr>
          <w:rFonts w:hint="eastAsia" w:ascii="仿宋" w:hAnsi="仿宋" w:eastAsia="仿宋" w:cs="宋体"/>
          <w:kern w:val="0"/>
          <w:sz w:val="32"/>
          <w:szCs w:val="32"/>
          <w:lang w:eastAsia="zh-CN"/>
        </w:rPr>
        <w:t>时</w:t>
      </w:r>
      <w:r>
        <w:rPr>
          <w:rFonts w:hint="eastAsia" w:ascii="仿宋" w:hAnsi="仿宋" w:eastAsia="仿宋" w:cs="宋体"/>
          <w:kern w:val="0"/>
          <w:sz w:val="32"/>
          <w:szCs w:val="32"/>
        </w:rPr>
        <w:t>包含沙河市综合治税领导小组办公</w:t>
      </w:r>
      <w:r>
        <w:rPr>
          <w:rFonts w:hint="eastAsia" w:ascii="仿宋" w:hAnsi="仿宋" w:eastAsia="仿宋" w:cs="宋体"/>
          <w:kern w:val="0"/>
          <w:sz w:val="32"/>
          <w:szCs w:val="32"/>
          <w:lang w:eastAsia="zh-CN"/>
        </w:rPr>
        <w:t>室</w:t>
      </w:r>
      <w:r>
        <w:rPr>
          <w:rFonts w:hint="eastAsia" w:ascii="仿宋" w:hAnsi="仿宋" w:eastAsia="仿宋" w:cs="宋体"/>
          <w:kern w:val="0"/>
          <w:sz w:val="32"/>
          <w:szCs w:val="32"/>
        </w:rPr>
        <w:t>12名人员经费。</w:t>
      </w:r>
    </w:p>
    <w:p>
      <w:pPr>
        <w:ind w:firstLine="640"/>
        <w:rPr>
          <w:rFonts w:ascii="黑体" w:hAnsi="黑体" w:eastAsia="黑体" w:cs="Times New Roman"/>
          <w:sz w:val="32"/>
          <w:szCs w:val="32"/>
        </w:rPr>
      </w:pPr>
      <w:r>
        <w:rPr>
          <w:rFonts w:hint="eastAsia" w:ascii="Times New Roman" w:hAnsi="Times New Roman" w:eastAsia="仿宋" w:cs="Times New Roman"/>
          <w:sz w:val="32"/>
          <w:szCs w:val="32"/>
        </w:rPr>
        <w:t xml:space="preserve"> </w:t>
      </w:r>
      <w:r>
        <w:rPr>
          <w:rFonts w:hint="eastAsia" w:ascii="黑体" w:hAnsi="黑体" w:eastAsia="黑体" w:cs="Times New Roman"/>
          <w:sz w:val="32"/>
          <w:szCs w:val="32"/>
        </w:rPr>
        <w:t>三、机关运行经费安排情况</w:t>
      </w:r>
    </w:p>
    <w:p>
      <w:pPr>
        <w:widowControl/>
        <w:spacing w:line="610" w:lineRule="atLeast"/>
        <w:ind w:firstLine="640" w:firstLineChars="200"/>
        <w:jc w:val="left"/>
        <w:rPr>
          <w:rFonts w:hint="default" w:ascii="仿宋" w:hAnsi="仿宋" w:eastAsia="仿宋" w:cs="宋体"/>
          <w:kern w:val="0"/>
          <w:sz w:val="24"/>
          <w:szCs w:val="24"/>
          <w:lang w:val="en-US" w:eastAsia="zh-CN"/>
        </w:rPr>
      </w:pPr>
      <w:r>
        <w:rPr>
          <w:rFonts w:hint="eastAsia" w:ascii="仿宋" w:hAnsi="仿宋" w:eastAsia="仿宋" w:cs="宋体"/>
          <w:kern w:val="0"/>
          <w:sz w:val="32"/>
          <w:szCs w:val="32"/>
        </w:rPr>
        <w:t>机关运行经费安排</w:t>
      </w:r>
      <w:r>
        <w:rPr>
          <w:rFonts w:hint="eastAsia" w:ascii="仿宋" w:hAnsi="仿宋" w:eastAsia="仿宋" w:cs="宋体"/>
          <w:kern w:val="0"/>
          <w:sz w:val="32"/>
          <w:szCs w:val="32"/>
          <w:lang w:val="en-US" w:eastAsia="zh-CN"/>
        </w:rPr>
        <w:t>37.12</w:t>
      </w:r>
      <w:r>
        <w:rPr>
          <w:rFonts w:hint="eastAsia" w:ascii="仿宋" w:hAnsi="仿宋" w:eastAsia="仿宋" w:cs="宋体"/>
          <w:kern w:val="0"/>
          <w:sz w:val="32"/>
          <w:szCs w:val="32"/>
        </w:rPr>
        <w:t>万元，主要用于机关正常运转、公务用车运行、办公用房维修维护等日常运行支出</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较上年增加2.59万元，增幅7.5%，主要原因是编制预算时包含综合治税办12名人员包干经费。</w:t>
      </w:r>
    </w:p>
    <w:p>
      <w:pPr>
        <w:autoSpaceDE w:val="0"/>
        <w:autoSpaceDN w:val="0"/>
        <w:adjustRightInd w:val="0"/>
        <w:ind w:firstLine="800" w:firstLineChars="25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widowControl/>
        <w:spacing w:line="610" w:lineRule="atLeast"/>
        <w:ind w:firstLine="640" w:firstLineChars="200"/>
        <w:jc w:val="left"/>
        <w:rPr>
          <w:rFonts w:ascii="仿宋" w:hAnsi="仿宋" w:eastAsia="仿宋" w:cs="宋体"/>
          <w:kern w:val="0"/>
          <w:sz w:val="24"/>
          <w:szCs w:val="24"/>
        </w:rPr>
      </w:pPr>
      <w:r>
        <w:rPr>
          <w:rFonts w:hint="eastAsia" w:ascii="仿宋" w:hAnsi="仿宋" w:eastAsia="仿宋" w:cs="宋体"/>
          <w:kern w:val="0"/>
          <w:sz w:val="32"/>
          <w:szCs w:val="32"/>
          <w:lang w:eastAsia="zh-CN"/>
        </w:rPr>
        <w:t>2020</w:t>
      </w:r>
      <w:r>
        <w:rPr>
          <w:rFonts w:hint="eastAsia" w:ascii="仿宋" w:hAnsi="仿宋" w:eastAsia="仿宋" w:cs="宋体"/>
          <w:kern w:val="0"/>
          <w:sz w:val="32"/>
          <w:szCs w:val="32"/>
        </w:rPr>
        <w:t>年，我部门“三公”经费预算安排9万元，其中因公出国（境）费0元；公务用车购置及运维费4万元（公务用车购置费0元，公务用车运维费4万元）；与</w:t>
      </w:r>
      <w:r>
        <w:rPr>
          <w:rFonts w:hint="eastAsia" w:ascii="仿宋" w:hAnsi="仿宋" w:eastAsia="仿宋" w:cs="宋体"/>
          <w:kern w:val="0"/>
          <w:sz w:val="32"/>
          <w:szCs w:val="32"/>
          <w:lang w:eastAsia="zh-CN"/>
        </w:rPr>
        <w:t>2019</w:t>
      </w:r>
      <w:r>
        <w:rPr>
          <w:rFonts w:hint="eastAsia" w:ascii="仿宋" w:hAnsi="仿宋" w:eastAsia="仿宋" w:cs="宋体"/>
          <w:kern w:val="0"/>
          <w:sz w:val="32"/>
          <w:szCs w:val="32"/>
        </w:rPr>
        <w:t>年相比持平。公务接待费5万元，与</w:t>
      </w:r>
      <w:r>
        <w:rPr>
          <w:rFonts w:hint="eastAsia" w:ascii="仿宋" w:hAnsi="仿宋" w:eastAsia="仿宋" w:cs="宋体"/>
          <w:kern w:val="0"/>
          <w:sz w:val="32"/>
          <w:szCs w:val="32"/>
          <w:lang w:eastAsia="zh-CN"/>
        </w:rPr>
        <w:t>2019</w:t>
      </w:r>
      <w:r>
        <w:rPr>
          <w:rFonts w:hint="eastAsia" w:ascii="仿宋" w:hAnsi="仿宋" w:eastAsia="仿宋" w:cs="宋体"/>
          <w:kern w:val="0"/>
          <w:sz w:val="32"/>
          <w:szCs w:val="32"/>
        </w:rPr>
        <w:t>年相比持平。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五、绩效预算信息</w:t>
      </w:r>
    </w:p>
    <w:p>
      <w:pPr>
        <w:autoSpaceDE w:val="0"/>
        <w:autoSpaceDN w:val="0"/>
        <w:adjustRightInd w:val="0"/>
        <w:ind w:left="198" w:firstLine="643" w:firstLineChars="200"/>
        <w:jc w:val="center"/>
        <w:rPr>
          <w:rFonts w:hint="eastAsia" w:ascii="Times New Roman" w:hAnsi="宋体" w:eastAsia="宋体" w:cs="宋体"/>
          <w:b/>
          <w:sz w:val="44"/>
          <w:u w:val="none"/>
          <w:lang w:eastAsia="zh-CN"/>
        </w:rPr>
      </w:pPr>
      <w:r>
        <w:rPr>
          <w:rFonts w:hint="eastAsia" w:ascii="方正小标宋_GBK" w:hAnsi="方正小标宋_GBK" w:eastAsia="方正小标宋_GBK" w:cs="方正小标宋_GBK"/>
          <w:b/>
          <w:sz w:val="32"/>
          <w:szCs w:val="32"/>
          <w:u w:val="none"/>
          <w:lang w:eastAsia="zh-CN"/>
        </w:rPr>
        <w:t>第一部分</w:t>
      </w:r>
      <w:r>
        <w:rPr>
          <w:rFonts w:hint="eastAsia" w:ascii="方正小标宋_GBK" w:hAnsi="方正小标宋_GBK" w:eastAsia="方正小标宋_GBK" w:cs="方正小标宋_GBK"/>
          <w:b/>
          <w:sz w:val="32"/>
          <w:szCs w:val="32"/>
          <w:u w:val="none"/>
          <w:lang w:val="en-US" w:eastAsia="zh-CN"/>
        </w:rPr>
        <w:t xml:space="preserve">  </w:t>
      </w:r>
      <w:r>
        <w:rPr>
          <w:rFonts w:hint="eastAsia" w:ascii="方正小标宋_GBK" w:hAnsi="方正小标宋_GBK" w:eastAsia="方正小标宋_GBK" w:cs="方正小标宋_GBK"/>
          <w:b/>
          <w:sz w:val="32"/>
          <w:szCs w:val="32"/>
          <w:u w:val="none"/>
          <w:lang w:eastAsia="zh-CN"/>
        </w:rPr>
        <w:t>部门整体绩效目标</w:t>
      </w:r>
      <w:r>
        <w:rPr>
          <w:rFonts w:hint="eastAsia" w:ascii="方正小标宋_GBK" w:hAnsi="方正小标宋_GBK" w:eastAsia="方正小标宋_GBK" w:cs="方正小标宋_GBK"/>
          <w:b/>
          <w:sz w:val="44"/>
          <w:u w:val="none"/>
          <w:lang w:eastAsia="zh-CN"/>
        </w:rPr>
        <w:t xml:space="preserve"> </w:t>
      </w:r>
    </w:p>
    <w:p>
      <w:pPr>
        <w:spacing w:line="240" w:lineRule="auto"/>
        <w:ind w:firstLine="560" w:firstLineChars="200"/>
        <w:jc w:val="left"/>
        <w:outlineLvl w:val="1"/>
        <w:rPr>
          <w:rFonts w:hint="eastAsia" w:ascii="Times New Roman" w:hAnsi="宋体" w:eastAsia="宋体" w:cs="宋体"/>
          <w:b w:val="0"/>
          <w:bCs/>
          <w:sz w:val="28"/>
          <w:u w:val="none"/>
          <w:lang w:eastAsia="zh-CN"/>
        </w:rPr>
      </w:pPr>
      <w:r>
        <w:rPr>
          <w:rFonts w:hint="eastAsia" w:ascii="方正黑体_GBK" w:hAnsi="方正黑体_GBK" w:eastAsia="方正黑体_GBK" w:cs="方正黑体_GBK"/>
          <w:b w:val="0"/>
          <w:bCs/>
          <w:sz w:val="28"/>
          <w:u w:val="none"/>
          <w:lang w:eastAsia="zh-CN"/>
        </w:rPr>
        <w:t>一、总体绩效目标</w:t>
      </w:r>
      <w:bookmarkStart w:id="0" w:name="_Toc21721"/>
      <w:bookmarkStart w:id="1" w:name="_Toc13303"/>
      <w:r>
        <w:rPr>
          <w:b w:val="0"/>
          <w:bCs/>
        </w:rPr>
        <w:fldChar w:fldCharType="begin"/>
      </w:r>
      <w:r>
        <w:rPr>
          <w:rFonts w:hint="eastAsia" w:ascii="方正黑体_GBK" w:hAnsi="方正黑体_GBK" w:eastAsia="方正黑体_GBK" w:cs="方正黑体_GBK"/>
          <w:b w:val="0"/>
          <w:bCs/>
          <w:sz w:val="28"/>
          <w:u w:val="none"/>
          <w:lang w:eastAsia="zh-CN"/>
        </w:rPr>
        <w:instrText xml:space="preserve"> TC 总体绩效目标 \f A \l 1 </w:instrText>
      </w:r>
      <w:r>
        <w:rPr>
          <w:rFonts w:hint="eastAsia" w:ascii="方正黑体_GBK" w:hAnsi="方正黑体_GBK" w:eastAsia="方正黑体_GBK" w:cs="方正黑体_GBK"/>
          <w:b w:val="0"/>
          <w:bCs/>
          <w:sz w:val="28"/>
          <w:u w:val="none"/>
          <w:lang w:eastAsia="zh-CN"/>
        </w:rPr>
        <w:fldChar w:fldCharType="end"/>
      </w:r>
      <w:bookmarkEnd w:id="0"/>
      <w:bookmarkEnd w:id="1"/>
    </w:p>
    <w:p>
      <w:pPr>
        <w:spacing w:line="500" w:lineRule="exact"/>
        <w:ind w:firstLine="560" w:firstLineChars="200"/>
        <w:jc w:val="left"/>
        <w:outlineLvl w:val="9"/>
        <w:rPr>
          <w:rFonts w:hint="eastAsia" w:ascii="仿宋" w:hAnsi="仿宋" w:eastAsia="仿宋" w:cs="宋体"/>
          <w:kern w:val="0"/>
          <w:sz w:val="32"/>
          <w:szCs w:val="32"/>
        </w:rPr>
      </w:pPr>
      <w:r>
        <w:rPr>
          <w:rFonts w:hint="eastAsia" w:ascii="Times New Roman" w:hAnsi="方正仿宋_GBK" w:eastAsia="方正仿宋_GBK" w:cs="方正仿宋_GBK"/>
          <w:b w:val="0"/>
          <w:sz w:val="28"/>
          <w:u w:val="none"/>
        </w:rPr>
        <w:t xml:space="preserve">   </w:t>
      </w:r>
      <w:r>
        <w:rPr>
          <w:rFonts w:hint="eastAsia" w:ascii="仿宋" w:hAnsi="仿宋" w:eastAsia="仿宋" w:cs="宋体"/>
          <w:kern w:val="0"/>
          <w:sz w:val="32"/>
          <w:szCs w:val="32"/>
        </w:rPr>
        <w:t>为更好地保障上级和市委决策部署的落实，经过认真研究支出政策，逐项梳理存量项目，预算安排采取调整结构、强化统筹、整合资金、争取支持等多项措施，重点把握以下四个方面：一是保证公教人员工资按时足额发放和党政机关事业单位正常运转需要；二是保证民生支出需要，足额安排社会保障支出，尽全力安排教育、“三农”、医疗卫生、科技等支出；三是保障市委、市政府重大决策部署支出需要；四是严格控制一般性支出，尤其是“三公”经费和会议费、培训费等支出。</w:t>
      </w:r>
    </w:p>
    <w:p>
      <w:pPr>
        <w:spacing w:line="500" w:lineRule="exact"/>
        <w:ind w:firstLine="560" w:firstLineChars="200"/>
        <w:jc w:val="left"/>
        <w:outlineLvl w:val="1"/>
        <w:rPr>
          <w:rFonts w:hint="eastAsia" w:ascii="Times New Roman" w:hAnsi="宋体" w:eastAsia="宋体" w:cs="宋体"/>
          <w:b w:val="0"/>
          <w:sz w:val="28"/>
          <w:u w:val="none"/>
          <w:lang w:eastAsia="zh-CN"/>
        </w:rPr>
      </w:pPr>
      <w:r>
        <w:rPr>
          <w:rFonts w:hint="eastAsia" w:ascii="方正黑体_GBK" w:hAnsi="方正黑体_GBK" w:eastAsia="方正黑体_GBK" w:cs="方正黑体_GBK"/>
          <w:b w:val="0"/>
          <w:sz w:val="28"/>
          <w:u w:val="none"/>
          <w:lang w:eastAsia="zh-CN"/>
        </w:rPr>
        <w:t>二、分项绩效目标</w:t>
      </w:r>
      <w:bookmarkStart w:id="2" w:name="_Toc14324"/>
      <w:bookmarkStart w:id="3" w:name="_Toc12517"/>
      <w:r>
        <w:fldChar w:fldCharType="begin"/>
      </w:r>
      <w:r>
        <w:rPr>
          <w:rFonts w:hint="eastAsia" w:ascii="方正黑体_GBK" w:hAnsi="方正黑体_GBK" w:eastAsia="方正黑体_GBK" w:cs="方正黑体_GBK"/>
          <w:b w:val="0"/>
          <w:sz w:val="28"/>
          <w:u w:val="none"/>
          <w:lang w:eastAsia="zh-CN"/>
        </w:rPr>
        <w:instrText xml:space="preserve"> TC 分项绩效目标 \f A \l 1 </w:instrText>
      </w:r>
      <w:r>
        <w:rPr>
          <w:rFonts w:hint="eastAsia" w:ascii="方正黑体_GBK" w:hAnsi="方正黑体_GBK" w:eastAsia="方正黑体_GBK" w:cs="方正黑体_GBK"/>
          <w:b w:val="0"/>
          <w:sz w:val="28"/>
          <w:u w:val="none"/>
          <w:lang w:eastAsia="zh-CN"/>
        </w:rPr>
        <w:fldChar w:fldCharType="end"/>
      </w:r>
      <w:bookmarkEnd w:id="2"/>
      <w:bookmarkEnd w:id="3"/>
    </w:p>
    <w:p>
      <w:pPr>
        <w:spacing w:line="500" w:lineRule="exact"/>
        <w:ind w:firstLine="640" w:firstLineChars="200"/>
        <w:jc w:val="left"/>
        <w:outlineLvl w:val="9"/>
        <w:rPr>
          <w:rFonts w:hint="eastAsia" w:ascii="仿宋" w:hAnsi="仿宋" w:eastAsia="仿宋" w:cs="宋体"/>
          <w:kern w:val="0"/>
          <w:sz w:val="32"/>
          <w:szCs w:val="32"/>
        </w:rPr>
      </w:pPr>
      <w:r>
        <w:rPr>
          <w:rFonts w:hint="eastAsia" w:ascii="仿宋" w:hAnsi="仿宋" w:eastAsia="仿宋" w:cs="宋体"/>
          <w:kern w:val="0"/>
          <w:sz w:val="32"/>
          <w:szCs w:val="32"/>
        </w:rPr>
        <w:t>一、实施积极财政政策，推动经济转型升级。认真落实国家减税降费政策，进一步减轻企业负担，支持实体经济加快发展。紧紧围绕京津冀协</w:t>
      </w:r>
      <w:r>
        <w:rPr>
          <w:rFonts w:hint="eastAsia" w:ascii="仿宋" w:hAnsi="仿宋" w:eastAsia="仿宋" w:cs="宋体"/>
          <w:kern w:val="0"/>
          <w:sz w:val="32"/>
          <w:szCs w:val="32"/>
          <w:lang w:val="en-US" w:eastAsia="zh-CN"/>
        </w:rPr>
        <w:t>同</w:t>
      </w:r>
      <w:r>
        <w:rPr>
          <w:rFonts w:hint="eastAsia" w:ascii="仿宋" w:hAnsi="仿宋" w:eastAsia="仿宋" w:cs="宋体"/>
          <w:kern w:val="0"/>
          <w:sz w:val="32"/>
          <w:szCs w:val="32"/>
        </w:rPr>
        <w:t>发展、产业结构转型升级、大气污染治理、脱贫攻坚等上级和市委重点部署，积极对接上级政策，精准谋划对接项目，争取上级在转移支付、债券额度、改革试点等方面，加大对我市支持力度。积极创新财政投入方式，通过PPP模式、股权投资、财政金融政策等多种方式，发挥财政资金“四两拨千斤”作用，撬动金融资本、社会资本投入，激发社会投资活力。进一步强化整合统筹，提高资金配置效率，保障市委确定的重点领域、重点产业和重点项目发展，全力推动县域经济转型升级。</w:t>
      </w:r>
    </w:p>
    <w:p>
      <w:pPr>
        <w:spacing w:line="500" w:lineRule="exact"/>
        <w:ind w:firstLine="640" w:firstLineChars="200"/>
        <w:jc w:val="left"/>
        <w:outlineLvl w:val="9"/>
        <w:rPr>
          <w:rFonts w:hint="eastAsia" w:ascii="仿宋" w:hAnsi="仿宋" w:eastAsia="仿宋" w:cs="宋体"/>
          <w:kern w:val="0"/>
          <w:sz w:val="32"/>
          <w:szCs w:val="32"/>
        </w:rPr>
      </w:pPr>
      <w:r>
        <w:rPr>
          <w:rFonts w:hint="eastAsia" w:ascii="仿宋" w:hAnsi="仿宋" w:eastAsia="仿宋" w:cs="宋体"/>
          <w:kern w:val="0"/>
          <w:sz w:val="32"/>
          <w:szCs w:val="32"/>
        </w:rPr>
        <w:t>二、优化财政支出结构，保障</w:t>
      </w:r>
      <w:r>
        <w:rPr>
          <w:rFonts w:hint="eastAsia" w:ascii="仿宋" w:hAnsi="仿宋" w:eastAsia="仿宋" w:cs="宋体"/>
          <w:kern w:val="0"/>
          <w:sz w:val="32"/>
          <w:szCs w:val="32"/>
          <w:lang w:val="en-US" w:eastAsia="zh-CN"/>
        </w:rPr>
        <w:t>和</w:t>
      </w:r>
      <w:bookmarkStart w:id="8" w:name="_GoBack"/>
      <w:bookmarkEnd w:id="8"/>
      <w:r>
        <w:rPr>
          <w:rFonts w:hint="eastAsia" w:ascii="仿宋" w:hAnsi="仿宋" w:eastAsia="仿宋" w:cs="宋体"/>
          <w:kern w:val="0"/>
          <w:sz w:val="32"/>
          <w:szCs w:val="32"/>
        </w:rPr>
        <w:t>改善基本民生。牢固树立过“紧日子”的思想，厉行勤俭节约，认真落实党政机关会议费、公务接待费、差旅费、培训费等管理办法，严格控制一般性支出，全力压减“三公”经费，优化支出结构，在保工资、保运转、保民生的基础上，着力提高基本公共服务均等化水平。创新财政扶贫资金投入方式，强化涉农资金统筹使用，提高资金使用精准度和效益；进一步完善城乡低保、养老保险、医疗保险等基本民生政策，合理提高财政补助标准，强化基本民生保障，增强民生政策可持续性；扎实做好基本民生兜底相关工作，抓好民生政策落实“最后一公里”，让人民群众有更多获得感。</w:t>
      </w:r>
    </w:p>
    <w:p>
      <w:pPr>
        <w:spacing w:line="500" w:lineRule="exact"/>
        <w:ind w:firstLine="640" w:firstLineChars="200"/>
        <w:jc w:val="left"/>
        <w:outlineLvl w:val="9"/>
        <w:rPr>
          <w:rFonts w:hint="eastAsia" w:ascii="仿宋" w:hAnsi="仿宋" w:eastAsia="仿宋" w:cs="宋体"/>
          <w:kern w:val="0"/>
          <w:sz w:val="32"/>
          <w:szCs w:val="32"/>
        </w:rPr>
      </w:pPr>
      <w:r>
        <w:rPr>
          <w:rFonts w:hint="eastAsia" w:ascii="仿宋" w:hAnsi="仿宋" w:eastAsia="仿宋" w:cs="宋体"/>
          <w:kern w:val="0"/>
          <w:sz w:val="32"/>
          <w:szCs w:val="32"/>
        </w:rPr>
        <w:t xml:space="preserve"> 三、深化财政体制改革，提升财政管理效能。按照预算法要求，强化全口径预算管理，加大政府性基金预算与一般公共预算的统筹力度，切实增加地方财政可用财力。完善全过程绩效预算管理机制，发挥绩效预算管理信息系统作用，真正将绩效管理贯穿预算编制、执行、监督全过程。创新行政事业单位国有资产管理，规范资产配置标准和流程，提高国有资产使用效率。积极争取政府新增债券和置换债券，优化地方政府债务结构，保障财政平稳健康运行。通过开展预算安排审查、预算执行监督、预算绩效评价、财政投资评审、财务会计检查等多环节监管，把财政监督嵌入财政运行的全过程，确保财政资金安全高效使用。进一步加强预决算信息公开，主动接受人大和社会监督，提高财政政策资金使用管理透明度。</w:t>
      </w:r>
    </w:p>
    <w:p>
      <w:pPr>
        <w:spacing w:line="500" w:lineRule="exact"/>
        <w:ind w:firstLine="560" w:firstLineChars="200"/>
        <w:jc w:val="left"/>
        <w:outlineLvl w:val="1"/>
        <w:rPr>
          <w:rFonts w:hint="eastAsia" w:ascii="Times New Roman" w:hAnsi="宋体" w:eastAsia="宋体" w:cs="宋体"/>
          <w:b w:val="0"/>
          <w:sz w:val="28"/>
          <w:u w:val="none"/>
          <w:lang w:eastAsia="zh-CN"/>
        </w:rPr>
      </w:pPr>
      <w:r>
        <w:rPr>
          <w:rFonts w:hint="eastAsia" w:ascii="方正黑体_GBK" w:hAnsi="方正黑体_GBK" w:eastAsia="方正黑体_GBK" w:cs="方正黑体_GBK"/>
          <w:b w:val="0"/>
          <w:sz w:val="28"/>
          <w:u w:val="none"/>
          <w:lang w:eastAsia="zh-CN"/>
        </w:rPr>
        <w:t>三、工作保障措施</w:t>
      </w:r>
      <w:bookmarkStart w:id="4" w:name="_Toc12622"/>
      <w:bookmarkStart w:id="5" w:name="_Toc15877"/>
      <w:r>
        <w:fldChar w:fldCharType="begin"/>
      </w:r>
      <w:r>
        <w:rPr>
          <w:rFonts w:hint="eastAsia" w:ascii="方正黑体_GBK" w:hAnsi="方正黑体_GBK" w:eastAsia="方正黑体_GBK" w:cs="方正黑体_GBK"/>
          <w:b w:val="0"/>
          <w:sz w:val="28"/>
          <w:u w:val="none"/>
          <w:lang w:eastAsia="zh-CN"/>
        </w:rPr>
        <w:instrText xml:space="preserve"> TC 工作保障措施 \f A \l 1 </w:instrText>
      </w:r>
      <w:r>
        <w:rPr>
          <w:rFonts w:hint="eastAsia" w:ascii="方正黑体_GBK" w:hAnsi="方正黑体_GBK" w:eastAsia="方正黑体_GBK" w:cs="方正黑体_GBK"/>
          <w:b w:val="0"/>
          <w:sz w:val="28"/>
          <w:u w:val="none"/>
          <w:lang w:eastAsia="zh-CN"/>
        </w:rPr>
        <w:fldChar w:fldCharType="end"/>
      </w:r>
      <w:bookmarkEnd w:id="4"/>
      <w:bookmarkEnd w:id="5"/>
    </w:p>
    <w:p>
      <w:pPr>
        <w:spacing w:line="500" w:lineRule="exact"/>
        <w:ind w:firstLine="640" w:firstLineChars="200"/>
        <w:jc w:val="left"/>
        <w:outlineLvl w:val="9"/>
        <w:rPr>
          <w:rFonts w:hint="eastAsia" w:ascii="仿宋" w:hAnsi="仿宋" w:eastAsia="仿宋" w:cs="宋体"/>
          <w:kern w:val="0"/>
          <w:sz w:val="32"/>
          <w:szCs w:val="32"/>
        </w:rPr>
      </w:pPr>
      <w:r>
        <w:rPr>
          <w:rFonts w:hint="eastAsia" w:ascii="仿宋" w:hAnsi="仿宋" w:eastAsia="仿宋" w:cs="宋体"/>
          <w:kern w:val="0"/>
          <w:sz w:val="32"/>
          <w:szCs w:val="32"/>
        </w:rPr>
        <w:t>一、全力以赴保增长。按照“以旬保月、以月保季、以季保年”要求，科学筹划，全力推动收入目标完成。充分发挥综合治税作用，以优化环境、促进市场公平为着眼点，积极开展专项税收清理；强化对重点税源行业、企业的监控，优化财政收入结构，确保应收尽收，尤其是一般公共预算收入，切实增加地方可用财力。具体到当前，要加强与国、地税沟通联系，创新思路，主动作为，扎实开展组织收入工作，努力提高财政收入质量，确保完成全年收入目标任务。</w:t>
      </w:r>
    </w:p>
    <w:p>
      <w:pPr>
        <w:spacing w:line="500" w:lineRule="exact"/>
        <w:ind w:firstLine="640" w:firstLineChars="200"/>
        <w:jc w:val="left"/>
        <w:outlineLvl w:val="9"/>
        <w:rPr>
          <w:rFonts w:hint="eastAsia" w:ascii="仿宋" w:hAnsi="仿宋" w:eastAsia="仿宋" w:cs="宋体"/>
          <w:kern w:val="0"/>
          <w:sz w:val="32"/>
          <w:szCs w:val="32"/>
        </w:rPr>
      </w:pPr>
      <w:r>
        <w:rPr>
          <w:rFonts w:hint="eastAsia" w:ascii="仿宋" w:hAnsi="仿宋" w:eastAsia="仿宋" w:cs="宋体"/>
          <w:kern w:val="0"/>
          <w:sz w:val="32"/>
          <w:szCs w:val="32"/>
        </w:rPr>
        <w:t>二、抢抓机遇争支持。抓住京津冀协同发展历史机遇，加强部门协调配合，谋划承接平台和抓手，积极争取上级政策、资金支持。在政府债务限额内，积极争取上级增加我市政府债券规模，为发展腾挪空间。置换债券用于到期高息债务，缓解即期偿债压力，降低资金使用成本；新增债券用于重点民生项目建设，支持地方经济发展。同时，主动与国家开发银行、农业发展银行等政策性银行加强联系，解放思想，创新手段，争取其在新型城镇化、美丽乡村、产业结构调整、大气污染治理、脱贫攻坚等方面给予我市融资支持。</w:t>
      </w:r>
    </w:p>
    <w:p>
      <w:pPr>
        <w:spacing w:line="500" w:lineRule="exact"/>
        <w:ind w:firstLine="640" w:firstLineChars="200"/>
        <w:jc w:val="left"/>
        <w:outlineLvl w:val="9"/>
        <w:rPr>
          <w:rFonts w:hint="eastAsia" w:ascii="仿宋" w:hAnsi="仿宋" w:eastAsia="仿宋" w:cs="宋体"/>
          <w:kern w:val="0"/>
          <w:sz w:val="32"/>
          <w:szCs w:val="32"/>
        </w:rPr>
      </w:pPr>
      <w:r>
        <w:rPr>
          <w:rFonts w:hint="eastAsia" w:ascii="仿宋" w:hAnsi="仿宋" w:eastAsia="仿宋" w:cs="宋体"/>
          <w:kern w:val="0"/>
          <w:sz w:val="32"/>
          <w:szCs w:val="32"/>
        </w:rPr>
        <w:t>三、改革创新引资金。树立新发展理念，充分用好政策、资金等财政工具，创新制度、机制、技术等管理方式，释放改革红利，激发发展动力。围绕推进新型城镇化建设和提高公共服务水平，在大沙河综合治理、城市地下管网等公共基础设施建设运营领域推广运用PPP模式，调动民间资本及金融机构参与地方经济发展的积极性。创新财政资金投入方式，通过股权投资引导基金、撬动金融保险资本等方式，变直接投入为间接投入、变无偿投入为引导撬动，放大财政资金作用，支持产业结构升级和企业技术创新，涵养财源，做大做强财政“蛋糕”。</w:t>
      </w:r>
    </w:p>
    <w:p>
      <w:pPr>
        <w:spacing w:line="500" w:lineRule="exact"/>
        <w:ind w:firstLine="640" w:firstLineChars="200"/>
        <w:jc w:val="left"/>
        <w:outlineLvl w:val="9"/>
        <w:rPr>
          <w:rFonts w:hint="eastAsia" w:ascii="仿宋" w:hAnsi="仿宋" w:eastAsia="仿宋" w:cs="宋体"/>
          <w:kern w:val="0"/>
          <w:sz w:val="32"/>
          <w:szCs w:val="32"/>
        </w:rPr>
      </w:pPr>
      <w:r>
        <w:rPr>
          <w:rFonts w:hint="eastAsia" w:ascii="仿宋" w:hAnsi="仿宋" w:eastAsia="仿宋" w:cs="宋体"/>
          <w:kern w:val="0"/>
          <w:sz w:val="32"/>
          <w:szCs w:val="32"/>
        </w:rPr>
        <w:t>四、盘活资产求效益。创新国有资产管理，在实现国有资产保值、增值的基础上，最大程度地发挥国有资产在融资担保方面的效用。在摸清行政事业单位资产底数的基础上，对行政事业单位资产实行统一管理、优化配置、合理整合，切实降低行政成本。对于闲置的土地、房屋建筑物等资产，依据国有资产管理办法，按照程序通过出租、出让、拍卖等方式实施盘活、变现，处置收入全部上缴国库，缓解财政压力。同时，按照盘活财政存量资金的有关规定，对于执行进度较慢的项目预算，以及未按规定及时分解下达或者闲置沉淀的财政资金，及时收回统筹用于经济社会发展急需资金支持的领域，充分发挥存量资金效益。</w:t>
      </w:r>
    </w:p>
    <w:p>
      <w:pPr>
        <w:spacing w:line="500" w:lineRule="exact"/>
        <w:ind w:firstLine="640" w:firstLineChars="200"/>
        <w:jc w:val="left"/>
        <w:outlineLvl w:val="9"/>
        <w:rPr>
          <w:rFonts w:hint="eastAsia" w:ascii="仿宋" w:hAnsi="仿宋" w:eastAsia="仿宋" w:cs="宋体"/>
          <w:kern w:val="0"/>
          <w:sz w:val="32"/>
          <w:szCs w:val="32"/>
          <w:lang w:eastAsia="zh-CN"/>
        </w:rPr>
        <w:sectPr>
          <w:footerReference r:id="rId3" w:type="default"/>
          <w:pgSz w:w="11906" w:h="16838"/>
          <w:pgMar w:top="1984" w:right="1304" w:bottom="1134" w:left="1304" w:header="851" w:footer="992" w:gutter="0"/>
          <w:pgNumType w:start="1"/>
          <w:cols w:space="720" w:num="1"/>
          <w:docGrid w:type="lines" w:linePitch="312" w:charSpace="0"/>
        </w:sectPr>
      </w:pPr>
      <w:r>
        <w:rPr>
          <w:rFonts w:hint="eastAsia" w:ascii="仿宋" w:hAnsi="仿宋" w:eastAsia="仿宋" w:cs="宋体"/>
          <w:kern w:val="0"/>
          <w:sz w:val="32"/>
          <w:szCs w:val="32"/>
        </w:rPr>
        <w:t>五、严控支出保平衡。认真贯彻落实中央八项规定，继续牢固树立“过紧日子”的思想，按照“保工资、保民生、保运转、控一般”的原则，严格控制会议费、差旅费、“三公”经费等一般性支出，切实降低行政运行成本，统筹调度资金，全力保障公教人员工资按时足额发放、机关事业单位正常运转和各项社会事业发展需要。进一步加大非税收入调控力度，行政事业性收费和罚没收入超出年初预算安排部分，一律用于平衡预算，确保全市预算收支平衡</w:t>
      </w:r>
      <w:r>
        <w:rPr>
          <w:rFonts w:hint="eastAsia" w:ascii="仿宋" w:hAnsi="仿宋" w:eastAsia="仿宋" w:cs="宋体"/>
          <w:kern w:val="0"/>
          <w:sz w:val="32"/>
          <w:szCs w:val="32"/>
          <w:lang w:eastAsia="zh-CN"/>
        </w:rPr>
        <w:t>。</w:t>
      </w:r>
    </w:p>
    <w:p>
      <w:pPr>
        <w:jc w:val="left"/>
        <w:outlineLvl w:val="1"/>
        <w:rPr>
          <w:rFonts w:hint="eastAsia" w:ascii="方正仿宋_GBK" w:hAnsi="方正仿宋_GBK" w:eastAsia="方正仿宋_GBK" w:cs="方正仿宋_GBK"/>
          <w:b/>
          <w:sz w:val="28"/>
          <w:u w:val="none"/>
          <w:lang w:eastAsia="zh-CN"/>
        </w:rPr>
      </w:pPr>
      <w:r>
        <w:rPr>
          <w:rFonts w:hint="eastAsia" w:ascii="方正仿宋_GBK" w:hAnsi="方正仿宋_GBK" w:eastAsia="方正仿宋_GBK" w:cs="方正仿宋_GBK"/>
          <w:b/>
          <w:sz w:val="28"/>
          <w:u w:val="none"/>
          <w:lang w:eastAsia="zh-CN"/>
        </w:rPr>
        <w:t>第二部分 预算项目绩效目标</w:t>
      </w:r>
    </w:p>
    <w:p>
      <w:pPr>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1、财政工作经费绩效目标表</w:t>
      </w:r>
      <w:bookmarkStart w:id="6" w:name="_Toc20724"/>
      <w:r>
        <w:fldChar w:fldCharType="begin"/>
      </w:r>
      <w:r>
        <w:rPr>
          <w:rFonts w:hint="eastAsia" w:ascii="方正仿宋_GBK" w:hAnsi="方正仿宋_GBK" w:eastAsia="方正仿宋_GBK" w:cs="方正仿宋_GBK"/>
          <w:b/>
          <w:sz w:val="28"/>
          <w:u w:val="none"/>
          <w:lang w:eastAsia="zh-CN"/>
        </w:rPr>
        <w:instrText xml:space="preserve"> TC 1、财政工作经费绩效目标表 \f C \l 1 </w:instrText>
      </w:r>
      <w:r>
        <w:rPr>
          <w:rFonts w:hint="eastAsia" w:ascii="方正仿宋_GBK" w:hAnsi="方正仿宋_GBK" w:eastAsia="方正仿宋_GBK" w:cs="方正仿宋_GBK"/>
          <w:b/>
          <w:sz w:val="28"/>
          <w:u w:val="none"/>
          <w:lang w:eastAsia="zh-CN"/>
        </w:rPr>
        <w:fldChar w:fldCharType="end"/>
      </w:r>
      <w:bookmarkEnd w:id="6"/>
    </w:p>
    <w:tbl>
      <w:tblPr>
        <w:tblStyle w:val="6"/>
        <w:tblW w:w="93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4"/>
        <w:gridCol w:w="1585"/>
        <w:gridCol w:w="1302"/>
        <w:gridCol w:w="1276"/>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3" w:hRule="atLeast"/>
          <w:jc w:val="center"/>
        </w:trPr>
        <w:tc>
          <w:tcPr>
            <w:tcW w:w="7701"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126002沙河市财政局</w:t>
            </w:r>
          </w:p>
        </w:tc>
        <w:tc>
          <w:tcPr>
            <w:tcW w:w="1698"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7" w:hRule="atLeast"/>
          <w:jc w:val="center"/>
        </w:trPr>
        <w:tc>
          <w:tcPr>
            <w:tcW w:w="113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06" w:type="dxa"/>
            <w:gridSpan w:val="2"/>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126-0601-YXN-YYE1</w:t>
            </w:r>
          </w:p>
        </w:tc>
        <w:tc>
          <w:tcPr>
            <w:tcW w:w="1585"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76"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财政工作经费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jc w:val="center"/>
        </w:trPr>
        <w:tc>
          <w:tcPr>
            <w:tcW w:w="1132"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585"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698"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2" w:hRule="atLeast"/>
          <w:jc w:val="center"/>
        </w:trPr>
        <w:tc>
          <w:tcPr>
            <w:tcW w:w="1132"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67"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满足财政各项工作需求，保障财政工作更好地开展，为我市经济建设做贡献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7" w:hRule="atLeast"/>
          <w:jc w:val="center"/>
        </w:trPr>
        <w:tc>
          <w:tcPr>
            <w:tcW w:w="1132"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06"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5"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4"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7" w:hRule="atLeast"/>
          <w:jc w:val="center"/>
        </w:trPr>
        <w:tc>
          <w:tcPr>
            <w:tcW w:w="1132"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06"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5"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30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75.00</w:t>
            </w:r>
          </w:p>
        </w:tc>
        <w:tc>
          <w:tcPr>
            <w:tcW w:w="2974"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63" w:hRule="atLeast"/>
          <w:jc w:val="center"/>
        </w:trPr>
        <w:tc>
          <w:tcPr>
            <w:tcW w:w="1132" w:type="dxa"/>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67" w:type="dxa"/>
            <w:gridSpan w:val="6"/>
            <w:tcBorders>
              <w:bottom w:val="nil"/>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1、完成年初安排的各项财政工作</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2、实现财政业务全流程电子化，确保日常运行与维护管理，以及必要的升级改造。</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3、为财政各项工作顺利开展提供有利保障</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6"/>
        <w:tblW w:w="937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0"/>
        <w:gridCol w:w="1130"/>
        <w:gridCol w:w="1271"/>
        <w:gridCol w:w="2881"/>
        <w:gridCol w:w="1271"/>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1" w:hRule="atLeast"/>
          <w:tblHeader/>
          <w:jc w:val="center"/>
        </w:trPr>
        <w:tc>
          <w:tcPr>
            <w:tcW w:w="113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8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695"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91" w:hRule="atLeast"/>
          <w:jc w:val="center"/>
        </w:trPr>
        <w:tc>
          <w:tcPr>
            <w:tcW w:w="1130"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0"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综合业务管理工作完成率%</w:t>
            </w:r>
          </w:p>
        </w:tc>
        <w:tc>
          <w:tcPr>
            <w:tcW w:w="288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综合业务管理工作完成率</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695"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91" w:hRule="atLeast"/>
          <w:jc w:val="center"/>
        </w:trPr>
        <w:tc>
          <w:tcPr>
            <w:tcW w:w="1130"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0"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上报建议、意见数量（条）</w:t>
            </w:r>
          </w:p>
        </w:tc>
        <w:tc>
          <w:tcPr>
            <w:tcW w:w="288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上报建议和意见的数量</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≥20</w:t>
            </w:r>
          </w:p>
        </w:tc>
        <w:tc>
          <w:tcPr>
            <w:tcW w:w="1695"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99" w:hRule="atLeast"/>
          <w:jc w:val="center"/>
        </w:trPr>
        <w:tc>
          <w:tcPr>
            <w:tcW w:w="1130"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0"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硬件软件维护数量</w:t>
            </w:r>
          </w:p>
        </w:tc>
        <w:tc>
          <w:tcPr>
            <w:tcW w:w="288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当年维护硬件软件的数量</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c>
          <w:tcPr>
            <w:tcW w:w="1695"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99" w:hRule="atLeast"/>
          <w:jc w:val="center"/>
        </w:trPr>
        <w:tc>
          <w:tcPr>
            <w:tcW w:w="113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0"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意见采纳率</w:t>
            </w:r>
          </w:p>
        </w:tc>
        <w:tc>
          <w:tcPr>
            <w:tcW w:w="288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被采纳的意见建议数量占总数量的比率</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695"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05" w:hRule="atLeast"/>
          <w:jc w:val="center"/>
        </w:trPr>
        <w:tc>
          <w:tcPr>
            <w:tcW w:w="113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0"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w:t>
            </w:r>
          </w:p>
        </w:tc>
        <w:tc>
          <w:tcPr>
            <w:tcW w:w="288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调查中满意和较满意的人数占总调查人数的比率</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695"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调查问卷</w:t>
            </w:r>
          </w:p>
        </w:tc>
      </w:tr>
    </w:tbl>
    <w:p>
      <w:pPr>
        <w:spacing w:line="300" w:lineRule="exact"/>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2、财政业务经费绩效目标表</w:t>
      </w:r>
      <w:bookmarkStart w:id="7" w:name="_Toc13268"/>
      <w:r>
        <w:fldChar w:fldCharType="begin"/>
      </w:r>
      <w:r>
        <w:rPr>
          <w:rFonts w:hint="eastAsia" w:ascii="方正仿宋_GBK" w:hAnsi="方正仿宋_GBK" w:eastAsia="方正仿宋_GBK" w:cs="方正仿宋_GBK"/>
          <w:b/>
          <w:sz w:val="28"/>
          <w:u w:val="none"/>
          <w:lang w:eastAsia="zh-CN"/>
        </w:rPr>
        <w:instrText xml:space="preserve"> TC 2、财政业务经费绩效目标表 \f C \l 1 </w:instrText>
      </w:r>
      <w:r>
        <w:rPr>
          <w:rFonts w:hint="eastAsia" w:ascii="方正仿宋_GBK" w:hAnsi="方正仿宋_GBK" w:eastAsia="方正仿宋_GBK" w:cs="方正仿宋_GBK"/>
          <w:b/>
          <w:sz w:val="28"/>
          <w:u w:val="none"/>
          <w:lang w:eastAsia="zh-CN"/>
        </w:rPr>
        <w:fldChar w:fldCharType="end"/>
      </w:r>
      <w:bookmarkEnd w:id="7"/>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126002沙河市财政局</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126-0601-YXN-A73R</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财政业务经费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确保财政各项业务顺利开展</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全面实施项目绩效评价，制定全年预算单位绩效评价报告，确保完成我市项目绩效评价全覆盖。</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保障单位各类帐表、凭证等的及时印刷，为财政工作保驾护航。</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统筹组织全市各类财政专项监督检查</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确保财政各项业务顺利开展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75.00</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1、对项目进行全面绩效评价，确保财政资金使用效益。</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2、完成全年各项财政监督检查工作</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3、完成全年帐表凭证的印刷工作</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完成全年帐表凭证印刷等各项业务工作</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6"/>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绩效评价次数</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组织开展绩效评价的次数</w:t>
            </w:r>
          </w:p>
        </w:tc>
        <w:tc>
          <w:tcPr>
            <w:tcW w:w="1276" w:type="dxa"/>
            <w:noWrap w:val="0"/>
            <w:vAlign w:val="center"/>
          </w:tcPr>
          <w:p>
            <w:pPr>
              <w:spacing w:line="300" w:lineRule="exact"/>
              <w:jc w:val="left"/>
              <w:outlineLvl w:val="9"/>
              <w:rPr>
                <w:rFonts w:hint="eastAsia" w:ascii="方正书宋_GBK" w:hAnsi="方正书宋_GBK" w:eastAsia="方正书宋_GBK" w:cs="方正书宋_GBK"/>
                <w:b/>
                <w:color w:val="auto"/>
                <w:sz w:val="21"/>
                <w:highlight w:val="none"/>
                <w:u w:val="none"/>
                <w:shd w:val="clear" w:color="FFFFFF" w:fill="D9D9D9"/>
                <w:vertAlign w:val="baseline"/>
                <w:lang w:eastAsia="zh-CN"/>
              </w:rPr>
            </w:pPr>
            <w:r>
              <w:rPr>
                <w:rFonts w:hint="eastAsia" w:ascii="方正书宋_GBK" w:hAnsi="方正书宋_GBK" w:eastAsia="方正书宋_GBK" w:cs="方正书宋_GBK"/>
                <w:b/>
                <w:color w:val="auto"/>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color w:val="auto"/>
                <w:sz w:val="21"/>
                <w:u w:val="none"/>
                <w:vertAlign w:val="baseline"/>
                <w:lang w:eastAsia="zh-CN"/>
              </w:rPr>
            </w:pPr>
            <w:r>
              <w:rPr>
                <w:rFonts w:hint="eastAsia" w:ascii="方正书宋_GBK" w:hAnsi="方正书宋_GBK" w:eastAsia="方正书宋_GBK" w:cs="方正书宋_GBK"/>
                <w:b/>
                <w:color w:val="auto"/>
                <w:sz w:val="21"/>
                <w:u w:val="none"/>
                <w:vertAlign w:val="baseline"/>
                <w:lang w:eastAsia="zh-CN"/>
              </w:rP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成本指标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帐表凭证印刷完成率</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已印刷帐表占所需印刷帐表比率</w:t>
            </w:r>
          </w:p>
        </w:tc>
        <w:tc>
          <w:tcPr>
            <w:tcW w:w="1276" w:type="dxa"/>
            <w:noWrap w:val="0"/>
            <w:vAlign w:val="center"/>
          </w:tcPr>
          <w:p>
            <w:pPr>
              <w:spacing w:line="300" w:lineRule="exact"/>
              <w:jc w:val="left"/>
              <w:outlineLvl w:val="9"/>
              <w:rPr>
                <w:rFonts w:hint="eastAsia" w:ascii="方正书宋_GBK" w:hAnsi="方正书宋_GBK" w:eastAsia="方正书宋_GBK" w:cs="方正书宋_GBK"/>
                <w:b/>
                <w:color w:val="auto"/>
                <w:sz w:val="21"/>
                <w:highlight w:val="none"/>
                <w:u w:val="none"/>
                <w:shd w:val="clear" w:color="FFFFFF" w:fill="D9D9D9"/>
                <w:vertAlign w:val="baseline"/>
                <w:lang w:eastAsia="zh-CN"/>
              </w:rPr>
            </w:pPr>
            <w:r>
              <w:rPr>
                <w:rFonts w:hint="eastAsia" w:ascii="方正书宋_GBK" w:hAnsi="方正书宋_GBK" w:eastAsia="方正书宋_GBK" w:cs="方正书宋_GBK"/>
                <w:b/>
                <w:color w:val="auto"/>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color w:val="auto"/>
                <w:sz w:val="21"/>
                <w:u w:val="none"/>
                <w:vertAlign w:val="baseline"/>
                <w:lang w:eastAsia="zh-CN"/>
              </w:rPr>
            </w:pPr>
            <w:r>
              <w:rPr>
                <w:rFonts w:hint="eastAsia" w:ascii="方正书宋_GBK" w:hAnsi="方正书宋_GBK" w:eastAsia="方正书宋_GBK" w:cs="方正书宋_GBK"/>
                <w:b/>
                <w:color w:val="auto"/>
                <w:sz w:val="21"/>
                <w:u w:val="none"/>
                <w:vertAlign w:val="baseline"/>
                <w:lang w:eastAsia="zh-CN"/>
              </w:rP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检查工作次数</w:t>
            </w: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组织全市各类财政专项监督检查次数</w:t>
            </w:r>
          </w:p>
        </w:tc>
        <w:tc>
          <w:tcPr>
            <w:tcW w:w="1276" w:type="dxa"/>
            <w:noWrap w:val="0"/>
            <w:vAlign w:val="center"/>
          </w:tcPr>
          <w:p>
            <w:pPr>
              <w:spacing w:line="300" w:lineRule="exact"/>
              <w:jc w:val="left"/>
              <w:outlineLvl w:val="9"/>
              <w:rPr>
                <w:rFonts w:hint="eastAsia" w:ascii="方正书宋_GBK" w:hAnsi="方正书宋_GBK" w:eastAsia="方正书宋_GBK" w:cs="方正书宋_GBK"/>
                <w:b/>
                <w:color w:val="auto"/>
                <w:sz w:val="21"/>
                <w:highlight w:val="none"/>
                <w:u w:val="none"/>
                <w:shd w:val="clear" w:color="FFFFFF" w:fill="D9D9D9"/>
                <w:vertAlign w:val="baseline"/>
                <w:lang w:eastAsia="zh-CN"/>
              </w:rPr>
            </w:pPr>
            <w:r>
              <w:rPr>
                <w:rFonts w:hint="eastAsia" w:ascii="方正书宋_GBK" w:hAnsi="方正书宋_GBK" w:eastAsia="方正书宋_GBK" w:cs="方正书宋_GBK"/>
                <w:b/>
                <w:color w:val="auto"/>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color w:val="auto"/>
                <w:sz w:val="21"/>
                <w:u w:val="none"/>
                <w:vertAlign w:val="baseline"/>
                <w:lang w:eastAsia="zh-CN"/>
              </w:rPr>
            </w:pPr>
            <w:r>
              <w:rPr>
                <w:rFonts w:hint="eastAsia" w:ascii="方正书宋_GBK" w:hAnsi="方正书宋_GBK" w:eastAsia="方正书宋_GBK" w:cs="方正书宋_GBK"/>
                <w:b/>
                <w:color w:val="auto"/>
                <w:sz w:val="21"/>
                <w:u w:val="none"/>
                <w:vertAlign w:val="baseline"/>
                <w:lang w:eastAsia="zh-CN"/>
              </w:rP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评价单位占总评价单位的比率</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调查人员满意度的人数占总调查人数的比率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c>
          <w:tcPr>
            <w:tcW w:w="289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服务对象满意度好评</w:t>
            </w:r>
          </w:p>
        </w:tc>
        <w:tc>
          <w:tcPr>
            <w:tcW w:w="127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bl>
    <w:p>
      <w:pPr>
        <w:widowControl/>
        <w:spacing w:line="610" w:lineRule="atLeast"/>
        <w:jc w:val="left"/>
        <w:rPr>
          <w:rFonts w:ascii="黑体" w:hAnsi="黑体" w:eastAsia="黑体" w:cs="Times New Roman"/>
          <w:sz w:val="32"/>
          <w:szCs w:val="32"/>
        </w:rPr>
      </w:pPr>
      <w:r>
        <w:rPr>
          <w:rFonts w:hint="eastAsia" w:ascii="黑体" w:hAnsi="黑体" w:eastAsia="黑体" w:cs="Times New Roman"/>
          <w:sz w:val="32"/>
          <w:szCs w:val="32"/>
        </w:rPr>
        <w:t xml:space="preserve">    六、政府采购预算情况</w:t>
      </w:r>
    </w:p>
    <w:p>
      <w:pPr>
        <w:widowControl/>
        <w:spacing w:line="610" w:lineRule="atLeast"/>
        <w:ind w:left="640" w:firstLine="800" w:firstLineChars="250"/>
        <w:jc w:val="left"/>
        <w:rPr>
          <w:rFonts w:ascii="仿宋" w:hAnsi="仿宋" w:eastAsia="仿宋" w:cs="宋体"/>
          <w:kern w:val="0"/>
          <w:sz w:val="24"/>
          <w:szCs w:val="24"/>
        </w:rPr>
      </w:pPr>
      <w:r>
        <w:rPr>
          <w:rFonts w:hint="eastAsia" w:ascii="仿宋" w:hAnsi="仿宋" w:eastAsia="仿宋" w:cs="宋体"/>
          <w:kern w:val="0"/>
          <w:sz w:val="32"/>
          <w:szCs w:val="32"/>
          <w:lang w:eastAsia="zh-CN"/>
        </w:rPr>
        <w:t>2020</w:t>
      </w:r>
      <w:r>
        <w:rPr>
          <w:rFonts w:hint="eastAsia" w:ascii="仿宋" w:hAnsi="仿宋" w:eastAsia="仿宋" w:cs="宋体"/>
          <w:kern w:val="0"/>
          <w:sz w:val="32"/>
          <w:szCs w:val="32"/>
        </w:rPr>
        <w:t>年，我部门未安排政府采购预算。</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 xml:space="preserve">    七、国有资产信息</w:t>
      </w:r>
    </w:p>
    <w:p>
      <w:pPr>
        <w:widowControl/>
        <w:spacing w:line="610" w:lineRule="atLeast"/>
        <w:ind w:firstLine="1280" w:firstLineChars="400"/>
        <w:jc w:val="left"/>
        <w:rPr>
          <w:rFonts w:ascii="仿宋" w:hAnsi="仿宋" w:eastAsia="仿宋" w:cs="宋体"/>
          <w:kern w:val="0"/>
          <w:sz w:val="32"/>
          <w:szCs w:val="32"/>
        </w:rPr>
      </w:pPr>
      <w:r>
        <w:rPr>
          <w:rFonts w:hint="eastAsia" w:ascii="仿宋" w:hAnsi="仿宋" w:eastAsia="仿宋" w:cs="宋体"/>
          <w:kern w:val="0"/>
          <w:sz w:val="32"/>
          <w:szCs w:val="32"/>
        </w:rPr>
        <w:t>沙河市财政局上年末固定资产金额为19</w:t>
      </w:r>
      <w:r>
        <w:rPr>
          <w:rFonts w:hint="eastAsia" w:ascii="仿宋" w:hAnsi="仿宋" w:eastAsia="仿宋" w:cs="宋体"/>
          <w:kern w:val="0"/>
          <w:sz w:val="32"/>
          <w:szCs w:val="32"/>
          <w:lang w:val="en-US" w:eastAsia="zh-CN"/>
        </w:rPr>
        <w:t>2.6</w:t>
      </w:r>
      <w:r>
        <w:rPr>
          <w:rFonts w:hint="eastAsia" w:ascii="仿宋" w:hAnsi="仿宋" w:eastAsia="仿宋" w:cs="宋体"/>
          <w:kern w:val="0"/>
          <w:sz w:val="32"/>
          <w:szCs w:val="32"/>
        </w:rPr>
        <w:t>万元，本年度无拟购置固定资产。</w:t>
      </w:r>
    </w:p>
    <w:tbl>
      <w:tblPr>
        <w:tblStyle w:val="6"/>
        <w:tblW w:w="13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
        <w:gridCol w:w="742"/>
        <w:gridCol w:w="2057"/>
        <w:gridCol w:w="94"/>
        <w:gridCol w:w="742"/>
        <w:gridCol w:w="169"/>
        <w:gridCol w:w="573"/>
        <w:gridCol w:w="2057"/>
        <w:gridCol w:w="216"/>
        <w:gridCol w:w="479"/>
        <w:gridCol w:w="310"/>
        <w:gridCol w:w="568"/>
        <w:gridCol w:w="1311"/>
        <w:gridCol w:w="967"/>
        <w:gridCol w:w="479"/>
        <w:gridCol w:w="2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3635"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74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3062" w:type="dxa"/>
            <w:gridSpan w:val="4"/>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44"/>
                <w:szCs w:val="44"/>
              </w:rPr>
              <w:t>资产情况表</w:t>
            </w:r>
          </w:p>
        </w:tc>
        <w:tc>
          <w:tcPr>
            <w:tcW w:w="2846"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47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89"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635"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74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05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05"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2846"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47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89" w:type="dxa"/>
            <w:tcBorders>
              <w:top w:val="nil"/>
              <w:left w:val="nil"/>
              <w:bottom w:val="nil"/>
              <w:right w:val="nil"/>
            </w:tcBorders>
            <w:vAlign w:val="bottom"/>
          </w:tcPr>
          <w:p>
            <w:pPr>
              <w:widowControl/>
              <w:ind w:right="480"/>
              <w:jc w:val="center"/>
              <w:rPr>
                <w:rFonts w:ascii="宋体" w:hAnsi="宋体" w:cs="Arial"/>
                <w:color w:val="000000"/>
                <w:kern w:val="0"/>
                <w:sz w:val="24"/>
                <w:szCs w:val="24"/>
              </w:rPr>
            </w:pPr>
            <w:r>
              <w:rPr>
                <w:rFonts w:hint="eastAsia" w:ascii="宋体" w:hAnsi="宋体" w:cs="Arial"/>
                <w:color w:val="000000"/>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3635" w:type="dxa"/>
          <w:trHeight w:val="300" w:hRule="atLeast"/>
        </w:trPr>
        <w:tc>
          <w:tcPr>
            <w:tcW w:w="74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4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057" w:type="dxa"/>
            <w:tcBorders>
              <w:top w:val="nil"/>
              <w:left w:val="nil"/>
              <w:bottom w:val="nil"/>
              <w:right w:val="nil"/>
            </w:tcBorders>
            <w:vAlign w:val="bottom"/>
          </w:tcPr>
          <w:p>
            <w:pPr>
              <w:widowControl/>
              <w:jc w:val="center"/>
              <w:rPr>
                <w:rFonts w:ascii="宋体" w:hAnsi="宋体" w:cs="Arial"/>
                <w:color w:val="000000"/>
                <w:kern w:val="0"/>
                <w:sz w:val="24"/>
                <w:szCs w:val="24"/>
              </w:rPr>
            </w:pPr>
          </w:p>
        </w:tc>
        <w:tc>
          <w:tcPr>
            <w:tcW w:w="1005"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2846"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47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89" w:type="dxa"/>
            <w:gridSpan w:val="3"/>
            <w:tcBorders>
              <w:top w:val="nil"/>
              <w:left w:val="nil"/>
              <w:bottom w:val="nil"/>
              <w:right w:val="nil"/>
            </w:tcBorders>
            <w:vAlign w:val="bottom"/>
          </w:tcPr>
          <w:p>
            <w:pPr>
              <w:widowControl/>
              <w:ind w:right="240"/>
              <w:jc w:val="right"/>
              <w:rPr>
                <w:rFonts w:ascii="宋体" w:hAnsi="宋体" w:cs="Arial"/>
                <w:color w:val="000000"/>
                <w:kern w:val="0"/>
                <w:sz w:val="24"/>
                <w:szCs w:val="24"/>
              </w:rPr>
            </w:pPr>
            <w:r>
              <w:rPr>
                <w:rFonts w:hint="eastAsia" w:ascii="宋体" w:hAnsi="宋体" w:cs="Arial"/>
                <w:color w:val="000000"/>
                <w:kern w:val="0"/>
                <w:sz w:val="24"/>
                <w:szCs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3635" w:type="dxa"/>
            <w:gridSpan w:val="4"/>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　　目</w:t>
            </w:r>
          </w:p>
        </w:tc>
        <w:tc>
          <w:tcPr>
            <w:tcW w:w="1484"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数量</w:t>
            </w:r>
          </w:p>
        </w:tc>
        <w:tc>
          <w:tcPr>
            <w:tcW w:w="3630" w:type="dxa"/>
            <w:gridSpan w:val="5"/>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价值</w:t>
            </w:r>
          </w:p>
        </w:tc>
        <w:tc>
          <w:tcPr>
            <w:tcW w:w="4946" w:type="dxa"/>
            <w:gridSpan w:val="4"/>
            <w:vMerge w:val="restart"/>
            <w:tcBorders>
              <w:top w:val="single" w:color="000000" w:sz="4" w:space="0"/>
              <w:left w:val="nil"/>
              <w:bottom w:val="single" w:color="000000" w:sz="4" w:space="0"/>
              <w:right w:val="single" w:color="000000" w:sz="8"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补充资料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74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年初数</w:t>
            </w:r>
          </w:p>
        </w:tc>
        <w:tc>
          <w:tcPr>
            <w:tcW w:w="74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年末数</w:t>
            </w:r>
          </w:p>
        </w:tc>
        <w:tc>
          <w:tcPr>
            <w:tcW w:w="205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年初数</w:t>
            </w:r>
          </w:p>
        </w:tc>
        <w:tc>
          <w:tcPr>
            <w:tcW w:w="1573"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年末数</w:t>
            </w:r>
          </w:p>
        </w:tc>
        <w:tc>
          <w:tcPr>
            <w:tcW w:w="4946"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　　次</w:t>
            </w:r>
          </w:p>
        </w:tc>
        <w:tc>
          <w:tcPr>
            <w:tcW w:w="74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74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205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573"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2278"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　　次</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2189" w:type="dxa"/>
            <w:tcBorders>
              <w:top w:val="nil"/>
              <w:left w:val="nil"/>
              <w:bottom w:val="single" w:color="000000" w:sz="4" w:space="0"/>
              <w:right w:val="single" w:color="000000" w:sz="8"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资产总额</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3,566,813.18</w:t>
            </w:r>
          </w:p>
        </w:tc>
        <w:tc>
          <w:tcPr>
            <w:tcW w:w="15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1,947,680.23</w:t>
            </w:r>
          </w:p>
        </w:tc>
        <w:tc>
          <w:tcPr>
            <w:tcW w:w="2278"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一、本年坏账损失金额</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21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一、流动资产</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2"/>
                <w:lang w:val="en-US" w:eastAsia="zh-CN"/>
              </w:rPr>
            </w:pPr>
            <w:r>
              <w:rPr>
                <w:rFonts w:hint="eastAsia" w:ascii="宋体" w:hAnsi="宋体" w:cs="Arial"/>
                <w:color w:val="000000"/>
                <w:kern w:val="0"/>
                <w:sz w:val="22"/>
              </w:rPr>
              <w:t>21,996.45</w:t>
            </w:r>
            <w:r>
              <w:rPr>
                <w:rFonts w:hint="eastAsia" w:ascii="宋体" w:hAnsi="宋体" w:cs="Arial"/>
                <w:color w:val="000000"/>
                <w:kern w:val="0"/>
                <w:sz w:val="22"/>
                <w:lang w:val="en-US" w:eastAsia="zh-CN"/>
              </w:rPr>
              <w:t>.</w:t>
            </w:r>
          </w:p>
        </w:tc>
        <w:tc>
          <w:tcPr>
            <w:tcW w:w="15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21,996.45</w:t>
            </w:r>
          </w:p>
        </w:tc>
        <w:tc>
          <w:tcPr>
            <w:tcW w:w="2278"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二、危房面积（平方米）</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218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二、固定资产</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2"/>
                <w:lang w:val="en-US" w:eastAsia="zh-CN"/>
              </w:rPr>
            </w:pPr>
            <w:r>
              <w:rPr>
                <w:rFonts w:hint="eastAsia" w:ascii="宋体" w:hAnsi="宋体" w:cs="Arial"/>
                <w:color w:val="000000"/>
                <w:kern w:val="0"/>
                <w:sz w:val="22"/>
              </w:rPr>
              <w:t>4,752,954.00</w:t>
            </w:r>
          </w:p>
        </w:tc>
        <w:tc>
          <w:tcPr>
            <w:tcW w:w="1573" w:type="dxa"/>
            <w:gridSpan w:val="4"/>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2"/>
                <w:lang w:val="en-US" w:eastAsia="zh-CN"/>
              </w:rPr>
            </w:pPr>
            <w:r>
              <w:rPr>
                <w:rFonts w:hint="eastAsia" w:ascii="宋体" w:hAnsi="宋体" w:cs="Arial"/>
                <w:color w:val="000000"/>
                <w:kern w:val="0"/>
                <w:sz w:val="22"/>
              </w:rPr>
              <w:t>1,925,682.78</w:t>
            </w:r>
          </w:p>
        </w:tc>
        <w:tc>
          <w:tcPr>
            <w:tcW w:w="2278"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（一）上年年末数</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21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（一）房屋（平方米）</w:t>
            </w:r>
          </w:p>
        </w:tc>
        <w:tc>
          <w:tcPr>
            <w:tcW w:w="7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3,605.00</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3,605.00</w:t>
            </w:r>
          </w:p>
        </w:tc>
        <w:tc>
          <w:tcPr>
            <w:tcW w:w="20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2,629,400.00</w:t>
            </w:r>
          </w:p>
        </w:tc>
        <w:tc>
          <w:tcPr>
            <w:tcW w:w="15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766,908.05</w:t>
            </w:r>
          </w:p>
        </w:tc>
        <w:tc>
          <w:tcPr>
            <w:tcW w:w="2278"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（二）本年增加数</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2189" w:type="dxa"/>
            <w:tcBorders>
              <w:top w:val="nil"/>
              <w:left w:val="nil"/>
              <w:bottom w:val="single" w:color="000000" w:sz="4" w:space="0"/>
              <w:right w:val="single" w:color="000000" w:sz="8" w:space="0"/>
            </w:tcBorders>
            <w:vAlign w:val="center"/>
          </w:tcPr>
          <w:p>
            <w:pPr>
              <w:widowControl/>
              <w:jc w:val="right"/>
              <w:rPr>
                <w:rFonts w:hint="eastAsia" w:ascii="宋体" w:hAnsi="宋体" w:cs="Arial"/>
                <w:color w:val="000000"/>
                <w:kern w:val="0"/>
                <w:sz w:val="22"/>
              </w:rPr>
            </w:pPr>
          </w:p>
          <w:p>
            <w:pPr>
              <w:widowControl/>
              <w:jc w:val="right"/>
              <w:rPr>
                <w:rFonts w:hint="eastAsia" w:ascii="宋体" w:hAnsi="宋体" w:cs="Arial"/>
                <w:color w:val="000000"/>
                <w:kern w:val="0"/>
                <w:sz w:val="22"/>
              </w:rPr>
            </w:pPr>
          </w:p>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1.办公用房</w:t>
            </w:r>
          </w:p>
        </w:tc>
        <w:tc>
          <w:tcPr>
            <w:tcW w:w="7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3,605.00</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3,605.00</w:t>
            </w:r>
          </w:p>
        </w:tc>
        <w:tc>
          <w:tcPr>
            <w:tcW w:w="2057"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2"/>
                <w:lang w:val="en-US" w:eastAsia="zh-CN"/>
              </w:rPr>
            </w:pPr>
            <w:r>
              <w:rPr>
                <w:rFonts w:hint="eastAsia" w:ascii="宋体" w:hAnsi="宋体" w:cs="Arial"/>
                <w:color w:val="000000"/>
                <w:kern w:val="0"/>
                <w:sz w:val="22"/>
              </w:rPr>
              <w:t>2,629,400</w:t>
            </w:r>
            <w:r>
              <w:rPr>
                <w:rFonts w:hint="eastAsia" w:ascii="宋体" w:hAnsi="宋体" w:cs="Arial"/>
                <w:color w:val="000000"/>
                <w:kern w:val="0"/>
                <w:sz w:val="22"/>
                <w:lang w:val="en-US" w:eastAsia="zh-CN"/>
              </w:rPr>
              <w:t>.00</w:t>
            </w:r>
          </w:p>
        </w:tc>
        <w:tc>
          <w:tcPr>
            <w:tcW w:w="15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766,908.05</w:t>
            </w:r>
          </w:p>
        </w:tc>
        <w:tc>
          <w:tcPr>
            <w:tcW w:w="2278"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（三）本年减少数</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21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2.业务用房</w:t>
            </w:r>
          </w:p>
        </w:tc>
        <w:tc>
          <w:tcPr>
            <w:tcW w:w="7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278"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其中：本年修复数</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21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3.其他（不含构筑物）</w:t>
            </w:r>
          </w:p>
        </w:tc>
        <w:tc>
          <w:tcPr>
            <w:tcW w:w="7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278"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（四）年末数</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21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（二）车辆（台、辆）</w:t>
            </w:r>
          </w:p>
        </w:tc>
        <w:tc>
          <w:tcPr>
            <w:tcW w:w="7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w:t>
            </w:r>
          </w:p>
        </w:tc>
        <w:tc>
          <w:tcPr>
            <w:tcW w:w="20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300,200.00</w:t>
            </w:r>
          </w:p>
        </w:tc>
        <w:tc>
          <w:tcPr>
            <w:tcW w:w="15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87,270.75</w:t>
            </w:r>
          </w:p>
        </w:tc>
        <w:tc>
          <w:tcPr>
            <w:tcW w:w="2278"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三、年末单位负担费用的供暖面积（平方米）</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21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3,605.00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1.轿车</w:t>
            </w:r>
          </w:p>
        </w:tc>
        <w:tc>
          <w:tcPr>
            <w:tcW w:w="7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w:t>
            </w:r>
          </w:p>
        </w:tc>
        <w:tc>
          <w:tcPr>
            <w:tcW w:w="20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300,200.00</w:t>
            </w:r>
          </w:p>
        </w:tc>
        <w:tc>
          <w:tcPr>
            <w:tcW w:w="15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87,270.75</w:t>
            </w:r>
          </w:p>
        </w:tc>
        <w:tc>
          <w:tcPr>
            <w:tcW w:w="2278"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四、年末单位出租出借房屋面积（平方米）</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21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2.越野车</w:t>
            </w:r>
          </w:p>
        </w:tc>
        <w:tc>
          <w:tcPr>
            <w:tcW w:w="7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w:t>
            </w:r>
          </w:p>
        </w:tc>
        <w:tc>
          <w:tcPr>
            <w:tcW w:w="20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278"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五、年末单位土地证证载面积（平方米）</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21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3,605.00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3.小型载客汽车</w:t>
            </w:r>
          </w:p>
        </w:tc>
        <w:tc>
          <w:tcPr>
            <w:tcW w:w="7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w:t>
            </w:r>
          </w:p>
        </w:tc>
        <w:tc>
          <w:tcPr>
            <w:tcW w:w="20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278"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六、年末单位车辆工作用途情况（台、辆）</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21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4.大中型载客汽车</w:t>
            </w:r>
          </w:p>
        </w:tc>
        <w:tc>
          <w:tcPr>
            <w:tcW w:w="7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w:t>
            </w:r>
          </w:p>
        </w:tc>
        <w:tc>
          <w:tcPr>
            <w:tcW w:w="20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278"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1.副部（省）级及以上领导用车</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21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5.其他车型</w:t>
            </w:r>
          </w:p>
        </w:tc>
        <w:tc>
          <w:tcPr>
            <w:tcW w:w="7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w:t>
            </w:r>
          </w:p>
        </w:tc>
        <w:tc>
          <w:tcPr>
            <w:tcW w:w="20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278"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2.一般公务用车</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21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（三）单价50万元（含）以上的通用设备（台、套…）</w:t>
            </w:r>
          </w:p>
        </w:tc>
        <w:tc>
          <w:tcPr>
            <w:tcW w:w="7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w:t>
            </w:r>
          </w:p>
        </w:tc>
        <w:tc>
          <w:tcPr>
            <w:tcW w:w="20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278"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3.一般执法执勤用车</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21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（四）单价100万元（含）以上的专用设备（台、套…）</w:t>
            </w:r>
          </w:p>
        </w:tc>
        <w:tc>
          <w:tcPr>
            <w:tcW w:w="74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w:t>
            </w:r>
          </w:p>
        </w:tc>
        <w:tc>
          <w:tcPr>
            <w:tcW w:w="20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278"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4.特种专业技术用车</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21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63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（五）其他固定资产</w:t>
            </w:r>
          </w:p>
        </w:tc>
        <w:tc>
          <w:tcPr>
            <w:tcW w:w="7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7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w:t>
            </w:r>
          </w:p>
        </w:tc>
        <w:tc>
          <w:tcPr>
            <w:tcW w:w="20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278"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5.其他用车</w:t>
            </w:r>
          </w:p>
        </w:tc>
        <w:tc>
          <w:tcPr>
            <w:tcW w:w="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2189"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w:t>
            </w:r>
          </w:p>
        </w:tc>
      </w:tr>
    </w:tbl>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Times New Roman" w:hAnsi="Times New Roman" w:eastAsia="仿宋" w:cs="Times New Roman"/>
          <w:sz w:val="32"/>
          <w:szCs w:val="32"/>
        </w:rPr>
      </w:pPr>
      <w:r>
        <w:rPr>
          <w:rFonts w:hint="eastAsia" w:ascii="黑体" w:hAnsi="黑体" w:eastAsia="黑体" w:cs="Times New Roman"/>
          <w:sz w:val="32"/>
          <w:szCs w:val="32"/>
        </w:rPr>
        <w:t xml:space="preserve">    八、名词解释</w:t>
      </w:r>
    </w:p>
    <w:p>
      <w:pPr>
        <w:widowControl/>
        <w:spacing w:line="610" w:lineRule="atLeast"/>
        <w:ind w:firstLine="803" w:firstLineChars="250"/>
        <w:jc w:val="left"/>
        <w:rPr>
          <w:rFonts w:ascii="仿宋" w:hAnsi="仿宋" w:eastAsia="仿宋" w:cs="宋体"/>
          <w:kern w:val="0"/>
          <w:sz w:val="24"/>
          <w:szCs w:val="24"/>
        </w:rPr>
      </w:pPr>
      <w:r>
        <w:rPr>
          <w:rFonts w:hint="eastAsia" w:ascii="仿宋" w:hAnsi="仿宋" w:eastAsia="仿宋" w:cs="宋体"/>
          <w:b/>
          <w:bCs/>
          <w:kern w:val="0"/>
          <w:sz w:val="32"/>
          <w:szCs w:val="32"/>
        </w:rPr>
        <w:t>财政拨款收入：</w:t>
      </w:r>
      <w:r>
        <w:rPr>
          <w:rFonts w:hint="eastAsia" w:ascii="仿宋" w:hAnsi="仿宋" w:eastAsia="仿宋" w:cs="宋体"/>
          <w:kern w:val="0"/>
          <w:sz w:val="32"/>
          <w:szCs w:val="32"/>
        </w:rPr>
        <w:t>指从本级财政当年拨付给部门的资金。</w:t>
      </w:r>
      <w:r>
        <w:rPr>
          <w:rFonts w:hint="eastAsia" w:ascii="宋体" w:hAnsi="宋体" w:eastAsia="仿宋" w:cs="宋体"/>
          <w:kern w:val="0"/>
          <w:sz w:val="32"/>
          <w:szCs w:val="32"/>
        </w:rPr>
        <w:t> </w:t>
      </w:r>
    </w:p>
    <w:p>
      <w:pPr>
        <w:widowControl/>
        <w:spacing w:line="610" w:lineRule="atLeast"/>
        <w:jc w:val="left"/>
        <w:rPr>
          <w:rFonts w:ascii="仿宋" w:hAnsi="仿宋" w:eastAsia="仿宋" w:cs="宋体"/>
          <w:kern w:val="0"/>
          <w:sz w:val="24"/>
          <w:szCs w:val="24"/>
        </w:rPr>
      </w:pPr>
      <w:r>
        <w:rPr>
          <w:rFonts w:hint="eastAsia" w:ascii="仿宋" w:hAnsi="仿宋" w:eastAsia="仿宋" w:cs="宋体"/>
          <w:kern w:val="0"/>
          <w:sz w:val="32"/>
          <w:szCs w:val="32"/>
        </w:rPr>
        <w:t xml:space="preserve">　   </w:t>
      </w:r>
      <w:r>
        <w:rPr>
          <w:rFonts w:hint="eastAsia" w:ascii="仿宋" w:hAnsi="仿宋" w:eastAsia="仿宋" w:cs="宋体"/>
          <w:b/>
          <w:bCs/>
          <w:kern w:val="0"/>
          <w:sz w:val="32"/>
          <w:szCs w:val="32"/>
        </w:rPr>
        <w:t>基本支出：</w:t>
      </w:r>
      <w:r>
        <w:rPr>
          <w:rFonts w:hint="eastAsia" w:ascii="仿宋" w:hAnsi="仿宋" w:eastAsia="仿宋" w:cs="宋体"/>
          <w:kern w:val="0"/>
          <w:sz w:val="32"/>
          <w:szCs w:val="32"/>
        </w:rPr>
        <w:t>指为保障机构正常运转、完成日常工作任务而发生的人员支出和公用支出。</w:t>
      </w:r>
      <w:r>
        <w:rPr>
          <w:rFonts w:hint="eastAsia" w:ascii="宋体" w:hAnsi="宋体" w:eastAsia="仿宋" w:cs="宋体"/>
          <w:kern w:val="0"/>
          <w:sz w:val="32"/>
          <w:szCs w:val="32"/>
        </w:rPr>
        <w:t> </w:t>
      </w:r>
    </w:p>
    <w:p>
      <w:pPr>
        <w:widowControl/>
        <w:spacing w:line="610" w:lineRule="atLeast"/>
        <w:ind w:firstLine="643" w:firstLineChars="200"/>
        <w:jc w:val="left"/>
        <w:rPr>
          <w:rFonts w:ascii="仿宋" w:hAnsi="仿宋" w:eastAsia="仿宋" w:cs="宋体"/>
          <w:kern w:val="0"/>
          <w:sz w:val="24"/>
          <w:szCs w:val="24"/>
        </w:rPr>
      </w:pPr>
      <w:r>
        <w:rPr>
          <w:rFonts w:hint="eastAsia" w:ascii="仿宋" w:hAnsi="仿宋" w:eastAsia="仿宋" w:cs="宋体"/>
          <w:b/>
          <w:bCs/>
          <w:kern w:val="0"/>
          <w:sz w:val="32"/>
          <w:szCs w:val="32"/>
        </w:rPr>
        <w:t>“三公”经费：</w:t>
      </w:r>
      <w:r>
        <w:rPr>
          <w:rFonts w:hint="eastAsia" w:ascii="仿宋" w:hAnsi="仿宋" w:eastAsia="仿宋" w:cs="宋体"/>
          <w:kern w:val="0"/>
          <w:sz w:val="32"/>
          <w:szCs w:val="32"/>
        </w:rPr>
        <w:t>指政府部门用财政拨款安排的因公出国（境）费，公务用车购置及运行费和公务接待费。</w:t>
      </w:r>
      <w:r>
        <w:rPr>
          <w:rFonts w:hint="eastAsia" w:ascii="宋体" w:hAnsi="宋体" w:eastAsia="仿宋" w:cs="宋体"/>
          <w:kern w:val="0"/>
          <w:sz w:val="32"/>
          <w:szCs w:val="32"/>
        </w:rPr>
        <w:t> </w:t>
      </w:r>
    </w:p>
    <w:p>
      <w:pPr>
        <w:widowControl/>
        <w:spacing w:line="610" w:lineRule="atLeast"/>
        <w:ind w:firstLine="643" w:firstLineChars="200"/>
        <w:jc w:val="left"/>
        <w:rPr>
          <w:rFonts w:ascii="仿宋" w:hAnsi="仿宋" w:eastAsia="仿宋" w:cs="宋体"/>
          <w:kern w:val="0"/>
          <w:sz w:val="24"/>
          <w:szCs w:val="24"/>
        </w:rPr>
      </w:pPr>
      <w:r>
        <w:rPr>
          <w:rFonts w:hint="eastAsia" w:ascii="仿宋" w:hAnsi="仿宋" w:eastAsia="仿宋" w:cs="宋体"/>
          <w:b/>
          <w:bCs/>
          <w:kern w:val="0"/>
          <w:sz w:val="32"/>
          <w:szCs w:val="32"/>
        </w:rPr>
        <w:t xml:space="preserve"> 机关运行经费：</w:t>
      </w:r>
      <w:r>
        <w:rPr>
          <w:rFonts w:hint="eastAsia" w:ascii="仿宋" w:hAnsi="仿宋" w:eastAsia="仿宋" w:cs="宋体"/>
          <w:kern w:val="0"/>
          <w:sz w:val="32"/>
          <w:szCs w:val="32"/>
        </w:rPr>
        <w:t>指为保障单位运行用于购买货物和服务的各项资金，包括办公及印刷费、邮电费、差旅费、会议费、福利费、日常维修费、专用材料及一般设备购置费、办公用房水电费、办公用房取暖费、办公用房物业管理费以及其他费用。</w:t>
      </w:r>
      <w:r>
        <w:rPr>
          <w:rFonts w:hint="eastAsia" w:ascii="宋体" w:hAnsi="宋体" w:eastAsia="仿宋" w:cs="宋体"/>
          <w:kern w:val="0"/>
          <w:sz w:val="32"/>
          <w:szCs w:val="32"/>
        </w:rPr>
        <w:t> </w:t>
      </w:r>
    </w:p>
    <w:p>
      <w:pPr>
        <w:widowControl/>
        <w:spacing w:line="610" w:lineRule="atLeast"/>
        <w:ind w:firstLine="643" w:firstLineChars="200"/>
        <w:jc w:val="left"/>
        <w:rPr>
          <w:rFonts w:ascii="仿宋" w:hAnsi="仿宋" w:eastAsia="仿宋" w:cs="宋体"/>
          <w:kern w:val="0"/>
          <w:sz w:val="24"/>
          <w:szCs w:val="24"/>
        </w:rPr>
      </w:pPr>
      <w:r>
        <w:rPr>
          <w:rFonts w:hint="eastAsia" w:ascii="仿宋" w:hAnsi="仿宋" w:eastAsia="仿宋" w:cs="宋体"/>
          <w:b/>
          <w:bCs/>
          <w:kern w:val="0"/>
          <w:sz w:val="32"/>
          <w:szCs w:val="32"/>
        </w:rPr>
        <w:t>绩效预算：</w:t>
      </w:r>
      <w:r>
        <w:rPr>
          <w:rFonts w:hint="eastAsia" w:ascii="仿宋" w:hAnsi="仿宋" w:eastAsia="仿宋" w:cs="宋体"/>
          <w:kern w:val="0"/>
          <w:sz w:val="32"/>
          <w:szCs w:val="32"/>
        </w:rPr>
        <w:t>就是政府首先制定有关的事业计划和工程计划，再依据政府职能和施政计划制定计划实施方案，并在成本效益分析的基础上确定实施方案所需费用来编制预算的一种方法。</w:t>
      </w:r>
    </w:p>
    <w:p>
      <w:pPr>
        <w:widowControl/>
        <w:spacing w:line="610" w:lineRule="atLeast"/>
        <w:ind w:firstLine="643" w:firstLineChars="200"/>
        <w:jc w:val="left"/>
        <w:rPr>
          <w:rFonts w:ascii="仿宋" w:hAnsi="仿宋" w:eastAsia="仿宋" w:cs="宋体"/>
          <w:kern w:val="0"/>
          <w:sz w:val="32"/>
          <w:szCs w:val="32"/>
        </w:rPr>
      </w:pPr>
      <w:r>
        <w:rPr>
          <w:rFonts w:hint="eastAsia" w:ascii="仿宋" w:hAnsi="仿宋" w:eastAsia="仿宋" w:cs="宋体"/>
          <w:b/>
          <w:bCs/>
          <w:kern w:val="0"/>
          <w:sz w:val="32"/>
          <w:szCs w:val="32"/>
        </w:rPr>
        <w:t>政府采购</w:t>
      </w:r>
      <w:r>
        <w:rPr>
          <w:rFonts w:hint="eastAsia" w:ascii="仿宋" w:hAnsi="仿宋" w:eastAsia="仿宋" w:cs="宋体"/>
          <w:kern w:val="0"/>
          <w:sz w:val="32"/>
          <w:szCs w:val="32"/>
        </w:rPr>
        <w:t>：指各级政府为从事日常的政务活动或为了满足公共服务的目的，利用财政性资金和政府借款购买货物、工程和服务的行为。</w:t>
      </w:r>
    </w:p>
    <w:p>
      <w:pPr>
        <w:widowControl/>
        <w:spacing w:line="610" w:lineRule="atLeast"/>
        <w:ind w:firstLine="640" w:firstLineChars="200"/>
        <w:jc w:val="left"/>
        <w:rPr>
          <w:rFonts w:ascii="Times New Roman" w:hAnsi="Times New Roman" w:eastAsia="仿宋" w:cs="Times New Roman"/>
          <w:sz w:val="32"/>
          <w:szCs w:val="32"/>
        </w:rPr>
      </w:pPr>
      <w:r>
        <w:rPr>
          <w:rFonts w:hint="eastAsia" w:ascii="仿宋" w:hAnsi="仿宋" w:eastAsia="仿宋" w:cs="宋体"/>
          <w:kern w:val="0"/>
          <w:sz w:val="32"/>
          <w:szCs w:val="32"/>
        </w:rPr>
        <w:t>九、</w:t>
      </w:r>
      <w:r>
        <w:rPr>
          <w:rFonts w:hint="eastAsia" w:ascii="黑体" w:hAnsi="黑体" w:eastAsia="黑体" w:cs="Times New Roman"/>
          <w:sz w:val="32"/>
          <w:szCs w:val="32"/>
        </w:rPr>
        <w:t>其他需要说明的事项</w:t>
      </w:r>
    </w:p>
    <w:p>
      <w:pPr>
        <w:autoSpaceDE w:val="0"/>
        <w:autoSpaceDN w:val="0"/>
        <w:adjustRightInd w:val="0"/>
        <w:ind w:left="838"/>
        <w:jc w:val="left"/>
        <w:rPr>
          <w:rFonts w:ascii="Times New Roman" w:hAnsi="Times New Roman" w:eastAsia="仿宋" w:cs="Times New Roman"/>
          <w:sz w:val="32"/>
          <w:szCs w:val="32"/>
        </w:rPr>
      </w:pPr>
      <w:r>
        <w:rPr>
          <w:rFonts w:hint="eastAsia" w:ascii="黑体" w:hAnsi="黑体" w:eastAsia="黑体" w:cs="Times New Roman"/>
          <w:sz w:val="32"/>
          <w:szCs w:val="32"/>
        </w:rPr>
        <w:t xml:space="preserve"> </w:t>
      </w:r>
      <w:r>
        <w:rPr>
          <w:rFonts w:hint="eastAsia" w:ascii="仿宋" w:hAnsi="仿宋" w:eastAsia="仿宋" w:cs="宋体"/>
          <w:kern w:val="0"/>
          <w:sz w:val="32"/>
          <w:szCs w:val="32"/>
        </w:rPr>
        <w:t>我部门无其他需要说明的事项。</w:t>
      </w:r>
    </w:p>
    <w:sectPr>
      <w:headerReference r:id="rId4" w:type="default"/>
      <w:pgSz w:w="16839" w:h="11907" w:orient="landscape"/>
      <w:pgMar w:top="1020" w:right="1361" w:bottom="102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9"/>
      </w:rPr>
      <w:instrText xml:space="preserve"> PAGE  </w:instrText>
    </w:r>
    <w:r>
      <w:fldChar w:fldCharType="separate"/>
    </w:r>
    <w:r>
      <w:rPr>
        <w:rStyle w:val="9"/>
      </w:rPr>
      <w:t>3</w:t>
    </w:r>
    <w:r>
      <w:fldChar w:fldCharType="end"/>
    </w:r>
  </w:p>
  <w:p>
    <w:pPr>
      <w:pStyle w:val="2"/>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MzAzMDE5MDk4MDBhMDBmOGU0ZmQ4N2MwZTljNTUifQ=="/>
  </w:docVars>
  <w:rsids>
    <w:rsidRoot w:val="0027733F"/>
    <w:rsid w:val="00040FBA"/>
    <w:rsid w:val="0004490B"/>
    <w:rsid w:val="000604DF"/>
    <w:rsid w:val="000B6658"/>
    <w:rsid w:val="000C4500"/>
    <w:rsid w:val="0013228E"/>
    <w:rsid w:val="001553A6"/>
    <w:rsid w:val="002175E3"/>
    <w:rsid w:val="00251390"/>
    <w:rsid w:val="0027733F"/>
    <w:rsid w:val="00297FE7"/>
    <w:rsid w:val="002C752B"/>
    <w:rsid w:val="002E4731"/>
    <w:rsid w:val="003277EC"/>
    <w:rsid w:val="003C447D"/>
    <w:rsid w:val="0045382B"/>
    <w:rsid w:val="00456D84"/>
    <w:rsid w:val="004718C0"/>
    <w:rsid w:val="004C2608"/>
    <w:rsid w:val="00555848"/>
    <w:rsid w:val="005677F8"/>
    <w:rsid w:val="00570514"/>
    <w:rsid w:val="005C6B88"/>
    <w:rsid w:val="006D7083"/>
    <w:rsid w:val="006E025A"/>
    <w:rsid w:val="006E0960"/>
    <w:rsid w:val="006F19B1"/>
    <w:rsid w:val="006F6FFE"/>
    <w:rsid w:val="007043FE"/>
    <w:rsid w:val="00741B83"/>
    <w:rsid w:val="008003BA"/>
    <w:rsid w:val="008034C7"/>
    <w:rsid w:val="00817B30"/>
    <w:rsid w:val="00820DD4"/>
    <w:rsid w:val="009D04A6"/>
    <w:rsid w:val="00A14198"/>
    <w:rsid w:val="00A351A8"/>
    <w:rsid w:val="00AC1419"/>
    <w:rsid w:val="00BE33D8"/>
    <w:rsid w:val="00C51FC1"/>
    <w:rsid w:val="00C609C4"/>
    <w:rsid w:val="00DF00A3"/>
    <w:rsid w:val="00E90B43"/>
    <w:rsid w:val="00EA1F23"/>
    <w:rsid w:val="00ED1220"/>
    <w:rsid w:val="00F171F2"/>
    <w:rsid w:val="00F43C0C"/>
    <w:rsid w:val="00FB5D0C"/>
    <w:rsid w:val="00FF0632"/>
    <w:rsid w:val="074B692A"/>
    <w:rsid w:val="0F8574C6"/>
    <w:rsid w:val="13273BD9"/>
    <w:rsid w:val="17184499"/>
    <w:rsid w:val="177817EE"/>
    <w:rsid w:val="1B05761F"/>
    <w:rsid w:val="1DE8056B"/>
    <w:rsid w:val="1EC83594"/>
    <w:rsid w:val="277146F2"/>
    <w:rsid w:val="2A947684"/>
    <w:rsid w:val="389E7B5A"/>
    <w:rsid w:val="3F987C03"/>
    <w:rsid w:val="463C4FB5"/>
    <w:rsid w:val="472947AF"/>
    <w:rsid w:val="48E66007"/>
    <w:rsid w:val="4C391DA2"/>
    <w:rsid w:val="4E3F2985"/>
    <w:rsid w:val="51842E39"/>
    <w:rsid w:val="539206F6"/>
    <w:rsid w:val="56B1577B"/>
    <w:rsid w:val="659C7DEB"/>
    <w:rsid w:val="68D66CA5"/>
    <w:rsid w:val="6DA812B7"/>
    <w:rsid w:val="6EC1587D"/>
    <w:rsid w:val="6F1E2270"/>
    <w:rsid w:val="721334EE"/>
    <w:rsid w:val="76EC7F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Char"/>
    <w:basedOn w:val="1"/>
    <w:qFormat/>
    <w:uiPriority w:val="0"/>
    <w:rPr>
      <w:rFonts w:ascii="Times New Roman" w:hAnsi="Times New Roman" w:cs="Times New Roman"/>
      <w:szCs w:val="24"/>
    </w:rPr>
  </w:style>
  <w:style w:type="character" w:customStyle="1" w:styleId="11">
    <w:name w:val="页脚 Char"/>
    <w:link w:val="2"/>
    <w:semiHidden/>
    <w:qFormat/>
    <w:uiPriority w:val="0"/>
    <w:rPr>
      <w:rFonts w:ascii="Times New Roman" w:hAnsi="Times New Roman" w:eastAsia="宋体" w:cs="Times New Roman"/>
      <w:sz w:val="18"/>
      <w:szCs w:val="18"/>
    </w:rPr>
  </w:style>
  <w:style w:type="character" w:customStyle="1" w:styleId="12">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1068</Words>
  <Characters>6088</Characters>
  <Lines>50</Lines>
  <Paragraphs>14</Paragraphs>
  <TotalTime>1267</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2018-03-09T02:48:00Z</dcterms:created>
  <dc:creator>guest</dc:creator>
  <cp:lastModifiedBy>Administrator</cp:lastModifiedBy>
  <cp:lastPrinted>2017-02-09T01:57:00Z</cp:lastPrinted>
  <dcterms:modified xsi:type="dcterms:W3CDTF">2024-08-14T08:06:59Z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317C817C1E6F4908922DE4EBA36A4201_13</vt:lpwstr>
  </property>
</Properties>
</file>