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z w:val="44"/>
          <w:szCs w:val="3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仿宋"/>
          <w:b w:val="0"/>
          <w:bCs w:val="0"/>
          <w:sz w:val="44"/>
          <w:szCs w:val="30"/>
          <w:lang w:eastAsia="zh-CN"/>
        </w:rPr>
        <w:t>沙河市融媒体中心</w:t>
      </w:r>
    </w:p>
    <w:p>
      <w:pPr>
        <w:jc w:val="center"/>
        <w:rPr>
          <w:rFonts w:hint="eastAsia" w:ascii="方正小标宋简体" w:hAnsi="方正小标宋简体" w:eastAsia="方正小标宋简体" w:cs="仿宋"/>
          <w:b w:val="0"/>
          <w:bCs w:val="0"/>
          <w:sz w:val="44"/>
          <w:szCs w:val="30"/>
        </w:rPr>
      </w:pPr>
      <w:r>
        <w:rPr>
          <w:rFonts w:hint="eastAsia" w:ascii="方正小标宋简体" w:hAnsi="方正小标宋简体" w:eastAsia="方正小标宋简体" w:cs="仿宋"/>
          <w:b w:val="0"/>
          <w:bCs w:val="0"/>
          <w:sz w:val="44"/>
          <w:szCs w:val="30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仿宋"/>
          <w:b w:val="0"/>
          <w:bCs w:val="0"/>
          <w:sz w:val="44"/>
          <w:szCs w:val="30"/>
        </w:rPr>
        <w:t>部门整体支出绩效评价报告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预算法》和中共邢台市委、邢台市人民政府《关于全面落实预算绩效管理的实施意见》》（邢发[2019]7号）相关规定，按照《邢台市市级部门绩效自评办法》（邢市财预[2019]75号）、《邢台市市级部门整体预算绩效评价暂行办法》（邢市财预[2019]65号）等有关文件政策精神以及市委市政府年度绩效考核办法的要求，我部门认真组织进行了2021年度预算绩效自评工作，自评分95分。现将我部门整体支出绩效评价情况报告如下：</w:t>
      </w:r>
    </w:p>
    <w:p>
      <w:pPr>
        <w:ind w:firstLine="643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sz w:val="32"/>
        </w:rPr>
        <w:t>一、</w:t>
      </w:r>
      <w:r>
        <w:rPr>
          <w:rFonts w:ascii="仿宋" w:hAnsi="仿宋" w:eastAsia="仿宋" w:cs="仿宋"/>
          <w:b/>
          <w:sz w:val="32"/>
        </w:rPr>
        <w:t>基本概况</w:t>
      </w:r>
    </w:p>
    <w:p>
      <w:pPr>
        <w:spacing w:line="610" w:lineRule="exact"/>
        <w:ind w:firstLine="64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（一）部门</w:t>
      </w:r>
      <w:r>
        <w:rPr>
          <w:rFonts w:ascii="仿宋" w:hAnsi="仿宋" w:eastAsia="仿宋" w:cs="Times New Roman"/>
          <w:b/>
          <w:sz w:val="32"/>
          <w:szCs w:val="32"/>
        </w:rPr>
        <w:t>职责：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（1）主报出版：牢牢把握正确舆论导向，围绕市委、市政府中心工作，及时准确报道新闻，编辑出版市委机关报《沙河报》。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（2）新闻培训：对记者及通讯员进行新闻采写、图片拍摄等业务培训，进一步加强业务素质，更好地完成新闻宣传工作。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（3）新闻业务交流：与其他县市报社进行业务交流，拓展思路、互相促进，提升新闻宣传水平和报纸质量。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2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（二）机构设置：</w:t>
      </w:r>
    </w:p>
    <w:tbl>
      <w:tblPr>
        <w:tblStyle w:val="2"/>
        <w:tblW w:w="97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41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417" w:type="dxa"/>
            <w:vMerge w:val="continue"/>
            <w:noWrap w:val="0"/>
            <w:vAlign w:val="center"/>
          </w:tcPr>
          <w:p>
            <w:pPr>
              <w:spacing w:line="520" w:lineRule="exact"/>
              <w:jc w:val="left"/>
              <w:outlineLvl w:val="0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520" w:lineRule="exact"/>
              <w:jc w:val="left"/>
              <w:outlineLvl w:val="0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20" w:lineRule="exact"/>
              <w:jc w:val="left"/>
              <w:outlineLvl w:val="0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2902" w:type="dxa"/>
            <w:vMerge w:val="continue"/>
            <w:noWrap w:val="0"/>
            <w:vAlign w:val="center"/>
          </w:tcPr>
          <w:p>
            <w:pPr>
              <w:spacing w:line="520" w:lineRule="exact"/>
              <w:jc w:val="left"/>
              <w:outlineLvl w:val="0"/>
              <w:rPr>
                <w:rFonts w:hint="eastAsia"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沙河市融媒体中心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事业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正科级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财政性资金基本保证</w:t>
            </w:r>
          </w:p>
        </w:tc>
      </w:tr>
    </w:tbl>
    <w:p>
      <w:pPr>
        <w:spacing w:line="610" w:lineRule="exact"/>
        <w:ind w:firstLine="64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（三）人员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及资产</w:t>
      </w:r>
      <w:r>
        <w:rPr>
          <w:rFonts w:hint="eastAsia" w:ascii="仿宋" w:hAnsi="仿宋" w:eastAsia="仿宋" w:cs="Times New Roman"/>
          <w:b/>
          <w:sz w:val="32"/>
          <w:szCs w:val="32"/>
        </w:rPr>
        <w:t>情况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年末实有人数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人，上年度为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人，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人员减少的原因是1人退休1人调走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本年末固定资产金额为84.07万元。比上年度97.56万元减少13.49万元，减少的原因是对部分固定资产进行报废处理。</w:t>
      </w:r>
    </w:p>
    <w:p>
      <w:pPr>
        <w:numPr>
          <w:ilvl w:val="0"/>
          <w:numId w:val="1"/>
        </w:numPr>
        <w:spacing w:line="610" w:lineRule="exact"/>
        <w:ind w:firstLine="640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部门年度整体支出绩效目标</w:t>
      </w:r>
    </w:p>
    <w:p>
      <w:pPr>
        <w:numPr>
          <w:ilvl w:val="0"/>
          <w:numId w:val="0"/>
        </w:numPr>
        <w:spacing w:line="610" w:lineRule="exact"/>
        <w:ind w:firstLine="641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目标1：确保及时、足额发放职工的各项工资待遇，及时缴纳社保，保障职工利益，提高工作积极性。</w:t>
      </w:r>
    </w:p>
    <w:p>
      <w:pPr>
        <w:numPr>
          <w:ilvl w:val="0"/>
          <w:numId w:val="0"/>
        </w:numPr>
        <w:spacing w:line="610" w:lineRule="exact"/>
        <w:ind w:firstLine="641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目标2：保障办公条件，确保单位正常运转，提高各项工作效率。</w:t>
      </w:r>
    </w:p>
    <w:p>
      <w:pPr>
        <w:numPr>
          <w:ilvl w:val="0"/>
          <w:numId w:val="0"/>
        </w:numPr>
        <w:spacing w:line="610" w:lineRule="exact"/>
        <w:ind w:firstLine="641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目标3：做好《沙河报》的出版发行工作，计划全年全年出版90期《沙河报》，刊登各类稿件三千余篇，对市内重大活动全方位跟踪报道，充分发挥党的喉舌以及舆论阵地的积极作用。</w:t>
      </w:r>
    </w:p>
    <w:p>
      <w:pPr>
        <w:numPr>
          <w:ilvl w:val="0"/>
          <w:numId w:val="1"/>
        </w:numPr>
        <w:spacing w:line="610" w:lineRule="exact"/>
        <w:ind w:firstLine="640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预算资金安排及资金支出情况</w:t>
      </w:r>
    </w:p>
    <w:p>
      <w:pPr>
        <w:numPr>
          <w:ilvl w:val="0"/>
          <w:numId w:val="0"/>
        </w:numPr>
        <w:spacing w:line="610" w:lineRule="exact"/>
        <w:ind w:firstLine="642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预决算公开： 2021年部门预决算已按照政府信息公开的要求在政府门户网站上公开。</w:t>
      </w:r>
    </w:p>
    <w:p>
      <w:pPr>
        <w:numPr>
          <w:ilvl w:val="0"/>
          <w:numId w:val="0"/>
        </w:numPr>
        <w:spacing w:line="610" w:lineRule="exact"/>
        <w:ind w:firstLine="642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2021年预算总收入75.7万元，其中：一般公共预算收入75.7万元，其他来源收入0元。</w:t>
      </w:r>
    </w:p>
    <w:p>
      <w:pPr>
        <w:numPr>
          <w:ilvl w:val="0"/>
          <w:numId w:val="0"/>
        </w:numPr>
        <w:spacing w:line="610" w:lineRule="exact"/>
        <w:ind w:firstLine="642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年支出预算75.7万元。其中：基本支出61.48万元，占总支出的81.25%；决算支出61.93万元，比预算支出增加0.45万元，原因是人员工资增加；预算项目支出14.22万元，占总支出的18.75%。决算支出10.8万元，比预算少支出3.42万元，减少的原因是第四季度经费未支付。</w:t>
      </w:r>
    </w:p>
    <w:p>
      <w:pPr>
        <w:numPr>
          <w:ilvl w:val="0"/>
          <w:numId w:val="2"/>
        </w:numPr>
        <w:spacing w:line="610" w:lineRule="exact"/>
        <w:ind w:firstLine="642"/>
        <w:rPr>
          <w:rFonts w:hint="default" w:ascii="仿宋" w:hAnsi="仿宋" w:eastAsia="仿宋" w:cs="仿宋"/>
          <w:b/>
          <w:sz w:val="32"/>
          <w:szCs w:val="22"/>
          <w:lang w:val="en-US" w:eastAsia="zh-CN"/>
        </w:rPr>
      </w:pPr>
      <w:r>
        <w:rPr>
          <w:rFonts w:hint="default" w:ascii="仿宋" w:hAnsi="仿宋" w:eastAsia="仿宋" w:cs="仿宋"/>
          <w:b/>
          <w:sz w:val="32"/>
          <w:szCs w:val="22"/>
          <w:lang w:val="en-US" w:eastAsia="zh-CN"/>
        </w:rPr>
        <w:t>预算绩效管理开展及整体绩效实现情况</w:t>
      </w:r>
    </w:p>
    <w:p>
      <w:pPr>
        <w:numPr>
          <w:ilvl w:val="0"/>
          <w:numId w:val="3"/>
        </w:numPr>
        <w:spacing w:line="610" w:lineRule="exact"/>
        <w:ind w:left="642" w:leftChars="0" w:firstLine="0" w:firstLineChars="0"/>
        <w:rPr>
          <w:rFonts w:hint="eastAsia" w:ascii="仿宋" w:hAnsi="仿宋" w:eastAsia="仿宋" w:cs="仿宋"/>
          <w:b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22"/>
          <w:lang w:val="en-US" w:eastAsia="zh-CN"/>
        </w:rPr>
        <w:t>、</w:t>
      </w:r>
      <w:r>
        <w:rPr>
          <w:rFonts w:hint="default" w:ascii="仿宋" w:hAnsi="仿宋" w:eastAsia="仿宋" w:cs="仿宋"/>
          <w:b/>
          <w:sz w:val="32"/>
          <w:szCs w:val="22"/>
          <w:lang w:val="en-US" w:eastAsia="zh-CN"/>
        </w:rPr>
        <w:t>预算绩效管理开展</w:t>
      </w:r>
      <w:r>
        <w:rPr>
          <w:rFonts w:hint="eastAsia" w:ascii="仿宋" w:hAnsi="仿宋" w:eastAsia="仿宋" w:cs="仿宋"/>
          <w:b/>
          <w:sz w:val="32"/>
          <w:szCs w:val="22"/>
          <w:lang w:val="en-US" w:eastAsia="zh-CN"/>
        </w:rPr>
        <w:t>情况</w:t>
      </w:r>
    </w:p>
    <w:p>
      <w:pPr>
        <w:numPr>
          <w:ilvl w:val="0"/>
          <w:numId w:val="0"/>
        </w:numPr>
        <w:spacing w:line="610" w:lineRule="exact"/>
        <w:ind w:left="0" w:leftChars="0"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为深入贯彻落实中共中央国务院《关于全面实施预算绩效管理的意见》的相关要求，2021年我单位积极编制绩效预算，认真梳理部门职责-工作活动和预算项目，组织相关人员共同研究、科学谋划编制绩效目标指标。资金使用过程中，以预算绩效目标为纲领，严格资金使用效率、进度，积极开展绩效评价，加强绩效运行监控。</w:t>
      </w:r>
    </w:p>
    <w:p>
      <w:pPr>
        <w:numPr>
          <w:ilvl w:val="0"/>
          <w:numId w:val="3"/>
        </w:numPr>
        <w:spacing w:line="610" w:lineRule="exact"/>
        <w:ind w:left="642" w:leftChars="0" w:firstLine="0" w:firstLineChars="0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、项目自评分析情况</w:t>
      </w:r>
    </w:p>
    <w:p>
      <w:pPr>
        <w:numPr>
          <w:ilvl w:val="0"/>
          <w:numId w:val="0"/>
        </w:numPr>
        <w:spacing w:line="610" w:lineRule="exact"/>
        <w:ind w:left="0" w:leftChars="0"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2021年度本单位项目支出1个，为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《沙河报》出版发行补助经费，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金额为14.22万元，资金来源为财政补助。项目主要用于支付印刷《沙河报》所需费用。项目绩效目标为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全年出版90期《沙河报》，刊登各类稿件三千余篇，对市内重大活动全方位跟踪报道。</w:t>
      </w:r>
    </w:p>
    <w:p>
      <w:pPr>
        <w:numPr>
          <w:ilvl w:val="0"/>
          <w:numId w:val="0"/>
        </w:numPr>
        <w:spacing w:line="61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项目评价结果：</w:t>
      </w:r>
      <w:r>
        <w:rPr>
          <w:rFonts w:hint="eastAsia" w:ascii="仿宋_GB2312" w:hAnsi="宋体" w:eastAsia="仿宋_GB2312"/>
          <w:sz w:val="32"/>
          <w:szCs w:val="32"/>
        </w:rPr>
        <w:t>等级分“优、良、中、差”，其中，90分以上为优，80-90分为良，70-80分为中，70分以下为差。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产出指标中的三级指标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《沙河报》出版完成率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”、“《沙河报》稿件完成量”自评结果均为优；效益指标中的三级指标“宣传效果”自评结果为良；满意度指标中的三级指标“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读者对《沙河报》质量满意度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”自评结果为优。</w:t>
      </w:r>
    </w:p>
    <w:p>
      <w:pPr>
        <w:numPr>
          <w:ilvl w:val="0"/>
          <w:numId w:val="2"/>
        </w:numPr>
        <w:spacing w:line="610" w:lineRule="exact"/>
        <w:ind w:left="0" w:leftChars="0" w:firstLine="642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绩效评价的组织实施情况</w:t>
      </w:r>
    </w:p>
    <w:p>
      <w:pPr>
        <w:numPr>
          <w:ilvl w:val="0"/>
          <w:numId w:val="0"/>
        </w:numPr>
        <w:spacing w:line="61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从投入、过程、产出、效果四大模块进行评价，从绩效目标设立、预算配置控制、重点支出安排、预算执行管理情况、资金落实、资产管理、项目产出、项目效益等指标进行评价，自评平均总分为97分，等级为优。</w:t>
      </w:r>
    </w:p>
    <w:p>
      <w:pPr>
        <w:numPr>
          <w:ilvl w:val="0"/>
          <w:numId w:val="0"/>
        </w:numPr>
        <w:spacing w:line="61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1、投入（10）：项目的申请、设立过程符合相关要求，设定的绩效目标合理，绩效指标细化、明确、清晰、可衡量。预算配置情况控制良好，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“三公”经费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变动率较小，重点支出安排落实到位。</w:t>
      </w:r>
    </w:p>
    <w:p>
      <w:pPr>
        <w:numPr>
          <w:ilvl w:val="0"/>
          <w:numId w:val="0"/>
        </w:numPr>
        <w:spacing w:line="61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2、过程（45分）：预算完成率大于95%，预算调整率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0，支付进度按支付计划进行，公用经费控制率小于100%，无政府采购，资金使用合规合理，预决算信息公开透明，已在政府公开平台公示，部门资产保存完整，使用合规，台账清晰透明。</w:t>
      </w:r>
    </w:p>
    <w:p>
      <w:pPr>
        <w:numPr>
          <w:ilvl w:val="0"/>
          <w:numId w:val="0"/>
        </w:numPr>
        <w:spacing w:line="61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3、产出（25分）：根据年度主要任务设定具体任务，量化指标，实施效果和责任制，每项任务制定了明确、具体、可量化、可衡量的绩效指标，绩效指标完成情况良好。项目完成质量达标率为100%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1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4、效果（1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分）：履职效益情况良好。经济效益、社会效益、生态效益得到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提高，服务对象满意度优秀。</w:t>
      </w:r>
    </w:p>
    <w:p>
      <w:pPr>
        <w:numPr>
          <w:ilvl w:val="0"/>
          <w:numId w:val="0"/>
        </w:numPr>
        <w:spacing w:line="61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四、各项绩效目标的实现程度及差异性原因分析</w:t>
      </w:r>
    </w:p>
    <w:p>
      <w:pPr>
        <w:numPr>
          <w:ilvl w:val="0"/>
          <w:numId w:val="0"/>
        </w:numPr>
        <w:spacing w:line="61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各项绩效目标均按照预期实现。</w:t>
      </w:r>
    </w:p>
    <w:p>
      <w:pPr>
        <w:numPr>
          <w:ilvl w:val="0"/>
          <w:numId w:val="0"/>
        </w:numPr>
        <w:spacing w:line="610" w:lineRule="exact"/>
        <w:ind w:left="642" w:left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存在问题、采取的纠偏措施及改进绩效管理建议</w:t>
      </w:r>
    </w:p>
    <w:p>
      <w:pPr>
        <w:numPr>
          <w:ilvl w:val="0"/>
          <w:numId w:val="0"/>
        </w:numPr>
        <w:spacing w:line="61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本年度预算执行情况总体较好，但工作中仍存在对预算绩效管理工作重视程度不足、绩效虽完成但取得的效益仍需加强等问题。</w:t>
      </w:r>
    </w:p>
    <w:p>
      <w:pPr>
        <w:numPr>
          <w:ilvl w:val="0"/>
          <w:numId w:val="0"/>
        </w:numPr>
        <w:spacing w:line="61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下一步，更加科学、严谨、客观地谋划制定预算绩效目标，并将预算绩效管理工作贯穿预算执行的整个过程，确保预算执行到位的同时，预算绩效目标也全部圆满完成。</w:t>
      </w:r>
    </w:p>
    <w:p>
      <w:pPr>
        <w:numPr>
          <w:ilvl w:val="0"/>
          <w:numId w:val="4"/>
        </w:numPr>
        <w:spacing w:line="61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其他需要说明的问题</w:t>
      </w:r>
    </w:p>
    <w:p>
      <w:pPr>
        <w:numPr>
          <w:ilvl w:val="0"/>
          <w:numId w:val="0"/>
        </w:numPr>
        <w:spacing w:line="61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EA493"/>
    <w:multiLevelType w:val="singleLevel"/>
    <w:tmpl w:val="A4BEA49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6929A0"/>
    <w:multiLevelType w:val="singleLevel"/>
    <w:tmpl w:val="F06929A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FA006F"/>
    <w:multiLevelType w:val="singleLevel"/>
    <w:tmpl w:val="42FA00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88D45D5"/>
    <w:multiLevelType w:val="singleLevel"/>
    <w:tmpl w:val="788D45D5"/>
    <w:lvl w:ilvl="0" w:tentative="0">
      <w:start w:val="1"/>
      <w:numFmt w:val="chineseCounting"/>
      <w:suff w:val="nothing"/>
      <w:lvlText w:val="（%1）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62747"/>
    <w:rsid w:val="00355D02"/>
    <w:rsid w:val="0EF23750"/>
    <w:rsid w:val="1A565165"/>
    <w:rsid w:val="1E3B24DF"/>
    <w:rsid w:val="37524AAF"/>
    <w:rsid w:val="3CCF5977"/>
    <w:rsid w:val="3E462747"/>
    <w:rsid w:val="3F78294B"/>
    <w:rsid w:val="50EF75A9"/>
    <w:rsid w:val="5FC734D5"/>
    <w:rsid w:val="718B43CA"/>
    <w:rsid w:val="747137D6"/>
    <w:rsid w:val="75D2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2020-12-22T06:26:00Z</dcterms:created>
  <dc:creator>报社</dc:creator>
  <cp:lastModifiedBy>不二臣</cp:lastModifiedBy>
  <dcterms:modified xsi:type="dcterms:W3CDTF">2025-04-11T08:11:12Z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2150BD0283DC4EF482E718863EB7D7E9</vt:lpwstr>
  </property>
</Properties>
</file>