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第一部分</w:t>
      </w:r>
      <w:r>
        <w:rPr>
          <w:rFonts w:hint="eastAsia" w:ascii="方正楷体_GBK" w:hAnsi="方正楷体_GBK" w:eastAsia="方正楷体_GBK" w:cs="方正楷体_GBK"/>
          <w:b/>
          <w:color w:val="000000"/>
          <w:sz w:val="28"/>
          <w:lang w:val="en-US" w:eastAsia="zh-CN"/>
        </w:rPr>
        <w:t xml:space="preserve">  </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rPr>
          <w:rFonts w:hint="eastAsia"/>
          <w:lang w:val="en-US" w:eastAsia="zh-CN"/>
        </w:rPr>
        <w:t>2</w:t>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rPr>
          <w:rFonts w:hint="eastAsia"/>
          <w:lang w:val="en-US" w:eastAsia="zh-CN"/>
        </w:rPr>
        <w:t>2</w:t>
      </w:r>
      <w:r>
        <w:t>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第二部分</w:t>
      </w:r>
      <w:r>
        <w:rPr>
          <w:rFonts w:hint="eastAsia" w:ascii="方正楷体_GBK" w:hAnsi="方正楷体_GBK" w:eastAsia="方正楷体_GBK" w:cs="方正楷体_GBK"/>
          <w:b/>
          <w:color w:val="000000"/>
          <w:sz w:val="28"/>
          <w:lang w:val="en-US" w:eastAsia="zh-CN"/>
        </w:rPr>
        <w:t xml:space="preserve">  </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rPr>
          <w:rFonts w:hint="eastAsia"/>
          <w:lang w:val="en-US" w:eastAsia="zh-CN"/>
        </w:rPr>
        <w:t>2</w:t>
      </w:r>
      <w:r>
        <w:t>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rPr>
          <w:rFonts w:hint="eastAsia"/>
          <w:lang w:val="en-US" w:eastAsia="zh-CN"/>
        </w:rPr>
        <w:t>2</w:t>
      </w:r>
      <w:r>
        <w:t>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w:t>
      </w:r>
      <w:r>
        <w:t>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w:t>
      </w:r>
      <w:r>
        <w:t>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sz w:val="72"/>
          <w:szCs w:val="72"/>
        </w:rPr>
      </w:pPr>
      <w:r>
        <w:rPr>
          <w:rFonts w:hint="eastAsia" w:ascii="方正楷体_GBK" w:hAnsi="方正楷体_GBK" w:eastAsia="方正楷体_GBK" w:cs="方正楷体_GBK"/>
          <w:b/>
          <w:color w:val="000000"/>
          <w:sz w:val="72"/>
          <w:szCs w:val="72"/>
          <w:lang w:eastAsia="zh-CN"/>
        </w:rPr>
        <w:t>第一部分</w:t>
      </w:r>
      <w:r>
        <w:rPr>
          <w:rFonts w:hint="eastAsia" w:ascii="方正楷体_GBK" w:hAnsi="方正楷体_GBK" w:eastAsia="方正楷体_GBK" w:cs="方正楷体_GBK"/>
          <w:b/>
          <w:color w:val="000000"/>
          <w:sz w:val="72"/>
          <w:szCs w:val="72"/>
          <w:lang w:val="en-US" w:eastAsia="zh-CN"/>
        </w:rPr>
        <w:t xml:space="preserve">  </w:t>
      </w:r>
      <w:r>
        <w:rPr>
          <w:rFonts w:hint="eastAsia" w:ascii="方正楷体_GBK" w:hAnsi="方正楷体_GBK" w:eastAsia="方正楷体_GBK" w:cs="方正楷体_GBK"/>
          <w:b/>
          <w:color w:val="000000"/>
          <w:sz w:val="72"/>
          <w:szCs w:val="72"/>
          <w:lang w:eastAsia="zh-CN"/>
        </w:rPr>
        <w:t>单位</w:t>
      </w:r>
      <w:r>
        <w:rPr>
          <w:rFonts w:ascii="方正楷体_GBK" w:hAnsi="方正楷体_GBK" w:eastAsia="方正楷体_GBK" w:cs="方正楷体_GBK"/>
          <w:b/>
          <w:color w:val="000000"/>
          <w:sz w:val="72"/>
          <w:szCs w:val="72"/>
        </w:rPr>
        <w:t>预算公开表</w:t>
      </w: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一、中共沙河市委政法委员会收支预算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1378.11</w:t>
            </w:r>
          </w:p>
        </w:tc>
        <w:tc>
          <w:tcPr>
            <w:tcW w:w="4535" w:type="dxa"/>
            <w:vAlign w:val="center"/>
          </w:tcPr>
          <w:p>
            <w:pPr>
              <w:pStyle w:val="16"/>
            </w:pPr>
            <w:r>
              <w:t>一、一般公共服务支出</w:t>
            </w:r>
          </w:p>
        </w:tc>
        <w:tc>
          <w:tcPr>
            <w:tcW w:w="2126" w:type="dxa"/>
            <w:vAlign w:val="center"/>
          </w:tcPr>
          <w:p>
            <w:pPr>
              <w:pStyle w:val="15"/>
            </w:pPr>
            <w:r>
              <w:t>1305.76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1378.11</w:t>
            </w:r>
          </w:p>
        </w:tc>
        <w:tc>
          <w:tcPr>
            <w:tcW w:w="4535" w:type="dxa"/>
            <w:vAlign w:val="center"/>
          </w:tcPr>
          <w:p>
            <w:pPr>
              <w:pStyle w:val="18"/>
            </w:pPr>
            <w:r>
              <w:t>本年支出合计</w:t>
            </w:r>
          </w:p>
        </w:tc>
        <w:tc>
          <w:tcPr>
            <w:tcW w:w="2126" w:type="dxa"/>
            <w:vAlign w:val="center"/>
          </w:tcPr>
          <w:p>
            <w:pPr>
              <w:pStyle w:val="19"/>
            </w:pPr>
            <w:r>
              <w:t>1378.11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1378.11</w:t>
            </w:r>
          </w:p>
        </w:tc>
        <w:tc>
          <w:tcPr>
            <w:tcW w:w="4535" w:type="dxa"/>
            <w:vAlign w:val="center"/>
          </w:tcPr>
          <w:p>
            <w:pPr>
              <w:pStyle w:val="18"/>
            </w:pPr>
            <w:r>
              <w:t>支出总计</w:t>
            </w:r>
          </w:p>
        </w:tc>
        <w:tc>
          <w:tcPr>
            <w:tcW w:w="2126" w:type="dxa"/>
            <w:vAlign w:val="center"/>
          </w:tcPr>
          <w:p>
            <w:pPr>
              <w:pStyle w:val="19"/>
            </w:pPr>
            <w:r>
              <w:t>1378.11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201002中共沙河市委政法委员会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1378.11</w:t>
            </w:r>
          </w:p>
        </w:tc>
        <w:tc>
          <w:tcPr>
            <w:tcW w:w="1134" w:type="dxa"/>
            <w:vAlign w:val="center"/>
          </w:tcPr>
          <w:p>
            <w:pPr>
              <w:pStyle w:val="19"/>
            </w:pPr>
            <w:r>
              <w:t>1378.11</w:t>
            </w:r>
          </w:p>
        </w:tc>
        <w:tc>
          <w:tcPr>
            <w:tcW w:w="1134" w:type="dxa"/>
            <w:vAlign w:val="center"/>
          </w:tcPr>
          <w:p>
            <w:pPr>
              <w:pStyle w:val="19"/>
            </w:pPr>
            <w:r>
              <w:t>1378.11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20136</w:t>
            </w:r>
          </w:p>
        </w:tc>
        <w:tc>
          <w:tcPr>
            <w:tcW w:w="1559" w:type="dxa"/>
            <w:vAlign w:val="center"/>
          </w:tcPr>
          <w:p>
            <w:pPr>
              <w:pStyle w:val="16"/>
            </w:pPr>
            <w:r>
              <w:t>其他共产党事务支出</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2013601</w:t>
            </w:r>
          </w:p>
        </w:tc>
        <w:tc>
          <w:tcPr>
            <w:tcW w:w="1559" w:type="dxa"/>
            <w:vAlign w:val="center"/>
          </w:tcPr>
          <w:p>
            <w:pPr>
              <w:pStyle w:val="16"/>
            </w:pPr>
            <w:r>
              <w:t>行政运行</w:t>
            </w:r>
          </w:p>
        </w:tc>
        <w:tc>
          <w:tcPr>
            <w:tcW w:w="1134" w:type="dxa"/>
            <w:vAlign w:val="center"/>
          </w:tcPr>
          <w:p>
            <w:pPr>
              <w:pStyle w:val="15"/>
            </w:pPr>
            <w:r>
              <w:t>337.16</w:t>
            </w:r>
          </w:p>
        </w:tc>
        <w:tc>
          <w:tcPr>
            <w:tcW w:w="1134" w:type="dxa"/>
            <w:vAlign w:val="center"/>
          </w:tcPr>
          <w:p>
            <w:pPr>
              <w:pStyle w:val="15"/>
            </w:pPr>
            <w:r>
              <w:t>337.16</w:t>
            </w:r>
          </w:p>
        </w:tc>
        <w:tc>
          <w:tcPr>
            <w:tcW w:w="1134" w:type="dxa"/>
            <w:vAlign w:val="center"/>
          </w:tcPr>
          <w:p>
            <w:pPr>
              <w:pStyle w:val="15"/>
            </w:pPr>
            <w:r>
              <w:t>337.16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2013699</w:t>
            </w:r>
          </w:p>
        </w:tc>
        <w:tc>
          <w:tcPr>
            <w:tcW w:w="1559" w:type="dxa"/>
            <w:vAlign w:val="center"/>
          </w:tcPr>
          <w:p>
            <w:pPr>
              <w:pStyle w:val="16"/>
            </w:pPr>
            <w:r>
              <w:t>其他共产党事务支出</w:t>
            </w:r>
          </w:p>
        </w:tc>
        <w:tc>
          <w:tcPr>
            <w:tcW w:w="1134" w:type="dxa"/>
            <w:vAlign w:val="center"/>
          </w:tcPr>
          <w:p>
            <w:pPr>
              <w:pStyle w:val="15"/>
            </w:pPr>
            <w:r>
              <w:t>968.60</w:t>
            </w:r>
          </w:p>
        </w:tc>
        <w:tc>
          <w:tcPr>
            <w:tcW w:w="1134" w:type="dxa"/>
            <w:vAlign w:val="center"/>
          </w:tcPr>
          <w:p>
            <w:pPr>
              <w:pStyle w:val="15"/>
            </w:pPr>
            <w:r>
              <w:t>968.60</w:t>
            </w:r>
          </w:p>
        </w:tc>
        <w:tc>
          <w:tcPr>
            <w:tcW w:w="1134" w:type="dxa"/>
            <w:vAlign w:val="center"/>
          </w:tcPr>
          <w:p>
            <w:pPr>
              <w:pStyle w:val="15"/>
            </w:pPr>
            <w:r>
              <w:t>968.60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1378.11</w:t>
            </w:r>
          </w:p>
        </w:tc>
        <w:tc>
          <w:tcPr>
            <w:tcW w:w="1361" w:type="dxa"/>
            <w:vAlign w:val="center"/>
          </w:tcPr>
          <w:p>
            <w:pPr>
              <w:pStyle w:val="19"/>
            </w:pPr>
            <w:r>
              <w:t>409.51</w:t>
            </w:r>
          </w:p>
        </w:tc>
        <w:tc>
          <w:tcPr>
            <w:tcW w:w="1361" w:type="dxa"/>
            <w:vAlign w:val="center"/>
          </w:tcPr>
          <w:p>
            <w:pPr>
              <w:pStyle w:val="19"/>
            </w:pPr>
            <w:r>
              <w:t>968.60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1305.76</w:t>
            </w:r>
          </w:p>
        </w:tc>
        <w:tc>
          <w:tcPr>
            <w:tcW w:w="1361" w:type="dxa"/>
            <w:vAlign w:val="center"/>
          </w:tcPr>
          <w:p>
            <w:pPr>
              <w:pStyle w:val="15"/>
            </w:pPr>
            <w:r>
              <w:t>337.16</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20136</w:t>
            </w:r>
          </w:p>
        </w:tc>
        <w:tc>
          <w:tcPr>
            <w:tcW w:w="4535" w:type="dxa"/>
            <w:vAlign w:val="center"/>
          </w:tcPr>
          <w:p>
            <w:pPr>
              <w:pStyle w:val="16"/>
            </w:pPr>
            <w:r>
              <w:t>其他共产党事务支出</w:t>
            </w:r>
          </w:p>
        </w:tc>
        <w:tc>
          <w:tcPr>
            <w:tcW w:w="1361" w:type="dxa"/>
            <w:vAlign w:val="center"/>
          </w:tcPr>
          <w:p>
            <w:pPr>
              <w:pStyle w:val="15"/>
            </w:pPr>
            <w:r>
              <w:t>1305.76</w:t>
            </w:r>
          </w:p>
        </w:tc>
        <w:tc>
          <w:tcPr>
            <w:tcW w:w="1361" w:type="dxa"/>
            <w:vAlign w:val="center"/>
          </w:tcPr>
          <w:p>
            <w:pPr>
              <w:pStyle w:val="15"/>
            </w:pPr>
            <w:r>
              <w:t>337.16</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2013601</w:t>
            </w:r>
          </w:p>
        </w:tc>
        <w:tc>
          <w:tcPr>
            <w:tcW w:w="4535" w:type="dxa"/>
            <w:vAlign w:val="center"/>
          </w:tcPr>
          <w:p>
            <w:pPr>
              <w:pStyle w:val="16"/>
            </w:pPr>
            <w:r>
              <w:t>行政运行</w:t>
            </w:r>
          </w:p>
        </w:tc>
        <w:tc>
          <w:tcPr>
            <w:tcW w:w="1361" w:type="dxa"/>
            <w:vAlign w:val="center"/>
          </w:tcPr>
          <w:p>
            <w:pPr>
              <w:pStyle w:val="15"/>
            </w:pPr>
            <w:r>
              <w:t>337.16</w:t>
            </w:r>
          </w:p>
        </w:tc>
        <w:tc>
          <w:tcPr>
            <w:tcW w:w="1361" w:type="dxa"/>
            <w:vAlign w:val="center"/>
          </w:tcPr>
          <w:p>
            <w:pPr>
              <w:pStyle w:val="15"/>
            </w:pPr>
            <w:r>
              <w:t>337.16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2013699</w:t>
            </w:r>
          </w:p>
        </w:tc>
        <w:tc>
          <w:tcPr>
            <w:tcW w:w="4535" w:type="dxa"/>
            <w:vAlign w:val="center"/>
          </w:tcPr>
          <w:p>
            <w:pPr>
              <w:pStyle w:val="16"/>
            </w:pPr>
            <w:r>
              <w:t>其他共产党事务支出</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1378.11</w:t>
            </w:r>
          </w:p>
        </w:tc>
        <w:tc>
          <w:tcPr>
            <w:tcW w:w="3402" w:type="dxa"/>
            <w:vAlign w:val="center"/>
          </w:tcPr>
          <w:p>
            <w:pPr>
              <w:pStyle w:val="16"/>
            </w:pPr>
            <w:r>
              <w:t>一、一般公共服务支出</w:t>
            </w:r>
          </w:p>
        </w:tc>
        <w:tc>
          <w:tcPr>
            <w:tcW w:w="1474" w:type="dxa"/>
            <w:vAlign w:val="center"/>
          </w:tcPr>
          <w:p>
            <w:pPr>
              <w:pStyle w:val="15"/>
            </w:pPr>
            <w:r>
              <w:t>1305.76</w:t>
            </w:r>
          </w:p>
        </w:tc>
        <w:tc>
          <w:tcPr>
            <w:tcW w:w="1474" w:type="dxa"/>
            <w:vAlign w:val="center"/>
          </w:tcPr>
          <w:p>
            <w:pPr>
              <w:pStyle w:val="15"/>
            </w:pPr>
            <w:r>
              <w:t>1305.76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40.81</w:t>
            </w:r>
          </w:p>
        </w:tc>
        <w:tc>
          <w:tcPr>
            <w:tcW w:w="1474" w:type="dxa"/>
            <w:vAlign w:val="center"/>
          </w:tcPr>
          <w:p>
            <w:pPr>
              <w:pStyle w:val="15"/>
            </w:pPr>
            <w:r>
              <w:t>40.81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31.54</w:t>
            </w:r>
          </w:p>
        </w:tc>
        <w:tc>
          <w:tcPr>
            <w:tcW w:w="1474" w:type="dxa"/>
            <w:vAlign w:val="center"/>
          </w:tcPr>
          <w:p>
            <w:pPr>
              <w:pStyle w:val="15"/>
            </w:pPr>
            <w:r>
              <w:t>31.54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1378.11</w:t>
            </w:r>
          </w:p>
        </w:tc>
        <w:tc>
          <w:tcPr>
            <w:tcW w:w="3402" w:type="dxa"/>
            <w:vAlign w:val="center"/>
          </w:tcPr>
          <w:p>
            <w:pPr>
              <w:pStyle w:val="18"/>
            </w:pPr>
            <w:r>
              <w:t>本年支出合计</w:t>
            </w:r>
          </w:p>
        </w:tc>
        <w:tc>
          <w:tcPr>
            <w:tcW w:w="1474" w:type="dxa"/>
            <w:vAlign w:val="center"/>
          </w:tcPr>
          <w:p>
            <w:pPr>
              <w:pStyle w:val="19"/>
            </w:pPr>
            <w:r>
              <w:t>1378.11</w:t>
            </w:r>
          </w:p>
        </w:tc>
        <w:tc>
          <w:tcPr>
            <w:tcW w:w="1474" w:type="dxa"/>
            <w:vAlign w:val="center"/>
          </w:tcPr>
          <w:p>
            <w:pPr>
              <w:pStyle w:val="19"/>
            </w:pPr>
            <w:r>
              <w:t>1378.11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1378.11</w:t>
            </w:r>
          </w:p>
        </w:tc>
        <w:tc>
          <w:tcPr>
            <w:tcW w:w="3402" w:type="dxa"/>
            <w:vAlign w:val="center"/>
          </w:tcPr>
          <w:p>
            <w:pPr>
              <w:pStyle w:val="18"/>
            </w:pPr>
            <w:r>
              <w:t>支出总计</w:t>
            </w:r>
          </w:p>
        </w:tc>
        <w:tc>
          <w:tcPr>
            <w:tcW w:w="1474" w:type="dxa"/>
            <w:vAlign w:val="center"/>
          </w:tcPr>
          <w:p>
            <w:pPr>
              <w:pStyle w:val="19"/>
            </w:pPr>
            <w:r>
              <w:t>1378.11</w:t>
            </w:r>
          </w:p>
        </w:tc>
        <w:tc>
          <w:tcPr>
            <w:tcW w:w="1474" w:type="dxa"/>
            <w:vAlign w:val="center"/>
          </w:tcPr>
          <w:p>
            <w:pPr>
              <w:pStyle w:val="19"/>
            </w:pPr>
            <w:r>
              <w:t>1378.11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1378.11</w:t>
            </w:r>
          </w:p>
        </w:tc>
        <w:tc>
          <w:tcPr>
            <w:tcW w:w="2551" w:type="dxa"/>
            <w:vAlign w:val="center"/>
          </w:tcPr>
          <w:p>
            <w:pPr>
              <w:pStyle w:val="19"/>
            </w:pPr>
            <w:r>
              <w:t>409.51</w:t>
            </w:r>
          </w:p>
        </w:tc>
        <w:tc>
          <w:tcPr>
            <w:tcW w:w="2551" w:type="dxa"/>
            <w:vAlign w:val="center"/>
          </w:tcPr>
          <w:p>
            <w:pPr>
              <w:pStyle w:val="19"/>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1305.76</w:t>
            </w:r>
          </w:p>
        </w:tc>
        <w:tc>
          <w:tcPr>
            <w:tcW w:w="2551" w:type="dxa"/>
            <w:vAlign w:val="center"/>
          </w:tcPr>
          <w:p>
            <w:pPr>
              <w:pStyle w:val="15"/>
            </w:pPr>
            <w:r>
              <w:t>337.16</w:t>
            </w: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20136</w:t>
            </w:r>
          </w:p>
        </w:tc>
        <w:tc>
          <w:tcPr>
            <w:tcW w:w="4535" w:type="dxa"/>
            <w:vAlign w:val="center"/>
          </w:tcPr>
          <w:p>
            <w:pPr>
              <w:pStyle w:val="16"/>
            </w:pPr>
            <w:r>
              <w:t>其他共产党事务支出</w:t>
            </w:r>
          </w:p>
        </w:tc>
        <w:tc>
          <w:tcPr>
            <w:tcW w:w="2551" w:type="dxa"/>
            <w:vAlign w:val="center"/>
          </w:tcPr>
          <w:p>
            <w:pPr>
              <w:pStyle w:val="15"/>
            </w:pPr>
            <w:r>
              <w:t>1305.76</w:t>
            </w:r>
          </w:p>
        </w:tc>
        <w:tc>
          <w:tcPr>
            <w:tcW w:w="2551" w:type="dxa"/>
            <w:vAlign w:val="center"/>
          </w:tcPr>
          <w:p>
            <w:pPr>
              <w:pStyle w:val="15"/>
            </w:pPr>
            <w:r>
              <w:t>337.16</w:t>
            </w: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2013601</w:t>
            </w:r>
          </w:p>
        </w:tc>
        <w:tc>
          <w:tcPr>
            <w:tcW w:w="4535" w:type="dxa"/>
            <w:vAlign w:val="center"/>
          </w:tcPr>
          <w:p>
            <w:pPr>
              <w:pStyle w:val="16"/>
            </w:pPr>
            <w:r>
              <w:t>行政运行</w:t>
            </w:r>
          </w:p>
        </w:tc>
        <w:tc>
          <w:tcPr>
            <w:tcW w:w="2551" w:type="dxa"/>
            <w:vAlign w:val="center"/>
          </w:tcPr>
          <w:p>
            <w:pPr>
              <w:pStyle w:val="15"/>
            </w:pPr>
            <w:r>
              <w:t>337.16</w:t>
            </w:r>
          </w:p>
        </w:tc>
        <w:tc>
          <w:tcPr>
            <w:tcW w:w="2551" w:type="dxa"/>
            <w:vAlign w:val="center"/>
          </w:tcPr>
          <w:p>
            <w:pPr>
              <w:pStyle w:val="15"/>
            </w:pPr>
            <w:r>
              <w:t>337.16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2013699</w:t>
            </w:r>
          </w:p>
        </w:tc>
        <w:tc>
          <w:tcPr>
            <w:tcW w:w="4535" w:type="dxa"/>
            <w:vAlign w:val="center"/>
          </w:tcPr>
          <w:p>
            <w:pPr>
              <w:pStyle w:val="16"/>
            </w:pPr>
            <w:r>
              <w:t>其他共产党事务支出</w:t>
            </w:r>
          </w:p>
        </w:tc>
        <w:tc>
          <w:tcPr>
            <w:tcW w:w="2551" w:type="dxa"/>
            <w:vAlign w:val="center"/>
          </w:tcPr>
          <w:p>
            <w:pPr>
              <w:pStyle w:val="15"/>
            </w:pPr>
            <w:r>
              <w:t>968.60</w:t>
            </w:r>
          </w:p>
        </w:tc>
        <w:tc>
          <w:tcPr>
            <w:tcW w:w="2551" w:type="dxa"/>
            <w:vAlign w:val="center"/>
          </w:tcPr>
          <w:p>
            <w:pPr>
              <w:pStyle w:val="15"/>
            </w:pP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409.51</w:t>
            </w:r>
          </w:p>
        </w:tc>
        <w:tc>
          <w:tcPr>
            <w:tcW w:w="2551" w:type="dxa"/>
            <w:vAlign w:val="center"/>
          </w:tcPr>
          <w:p>
            <w:pPr>
              <w:pStyle w:val="19"/>
            </w:pPr>
            <w:r>
              <w:t>386.19</w:t>
            </w:r>
          </w:p>
        </w:tc>
        <w:tc>
          <w:tcPr>
            <w:tcW w:w="2551" w:type="dxa"/>
            <w:vAlign w:val="center"/>
          </w:tcPr>
          <w:p>
            <w:pPr>
              <w:pStyle w:val="19"/>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274.66</w:t>
            </w:r>
          </w:p>
        </w:tc>
        <w:tc>
          <w:tcPr>
            <w:tcW w:w="2551" w:type="dxa"/>
            <w:vAlign w:val="center"/>
          </w:tcPr>
          <w:p>
            <w:pPr>
              <w:pStyle w:val="15"/>
            </w:pPr>
            <w:r>
              <w:t>274.66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91.75</w:t>
            </w:r>
          </w:p>
        </w:tc>
        <w:tc>
          <w:tcPr>
            <w:tcW w:w="2551" w:type="dxa"/>
            <w:vAlign w:val="center"/>
          </w:tcPr>
          <w:p>
            <w:pPr>
              <w:pStyle w:val="15"/>
            </w:pPr>
            <w:r>
              <w:t>91.75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64.04</w:t>
            </w:r>
          </w:p>
        </w:tc>
        <w:tc>
          <w:tcPr>
            <w:tcW w:w="2551" w:type="dxa"/>
            <w:vAlign w:val="center"/>
          </w:tcPr>
          <w:p>
            <w:pPr>
              <w:pStyle w:val="15"/>
            </w:pPr>
            <w:r>
              <w:t>64.04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37.07</w:t>
            </w:r>
          </w:p>
        </w:tc>
        <w:tc>
          <w:tcPr>
            <w:tcW w:w="2551" w:type="dxa"/>
            <w:vAlign w:val="center"/>
          </w:tcPr>
          <w:p>
            <w:pPr>
              <w:pStyle w:val="15"/>
            </w:pPr>
            <w:r>
              <w:t>37.07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9.34</w:t>
            </w:r>
          </w:p>
        </w:tc>
        <w:tc>
          <w:tcPr>
            <w:tcW w:w="2551" w:type="dxa"/>
            <w:vAlign w:val="center"/>
          </w:tcPr>
          <w:p>
            <w:pPr>
              <w:pStyle w:val="15"/>
            </w:pPr>
            <w:r>
              <w:t>9.34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23.32</w:t>
            </w:r>
          </w:p>
        </w:tc>
        <w:tc>
          <w:tcPr>
            <w:tcW w:w="2551" w:type="dxa"/>
            <w:vAlign w:val="center"/>
          </w:tcPr>
          <w:p>
            <w:pPr>
              <w:pStyle w:val="15"/>
            </w:pPr>
          </w:p>
        </w:tc>
        <w:tc>
          <w:tcPr>
            <w:tcW w:w="2551" w:type="dxa"/>
            <w:vAlign w:val="center"/>
          </w:tcPr>
          <w:p>
            <w:pPr>
              <w:pStyle w:val="15"/>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1.52</w:t>
            </w:r>
          </w:p>
        </w:tc>
        <w:tc>
          <w:tcPr>
            <w:tcW w:w="2551" w:type="dxa"/>
            <w:vAlign w:val="center"/>
          </w:tcPr>
          <w:p>
            <w:pPr>
              <w:pStyle w:val="15"/>
            </w:pPr>
          </w:p>
        </w:tc>
        <w:tc>
          <w:tcPr>
            <w:tcW w:w="2551"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4.44</w:t>
            </w:r>
          </w:p>
        </w:tc>
        <w:tc>
          <w:tcPr>
            <w:tcW w:w="2551" w:type="dxa"/>
            <w:vAlign w:val="center"/>
          </w:tcPr>
          <w:p>
            <w:pPr>
              <w:pStyle w:val="15"/>
            </w:pPr>
          </w:p>
        </w:tc>
        <w:tc>
          <w:tcPr>
            <w:tcW w:w="2551" w:type="dxa"/>
            <w:vAlign w:val="center"/>
          </w:tcPr>
          <w:p>
            <w:pPr>
              <w:pStyle w:val="15"/>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0.76</w:t>
            </w:r>
          </w:p>
        </w:tc>
        <w:tc>
          <w:tcPr>
            <w:tcW w:w="2551" w:type="dxa"/>
            <w:vAlign w:val="center"/>
          </w:tcPr>
          <w:p>
            <w:pPr>
              <w:pStyle w:val="15"/>
            </w:pPr>
          </w:p>
        </w:tc>
        <w:tc>
          <w:tcPr>
            <w:tcW w:w="2551"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1.84</w:t>
            </w:r>
          </w:p>
        </w:tc>
        <w:tc>
          <w:tcPr>
            <w:tcW w:w="2551" w:type="dxa"/>
            <w:vAlign w:val="center"/>
          </w:tcPr>
          <w:p>
            <w:pPr>
              <w:pStyle w:val="15"/>
            </w:pPr>
          </w:p>
        </w:tc>
        <w:tc>
          <w:tcPr>
            <w:tcW w:w="2551"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2.29</w:t>
            </w:r>
          </w:p>
        </w:tc>
        <w:tc>
          <w:tcPr>
            <w:tcW w:w="2551" w:type="dxa"/>
            <w:vAlign w:val="center"/>
          </w:tcPr>
          <w:p>
            <w:pPr>
              <w:pStyle w:val="15"/>
            </w:pPr>
          </w:p>
        </w:tc>
        <w:tc>
          <w:tcPr>
            <w:tcW w:w="2551" w:type="dxa"/>
            <w:vAlign w:val="center"/>
          </w:tcPr>
          <w:p>
            <w:pPr>
              <w:pStyle w:val="15"/>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12.47</w:t>
            </w:r>
          </w:p>
        </w:tc>
        <w:tc>
          <w:tcPr>
            <w:tcW w:w="2551" w:type="dxa"/>
            <w:vAlign w:val="center"/>
          </w:tcPr>
          <w:p>
            <w:pPr>
              <w:pStyle w:val="15"/>
            </w:pPr>
          </w:p>
        </w:tc>
        <w:tc>
          <w:tcPr>
            <w:tcW w:w="2551" w:type="dxa"/>
            <w:vAlign w:val="center"/>
          </w:tcPr>
          <w:p>
            <w:pPr>
              <w:pStyle w:val="15"/>
            </w:pPr>
            <w:r>
              <w:t>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111.53</w:t>
            </w:r>
          </w:p>
        </w:tc>
        <w:tc>
          <w:tcPr>
            <w:tcW w:w="2551" w:type="dxa"/>
            <w:vAlign w:val="center"/>
          </w:tcPr>
          <w:p>
            <w:pPr>
              <w:pStyle w:val="15"/>
            </w:pPr>
            <w:r>
              <w:t>111.53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0.25</w:t>
            </w:r>
          </w:p>
        </w:tc>
        <w:tc>
          <w:tcPr>
            <w:tcW w:w="2551" w:type="dxa"/>
            <w:vAlign w:val="center"/>
          </w:tcPr>
          <w:p>
            <w:pPr>
              <w:pStyle w:val="15"/>
            </w:pPr>
            <w:r>
              <w:t>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0.28</w:t>
            </w:r>
          </w:p>
        </w:tc>
        <w:tc>
          <w:tcPr>
            <w:tcW w:w="2551" w:type="dxa"/>
            <w:vAlign w:val="center"/>
          </w:tcPr>
          <w:p>
            <w:pPr>
              <w:pStyle w:val="15"/>
            </w:pPr>
            <w:r>
              <w:t>0.28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111.00</w:t>
            </w:r>
          </w:p>
        </w:tc>
        <w:tc>
          <w:tcPr>
            <w:tcW w:w="2551" w:type="dxa"/>
            <w:vAlign w:val="center"/>
          </w:tcPr>
          <w:p>
            <w:pPr>
              <w:pStyle w:val="15"/>
            </w:pPr>
            <w:r>
              <w:t>111.00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201002中共沙河市委政法委员会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sz w:val="72"/>
          <w:szCs w:val="72"/>
        </w:rPr>
      </w:pPr>
      <w:r>
        <w:rPr>
          <w:rFonts w:hint="eastAsia" w:ascii="方正楷体_GBK" w:hAnsi="方正楷体_GBK" w:eastAsia="方正楷体_GBK" w:cs="方正楷体_GBK"/>
          <w:b/>
          <w:color w:val="000000"/>
          <w:sz w:val="72"/>
          <w:szCs w:val="72"/>
          <w:lang w:eastAsia="zh-CN"/>
        </w:rPr>
        <w:t>第二部分</w:t>
      </w:r>
      <w:r>
        <w:rPr>
          <w:rFonts w:hint="eastAsia" w:ascii="方正楷体_GBK" w:hAnsi="方正楷体_GBK" w:eastAsia="方正楷体_GBK" w:cs="方正楷体_GBK"/>
          <w:b/>
          <w:color w:val="000000"/>
          <w:sz w:val="72"/>
          <w:szCs w:val="72"/>
          <w:lang w:val="en-US" w:eastAsia="zh-CN"/>
        </w:rPr>
        <w:t xml:space="preserve">  </w:t>
      </w:r>
      <w:r>
        <w:rPr>
          <w:rFonts w:hint="eastAsia" w:ascii="方正楷体_GBK" w:hAnsi="方正楷体_GBK" w:eastAsia="方正楷体_GBK" w:cs="方正楷体_GBK"/>
          <w:b/>
          <w:color w:val="000000"/>
          <w:sz w:val="72"/>
          <w:szCs w:val="72"/>
          <w:lang w:eastAsia="zh-CN"/>
        </w:rPr>
        <w:t>单位</w:t>
      </w:r>
      <w:r>
        <w:rPr>
          <w:rFonts w:ascii="方正楷体_GBK" w:hAnsi="方正楷体_GBK" w:eastAsia="方正楷体_GBK" w:cs="方正楷体_GBK"/>
          <w:b/>
          <w:color w:val="000000"/>
          <w:sz w:val="72"/>
          <w:szCs w:val="72"/>
        </w:rPr>
        <w:t>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预算法》、《地方预决算公开操作规程》和《关于进一步推进预算公开工作的实施意见》规定，现将中共沙河市委政法委员会2022年单位预算公开如下：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29"/>
      </w:pPr>
      <w:r>
        <w:t>2.对全市政法工作研究提出全局性部署，推进平安沙河法治沙河建设，加强过硬队伍建设，深化智能化建设，坚决维护国家政治安全，确保社会大局稳定、促进社会公平正义、保障人民安居乐业。</w:t>
      </w:r>
    </w:p>
    <w:p>
      <w:pPr>
        <w:pStyle w:val="29"/>
      </w:pPr>
      <w:r>
        <w:t>3.了解掌握和分析研判政法工作情况动态，分析社会稳定形势，创新完善多部门参与的综治维稳工作机制，协调推动预防、化解影响稳定的社会矛盾和风险，协调应对和处置重大突发事件。</w:t>
      </w:r>
    </w:p>
    <w:p>
      <w:pPr>
        <w:pStyle w:val="29"/>
      </w:pPr>
      <w:r>
        <w:t>4.加强对政法工作的督查，统筹协调社会治安综合治理维护社会稳定、反邪教有关法律法规政策的实施工作。</w:t>
      </w:r>
    </w:p>
    <w:p>
      <w:pPr>
        <w:pStyle w:val="29"/>
      </w:pPr>
      <w:r>
        <w:t>5.组织开展政法领域的调查</w:t>
      </w:r>
      <w:r>
        <w:rPr>
          <w:rFonts w:hint="eastAsia"/>
          <w:lang w:eastAsia="zh-CN"/>
        </w:rPr>
        <w:t>研究</w:t>
      </w:r>
      <w:r>
        <w:t>，研究拟订政法工作的重大措施，及时向市委提出建议。</w:t>
      </w:r>
    </w:p>
    <w:p>
      <w:pPr>
        <w:pStyle w:val="29"/>
      </w:pPr>
      <w:r>
        <w:t>6.掌握分析政法舆情动态，指导协调政法单位媒体网络宣传工作，指导政法单位做好涉及政法工作的重大宣传工作。</w:t>
      </w:r>
    </w:p>
    <w:p>
      <w:pPr>
        <w:pStyle w:val="29"/>
      </w:pPr>
      <w:r>
        <w:t>7.监督和支持政法单位依法行使职权，指导和协调政法单位密切配合，研究和协调重大、疑难案件，指导政法单位涉法涉诉信访工作，推进严格执法、公正司法。</w:t>
      </w:r>
    </w:p>
    <w:p>
      <w:pPr>
        <w:pStyle w:val="29"/>
      </w:pPr>
      <w:r>
        <w:t>8.组织研究政法改革中带有方向性、倾向性和普遍性的重大问题，深化政法改革，联系市委全面依法治市委员会办公室。</w:t>
      </w:r>
    </w:p>
    <w:p>
      <w:pPr>
        <w:pStyle w:val="29"/>
      </w:pPr>
      <w:r>
        <w:t>9.指导推动政法系统党的建设和政法队伍建设，协调和指导全市见义勇为工作，代管市法学会。</w:t>
      </w:r>
    </w:p>
    <w:p>
      <w:pPr>
        <w:pStyle w:val="29"/>
      </w:pPr>
      <w:r>
        <w:t>10.统筹推动全市政法系统信息化工作，指导政法智能化建设。</w:t>
      </w:r>
    </w:p>
    <w:p>
      <w:pPr>
        <w:pStyle w:val="29"/>
      </w:pPr>
      <w:r>
        <w:t>11.完成邢台市委政法委员会和沙河市委交办的其他任务。</w:t>
      </w:r>
    </w:p>
    <w:p>
      <w:pPr>
        <w:pStyle w:val="29"/>
      </w:pPr>
    </w:p>
    <w:p>
      <w:pPr>
        <w:pStyle w:val="29"/>
      </w:pPr>
      <w:r>
        <w:t>机构设置：</w:t>
      </w:r>
    </w:p>
    <w:p>
      <w:pPr>
        <w:pStyle w:val="29"/>
      </w:pPr>
      <w:r>
        <w:t>根据上述职责，中共沙河市委政法委员会设4个内设机构：办公室、执法监督和维稳指导股、综治督导股、政治部综合股。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中共沙河市委政法委员会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按照预算管理有关规定，目前我委部门预算的编制实行综合预算制度，即全部收入和支出都反映在预算中。</w:t>
      </w:r>
    </w:p>
    <w:p>
      <w:pPr>
        <w:pStyle w:val="30"/>
      </w:pPr>
      <w:r>
        <w:t>（一）收入说明</w:t>
      </w:r>
    </w:p>
    <w:p>
      <w:pPr>
        <w:pStyle w:val="30"/>
      </w:pPr>
      <w:r>
        <w:t>反映本部门当年全部收入。2022年预算收入1378.11万元，其中：一般公共预算收入1378.11万元，基金预算拨款0元。</w:t>
      </w:r>
    </w:p>
    <w:p>
      <w:pPr>
        <w:pStyle w:val="30"/>
      </w:pPr>
      <w:r>
        <w:t>（二）支出说明</w:t>
      </w:r>
    </w:p>
    <w:p>
      <w:pPr>
        <w:pStyle w:val="30"/>
      </w:pPr>
      <w:r>
        <w:t>收支预算总表支出栏、基本支出表、项目支出表按经济分类和支出功能分类科目编制，反映中共沙河市委政法委员会2022年度部门预算中支出预算的总体情况。2022年支出预算1378.11万元，其中基本支出409.51万元，包括人员经费和日常公用经费；项目支出968.6万元，主要项目为综治综治中心专职人员及全市网格员补贴、社会治安综合治理经费、扫黑除恶经费、见义勇为专项基金、突发事件处理经费、综治视联网工程维护费及专网租赁费等。</w:t>
      </w:r>
    </w:p>
    <w:p>
      <w:pPr>
        <w:pStyle w:val="30"/>
      </w:pPr>
      <w:r>
        <w:t>（三）比上年增减情况</w:t>
      </w:r>
    </w:p>
    <w:p>
      <w:pPr>
        <w:pStyle w:val="30"/>
      </w:pPr>
      <w:r>
        <w:t>2022年预算收支安排1378.11万元，较2021年预算增加279.47万元，其中基本支出增加141.7万元，主要为人员经费支出增加；项目支出增加137.77万元，主要为新增项目支出并列入年初预算。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机关运行经费安排23.32万元，主要用于办公费、邮电费、办公取暖费、工会经费、福利费及其他交通费用等日常运转支出。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2022年，我部门“三公”经费预算安排0万元，其中因公出国（境）费0元；公务用车购置及运维费0万元（公务用车购置费0元，公务用车运维费0万元）；公务接待费0万元。较2021年“三公”经费预算安排无变化。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
        <w:numPr>
          <w:ilvl w:val="0"/>
          <w:numId w:val="0"/>
        </w:numPr>
        <w:spacing w:after="120"/>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坚持以习近平新时代中国特色社会主义思想为指导，全面贯彻党的十九大精神，认真落实习近平总书记重要讲话和中央、省委、邢台市委政法工作会议精神，坚持党对政法工作的绝对领导，全面系统梳理教育整顿工作，进一步总结经验、反思不足、查漏补缺，逐环节逐事项进行总结提炼,持续加强重点地区、重点行业领域整治，严厉打击电信网络诈骗、盗抢骗、黄赌毒等违法犯罪，依法严惩非法盗采砂石，切实解决社会治安突出问题，提高群众安全感,构建以综治中心为载体，以雪亮工程应用平台、网格化服务管理平台、矛盾纠纷多元化调处平台、综治视联网指挥平台为支撑的“一中心四平台”社会治理实战体系,强化工作措施和压实工作责任，进一步加强社会面整体防控,持续开展风险隐患排查化解活动。围绕做好元旦、春节、冬奥会及残奥会期间社会安全稳定工作，强化源头治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 xml:space="preserve">（一）聚焦关键环节，全面加快法治沙河建设，全力维护社会大局 稳定，有效防控风险。 </w:t>
      </w:r>
    </w:p>
    <w:p>
      <w:pPr>
        <w:pStyle w:val="26"/>
      </w:pPr>
      <w:r>
        <w:t xml:space="preserve">绩效目标：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pPr>
        <w:pStyle w:val="26"/>
      </w:pPr>
      <w:r>
        <w:t xml:space="preserve">绩效指标：群众社会安全感增长率达到 5%以上、对治安状况的满意度达到 90%以上，对群体性事件成功办结率达到 100%。 </w:t>
      </w:r>
    </w:p>
    <w:p>
      <w:pPr>
        <w:pStyle w:val="26"/>
      </w:pPr>
      <w:r>
        <w:t xml:space="preserve">（二）深化平安铁路建设，确保铁路运输安全。 </w:t>
      </w:r>
    </w:p>
    <w:p>
      <w:pPr>
        <w:pStyle w:val="26"/>
      </w:pPr>
      <w:r>
        <w:t>绩效目标：做好全国</w:t>
      </w:r>
      <w:r>
        <w:rPr>
          <w:rFonts w:hint="eastAsia"/>
          <w:lang w:eastAsia="zh-CN"/>
        </w:rPr>
        <w:t>两会</w:t>
      </w:r>
      <w:r>
        <w:t xml:space="preserve">及重要节点铁路护路联防工作，确保我市辖区内铁路运输安全。 </w:t>
      </w:r>
    </w:p>
    <w:p>
      <w:pPr>
        <w:pStyle w:val="26"/>
      </w:pPr>
      <w:r>
        <w:t xml:space="preserve">绩效指标：市内铁路沿线治安秩序稳定率大于 90%，不发生铁路重大案件。 </w:t>
      </w:r>
    </w:p>
    <w:p>
      <w:pPr>
        <w:pStyle w:val="26"/>
      </w:pPr>
      <w:r>
        <w:t xml:space="preserve">（三）大力弘扬见义勇为英雄表彰事迹，凝聚社会正能量。 </w:t>
      </w:r>
    </w:p>
    <w:p>
      <w:pPr>
        <w:pStyle w:val="26"/>
      </w:pPr>
      <w:r>
        <w:t xml:space="preserve">绩效目标：坚持法治和德治相结合，大力褒奖善行义举，积极倡导见义勇为行为。通过见义勇为行为的宣传、表彰与救助等措施，激发广大群众见义勇为的积极性。 </w:t>
      </w:r>
    </w:p>
    <w:p>
      <w:pPr>
        <w:pStyle w:val="26"/>
      </w:pPr>
      <w:r>
        <w:t>绩效指标： 对授予见义勇为英雄模范人物，给予生活补助，对见义勇为认定准确率和表彰率达到 100%。</w:t>
      </w:r>
    </w:p>
    <w:p>
      <w:pPr>
        <w:pStyle w:val="26"/>
      </w:pPr>
      <w:r>
        <w:t>（四）精神病患者责任险及以奖代补资金</w:t>
      </w:r>
    </w:p>
    <w:p>
      <w:pPr>
        <w:pStyle w:val="26"/>
      </w:pPr>
      <w:r>
        <w:t>绩效目标：减少精神病患者肇事肇祸案件的发生率，减少对社会带来的不稳定不各谐因素，通过对精神障碍患者监护人购买责任险，对冲社会风险，全面提升群众安全感。</w:t>
      </w:r>
    </w:p>
    <w:p>
      <w:pPr>
        <w:pStyle w:val="26"/>
      </w:pPr>
      <w:r>
        <w:t>绩效指标：对精神病患者达到100%入保责任险，保障受害人的合法权益。</w:t>
      </w:r>
    </w:p>
    <w:p>
      <w:pPr>
        <w:pStyle w:val="26"/>
      </w:pPr>
      <w:r>
        <w:t>（五）综治中心专职工作人员及全市网格员补贴</w:t>
      </w:r>
    </w:p>
    <w:p>
      <w:pPr>
        <w:pStyle w:val="26"/>
      </w:pPr>
      <w:r>
        <w:t>绩效目标：以创建平安沙河为目标，打造“平安沙河”建设升级版，深入推进社会治安综合治理创新，切实增强人民群众安全感。</w:t>
      </w:r>
    </w:p>
    <w:p>
      <w:pPr>
        <w:pStyle w:val="26"/>
      </w:pPr>
      <w:r>
        <w:t>绩效指标：全面提升网格员工作效能，矛盾纠纷排查化解入统率95%。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制定完善预算绩效管理制度、资金管理办法、工作保障制度等，加强分管科室预算和资金支出等工作，督促抓好执行落实，确保工作有序开展。机关各科室要围绕任务目标，认真负责，分工协作、密切配合，高质高效地完成好承担的预算和支出事项。为全年预算绩效目标的实现奠定制度基础。</w:t>
      </w:r>
    </w:p>
    <w:p>
      <w:pPr>
        <w:pStyle w:val="27"/>
      </w:pPr>
      <w:r>
        <w:t>（二）加强支出管理。通过优化支出结构、编细编实预算、加快履行政府采购手续、尽快启动项目、及时支付资金。强化财政预算执行，在保障机关工作正常运转的前提下，要厉行节约，坚决杜绝铺张浪费。严格做到专款专用、事财相符，做到支出事项合理，程序合法，进度合规。</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p>
    <w:p>
      <w:pPr>
        <w:pStyle w:val="2"/>
        <w:rPr>
          <w:rFonts w:hint="eastAsia"/>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rPr>
          <w:rFonts w:hint="eastAsia" w:eastAsia="方正楷体_GBK"/>
          <w:lang w:val="en-US"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r>
        <w:rPr>
          <w:rFonts w:hint="eastAsia" w:ascii="方正楷体_GBK" w:hAnsi="方正楷体_GBK" w:eastAsia="方正楷体_GBK" w:cs="方正楷体_GBK"/>
          <w:b/>
          <w:color w:val="000000"/>
          <w:sz w:val="32"/>
          <w:lang w:val="en-US" w:eastAsia="zh-CN"/>
        </w:rPr>
        <w:t xml:space="preserve"> </w:t>
      </w:r>
    </w:p>
    <w:p>
      <w:pPr>
        <w:spacing w:before="0" w:after="0"/>
        <w:ind w:firstLine="281" w:firstLineChars="100"/>
        <w:jc w:val="left"/>
        <w:outlineLvl w:val="9"/>
      </w:pPr>
      <w:r>
        <w:rPr>
          <w:rFonts w:ascii="方正仿宋_GBK" w:hAnsi="方正仿宋_GBK" w:eastAsia="方正仿宋_GBK" w:cs="方正仿宋_GBK"/>
          <w:b/>
          <w:color w:val="000000"/>
          <w:sz w:val="28"/>
        </w:rPr>
        <w:t>1、防范办工作经费绩效目标表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2、见义勇为专项基金绩效目标表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1.用为对见义勇为人员的奖励和补贴，形成良好的见义勇为的良好社会风气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宣传活动开展次数</w:t>
            </w:r>
          </w:p>
        </w:tc>
        <w:tc>
          <w:tcPr>
            <w:tcW w:w="2466" w:type="dxa"/>
            <w:vAlign w:val="center"/>
          </w:tcPr>
          <w:p>
            <w:pPr>
              <w:pStyle w:val="16"/>
            </w:pPr>
            <w:r>
              <w:t>宣传活动开展次数</w:t>
            </w:r>
          </w:p>
        </w:tc>
        <w:tc>
          <w:tcPr>
            <w:tcW w:w="2466" w:type="dxa"/>
            <w:vAlign w:val="center"/>
          </w:tcPr>
          <w:p>
            <w:pPr>
              <w:pStyle w:val="16"/>
            </w:pPr>
            <w:r>
              <w:t>≥2次</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保障见义勇为人合法权益</w:t>
            </w:r>
          </w:p>
        </w:tc>
        <w:tc>
          <w:tcPr>
            <w:tcW w:w="2466" w:type="dxa"/>
            <w:vAlign w:val="center"/>
          </w:tcPr>
          <w:p>
            <w:pPr>
              <w:pStyle w:val="16"/>
            </w:pPr>
            <w:r>
              <w:t>保障见义勇为人合法权益</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20万元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3、精神病患者责任险绩效目标表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1.减少精神病患者肇事肇祸案件的发生率，减少对社会带来的不稳定不</w:t>
            </w:r>
            <w:r>
              <w:rPr>
                <w:rFonts w:hint="eastAsia"/>
                <w:lang w:eastAsia="zh-CN"/>
              </w:rPr>
              <w:t>合</w:t>
            </w:r>
            <w:r>
              <w:t>谐因素，保障受害人的合法权益；通过对精神障碍患者监护人购买责任险，对冲社会风险。全面提升群众安全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减少精神病患者案件的发生率</w:t>
            </w:r>
          </w:p>
        </w:tc>
        <w:tc>
          <w:tcPr>
            <w:tcW w:w="2466" w:type="dxa"/>
            <w:vAlign w:val="center"/>
          </w:tcPr>
          <w:p>
            <w:pPr>
              <w:pStyle w:val="16"/>
            </w:pPr>
            <w:r>
              <w:t>减少社会带来的不稳定因素</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保障受害人的合法权益</w:t>
            </w:r>
          </w:p>
        </w:tc>
        <w:tc>
          <w:tcPr>
            <w:tcW w:w="2466" w:type="dxa"/>
            <w:vAlign w:val="center"/>
          </w:tcPr>
          <w:p>
            <w:pPr>
              <w:pStyle w:val="16"/>
            </w:pPr>
            <w:r>
              <w:t>保障受害人的合法权益</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保障时效</w:t>
            </w:r>
          </w:p>
        </w:tc>
        <w:tc>
          <w:tcPr>
            <w:tcW w:w="2466" w:type="dxa"/>
            <w:vAlign w:val="center"/>
          </w:tcPr>
          <w:p>
            <w:pPr>
              <w:pStyle w:val="16"/>
            </w:pPr>
            <w:r>
              <w:t>责任险保障时效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19.54万元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精神病患者稳定率</w:t>
            </w:r>
          </w:p>
        </w:tc>
        <w:tc>
          <w:tcPr>
            <w:tcW w:w="2466" w:type="dxa"/>
            <w:vAlign w:val="center"/>
          </w:tcPr>
          <w:p>
            <w:pPr>
              <w:pStyle w:val="16"/>
            </w:pPr>
            <w:r>
              <w:t>比去年有所提高</w:t>
            </w:r>
          </w:p>
        </w:tc>
        <w:tc>
          <w:tcPr>
            <w:tcW w:w="2466" w:type="dxa"/>
            <w:vAlign w:val="center"/>
          </w:tcPr>
          <w:p>
            <w:pPr>
              <w:pStyle w:val="16"/>
            </w:pPr>
            <w:r>
              <w:t>≥20%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精神病患者服务满意度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4、矿区协调经费绩效目标表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1.维护矿区安定，为矿区管理提供服务，保障矿区安定团结局面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维护矿区安定</w:t>
            </w:r>
          </w:p>
        </w:tc>
        <w:tc>
          <w:tcPr>
            <w:tcW w:w="2466" w:type="dxa"/>
            <w:vAlign w:val="center"/>
          </w:tcPr>
          <w:p>
            <w:pPr>
              <w:pStyle w:val="16"/>
            </w:pPr>
            <w:r>
              <w:t>保障矿区安定团结局面</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维护企业正运行</w:t>
            </w:r>
          </w:p>
        </w:tc>
        <w:tc>
          <w:tcPr>
            <w:tcW w:w="2466" w:type="dxa"/>
            <w:vAlign w:val="center"/>
          </w:tcPr>
          <w:p>
            <w:pPr>
              <w:pStyle w:val="16"/>
            </w:pPr>
            <w:r>
              <w:t>维护矿山企业正常运行</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缓解工农矛盾</w:t>
            </w:r>
          </w:p>
        </w:tc>
        <w:tc>
          <w:tcPr>
            <w:tcW w:w="2466" w:type="dxa"/>
            <w:vAlign w:val="center"/>
          </w:tcPr>
          <w:p>
            <w:pPr>
              <w:pStyle w:val="16"/>
            </w:pPr>
            <w:r>
              <w:t>保障矿区和谐稳定的局面</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产出成本</w:t>
            </w:r>
          </w:p>
        </w:tc>
        <w:tc>
          <w:tcPr>
            <w:tcW w:w="2466" w:type="dxa"/>
            <w:vAlign w:val="center"/>
          </w:tcPr>
          <w:p>
            <w:pPr>
              <w:pStyle w:val="16"/>
            </w:pPr>
            <w:r>
              <w:t>着力解决矿区群众利益</w:t>
            </w:r>
          </w:p>
        </w:tc>
        <w:tc>
          <w:tcPr>
            <w:tcW w:w="2466" w:type="dxa"/>
            <w:vAlign w:val="center"/>
          </w:tcPr>
          <w:p>
            <w:pPr>
              <w:pStyle w:val="16"/>
            </w:pPr>
            <w:r>
              <w:t>使群众切身利益问题得到合理赔偿</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保障群众财产安全</w:t>
            </w:r>
          </w:p>
        </w:tc>
        <w:tc>
          <w:tcPr>
            <w:tcW w:w="2466" w:type="dxa"/>
            <w:vAlign w:val="center"/>
          </w:tcPr>
          <w:p>
            <w:pPr>
              <w:pStyle w:val="16"/>
            </w:pPr>
            <w:r>
              <w:t>保障群众切身利益</w:t>
            </w:r>
          </w:p>
        </w:tc>
        <w:tc>
          <w:tcPr>
            <w:tcW w:w="2466" w:type="dxa"/>
            <w:vAlign w:val="center"/>
          </w:tcPr>
          <w:p>
            <w:pPr>
              <w:pStyle w:val="16"/>
            </w:pPr>
            <w:r>
              <w:t>使群众切身利益问题得到合理赔偿</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提高人民满意度</w:t>
            </w:r>
          </w:p>
        </w:tc>
        <w:tc>
          <w:tcPr>
            <w:tcW w:w="2466" w:type="dxa"/>
            <w:vAlign w:val="center"/>
          </w:tcPr>
          <w:p>
            <w:pPr>
              <w:pStyle w:val="16"/>
            </w:pPr>
            <w:r>
              <w:t>提高群众满意度维护我市稳定</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5、扫黑除恶经费绩效目标表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6、沙河市综治视联网工程维护费及专网租赁费绩效目标表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1.确保综治视联网正常运行。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维护系统终端（个）</w:t>
            </w:r>
          </w:p>
        </w:tc>
        <w:tc>
          <w:tcPr>
            <w:tcW w:w="2466" w:type="dxa"/>
            <w:vAlign w:val="center"/>
          </w:tcPr>
          <w:p>
            <w:pPr>
              <w:pStyle w:val="16"/>
            </w:pPr>
            <w:r>
              <w:t>维护系统终端（个）</w:t>
            </w:r>
          </w:p>
        </w:tc>
        <w:tc>
          <w:tcPr>
            <w:tcW w:w="2466" w:type="dxa"/>
            <w:vAlign w:val="center"/>
          </w:tcPr>
          <w:p>
            <w:pPr>
              <w:pStyle w:val="16"/>
            </w:pPr>
            <w:r>
              <w:t>≤283个</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综治视联网运行维护状态</w:t>
            </w:r>
          </w:p>
        </w:tc>
        <w:tc>
          <w:tcPr>
            <w:tcW w:w="2466" w:type="dxa"/>
            <w:vAlign w:val="center"/>
          </w:tcPr>
          <w:p>
            <w:pPr>
              <w:pStyle w:val="16"/>
            </w:pPr>
            <w:r>
              <w:t>综治视联网运行维护状态</w:t>
            </w:r>
          </w:p>
        </w:tc>
        <w:tc>
          <w:tcPr>
            <w:tcW w:w="2466" w:type="dxa"/>
            <w:vAlign w:val="center"/>
          </w:tcPr>
          <w:p>
            <w:pPr>
              <w:pStyle w:val="16"/>
            </w:pPr>
            <w:r>
              <w:t>正常运行</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故障排除平均时效</w:t>
            </w:r>
          </w:p>
        </w:tc>
        <w:tc>
          <w:tcPr>
            <w:tcW w:w="2466" w:type="dxa"/>
            <w:vAlign w:val="center"/>
          </w:tcPr>
          <w:p>
            <w:pPr>
              <w:pStyle w:val="16"/>
            </w:pPr>
            <w:r>
              <w:t>故障排除平均时效</w:t>
            </w:r>
          </w:p>
        </w:tc>
        <w:tc>
          <w:tcPr>
            <w:tcW w:w="2466" w:type="dxa"/>
            <w:vAlign w:val="center"/>
          </w:tcPr>
          <w:p>
            <w:pPr>
              <w:pStyle w:val="16"/>
            </w:pPr>
            <w:r>
              <w:t>≥10小时</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≤142万元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为中央、省、邢台市综治视联网的互联互通保驾护航</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社会问题事件发生率</w:t>
            </w:r>
          </w:p>
        </w:tc>
        <w:tc>
          <w:tcPr>
            <w:tcW w:w="2466" w:type="dxa"/>
            <w:vAlign w:val="center"/>
          </w:tcPr>
          <w:p>
            <w:pPr>
              <w:pStyle w:val="16"/>
            </w:pPr>
            <w:r>
              <w:t>社会问题事件发生率</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政府或服务对象的满意度</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7、社会治安综合治理经费（含铁路护路）绩效目标表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1.做好矛盾纠纷排调和风险隐患防控工作，深化重点人群服务管理；深化平安铁路建设，夯实基层基础，确保市内铁路沿线治安秩序稳定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护路工作人员工资保障率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综治工作考核覆盖率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产出成本</w:t>
            </w:r>
          </w:p>
        </w:tc>
        <w:tc>
          <w:tcPr>
            <w:tcW w:w="2466" w:type="dxa"/>
            <w:vAlign w:val="center"/>
          </w:tcPr>
          <w:p>
            <w:pPr>
              <w:pStyle w:val="16"/>
            </w:pPr>
            <w:r>
              <w:t>资金成本</w:t>
            </w:r>
          </w:p>
        </w:tc>
        <w:tc>
          <w:tcPr>
            <w:tcW w:w="2466" w:type="dxa"/>
            <w:vAlign w:val="center"/>
          </w:tcPr>
          <w:p>
            <w:pPr>
              <w:pStyle w:val="16"/>
            </w:pPr>
            <w:r>
              <w:t>≤46.36万元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社会影响度</w:t>
            </w:r>
          </w:p>
        </w:tc>
        <w:tc>
          <w:tcPr>
            <w:tcW w:w="2466" w:type="dxa"/>
            <w:vAlign w:val="center"/>
          </w:tcPr>
          <w:p>
            <w:pPr>
              <w:pStyle w:val="16"/>
            </w:pPr>
            <w:r>
              <w:t>社会影响率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全面提升我市人民群众满意度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8、司法救助、涉法涉诉信访经费绩效目标表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1.1.完成司法体制改革各项任务，促进司法公正，做好涉法涉诉信访工作，确保社会稳定。</w:t>
            </w:r>
          </w:p>
          <w:p>
            <w:pPr>
              <w:pStyle w:val="16"/>
            </w:pPr>
            <w:r>
              <w:t>2.对符合救助条件且未参与过信访的当事人优先救助，提高救助标准，依法办理国家赔偿案件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开展救助活动次数</w:t>
            </w:r>
          </w:p>
        </w:tc>
        <w:tc>
          <w:tcPr>
            <w:tcW w:w="2466" w:type="dxa"/>
            <w:vAlign w:val="center"/>
          </w:tcPr>
          <w:p>
            <w:pPr>
              <w:pStyle w:val="16"/>
            </w:pPr>
            <w:r>
              <w:t>每年开展司法救助活动次数</w:t>
            </w:r>
          </w:p>
        </w:tc>
        <w:tc>
          <w:tcPr>
            <w:tcW w:w="2466" w:type="dxa"/>
            <w:vAlign w:val="center"/>
          </w:tcPr>
          <w:p>
            <w:pPr>
              <w:pStyle w:val="16"/>
            </w:pPr>
            <w:r>
              <w:t>≥2次</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救助程序规范率</w:t>
            </w:r>
          </w:p>
        </w:tc>
        <w:tc>
          <w:tcPr>
            <w:tcW w:w="2466" w:type="dxa"/>
            <w:vAlign w:val="center"/>
          </w:tcPr>
          <w:p>
            <w:pPr>
              <w:pStyle w:val="16"/>
            </w:pPr>
            <w:r>
              <w:t>司法救助规定程序规范率</w:t>
            </w:r>
          </w:p>
        </w:tc>
        <w:tc>
          <w:tcPr>
            <w:tcW w:w="2466" w:type="dxa"/>
            <w:vAlign w:val="center"/>
          </w:tcPr>
          <w:p>
            <w:pPr>
              <w:pStyle w:val="16"/>
            </w:pPr>
            <w:r>
              <w:t>1%</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救助及时率</w:t>
            </w:r>
          </w:p>
        </w:tc>
        <w:tc>
          <w:tcPr>
            <w:tcW w:w="2466" w:type="dxa"/>
            <w:vAlign w:val="center"/>
          </w:tcPr>
          <w:p>
            <w:pPr>
              <w:pStyle w:val="16"/>
            </w:pPr>
            <w:r>
              <w:t>司法救助救援对象及时率</w:t>
            </w:r>
          </w:p>
        </w:tc>
        <w:tc>
          <w:tcPr>
            <w:tcW w:w="2466" w:type="dxa"/>
            <w:vAlign w:val="center"/>
          </w:tcPr>
          <w:p>
            <w:pPr>
              <w:pStyle w:val="16"/>
            </w:pPr>
            <w:r>
              <w:t>1%</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成本指标</w:t>
            </w:r>
          </w:p>
        </w:tc>
        <w:tc>
          <w:tcPr>
            <w:tcW w:w="2466" w:type="dxa"/>
            <w:vAlign w:val="center"/>
          </w:tcPr>
          <w:p>
            <w:pPr>
              <w:pStyle w:val="16"/>
            </w:pPr>
            <w:r>
              <w:t>财政拨付资金14.58</w:t>
            </w:r>
          </w:p>
        </w:tc>
        <w:tc>
          <w:tcPr>
            <w:tcW w:w="2466" w:type="dxa"/>
            <w:vAlign w:val="center"/>
          </w:tcPr>
          <w:p>
            <w:pPr>
              <w:pStyle w:val="16"/>
            </w:pPr>
            <w:r>
              <w:t>≥14.58万元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接受司法救助后息诉罢访率</w:t>
            </w:r>
          </w:p>
        </w:tc>
        <w:tc>
          <w:tcPr>
            <w:tcW w:w="2466" w:type="dxa"/>
            <w:vAlign w:val="center"/>
          </w:tcPr>
          <w:p>
            <w:pPr>
              <w:pStyle w:val="16"/>
            </w:pPr>
            <w:r>
              <w:t>与去年相比有所减少</w:t>
            </w:r>
          </w:p>
        </w:tc>
        <w:tc>
          <w:tcPr>
            <w:tcW w:w="2466" w:type="dxa"/>
            <w:vAlign w:val="center"/>
          </w:tcPr>
          <w:p>
            <w:pPr>
              <w:pStyle w:val="16"/>
            </w:pPr>
            <w:r>
              <w:t>≥10%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救助案件办理情况群众满意率</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9、铁路技防两项工程运行费用绩效目标表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1.深化平安铁路建设，夯实基层基础，确保市内铁路沿线治安秩序稳定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综治工作完成率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全面完成各项护路安保任务</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≤4.85万元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社会影响度</w:t>
            </w:r>
          </w:p>
        </w:tc>
        <w:tc>
          <w:tcPr>
            <w:tcW w:w="2466" w:type="dxa"/>
            <w:vAlign w:val="center"/>
          </w:tcPr>
          <w:p>
            <w:pPr>
              <w:pStyle w:val="16"/>
            </w:pPr>
            <w:r>
              <w:t>社会影响率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全面提升我市人民群众满意度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10、突发事件处理经费绩效目标表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1.1.保证人民群众生产生活能够在安全和谐稳定的环境下进行，从而全面提升人民群众满意度。</w:t>
            </w:r>
          </w:p>
          <w:p>
            <w:pPr>
              <w:pStyle w:val="16"/>
            </w:pPr>
            <w:r>
              <w:t>2.对突发性事件及时、准确处理，并客观公正的向外发布简要信息。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妥善处置突发事件率</w:t>
            </w:r>
          </w:p>
        </w:tc>
        <w:tc>
          <w:tcPr>
            <w:tcW w:w="2466" w:type="dxa"/>
            <w:vAlign w:val="center"/>
          </w:tcPr>
          <w:p>
            <w:pPr>
              <w:pStyle w:val="16"/>
            </w:pPr>
            <w:r>
              <w:t>成功处置突发事件占全部信访案件的比例</w:t>
            </w:r>
          </w:p>
        </w:tc>
        <w:tc>
          <w:tcPr>
            <w:tcW w:w="2466" w:type="dxa"/>
            <w:vAlign w:val="center"/>
          </w:tcPr>
          <w:p>
            <w:pPr>
              <w:pStyle w:val="16"/>
            </w:pPr>
            <w:r>
              <w:t>≥90%</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妥善处置进京集体访率</w:t>
            </w:r>
          </w:p>
        </w:tc>
        <w:tc>
          <w:tcPr>
            <w:tcW w:w="2466" w:type="dxa"/>
            <w:vAlign w:val="center"/>
          </w:tcPr>
          <w:p>
            <w:pPr>
              <w:pStyle w:val="16"/>
            </w:pPr>
            <w:r>
              <w:t>成功处置进京集体访率占全部信访案件的比例</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妥善处置赴省集体访率</w:t>
            </w:r>
          </w:p>
        </w:tc>
        <w:tc>
          <w:tcPr>
            <w:tcW w:w="2466" w:type="dxa"/>
            <w:vAlign w:val="center"/>
          </w:tcPr>
          <w:p>
            <w:pPr>
              <w:pStyle w:val="16"/>
            </w:pPr>
            <w:r>
              <w:t>成功处置赴省集体访率占全部信访案件的比例</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成本指标</w:t>
            </w:r>
          </w:p>
        </w:tc>
        <w:tc>
          <w:tcPr>
            <w:tcW w:w="2466" w:type="dxa"/>
            <w:vAlign w:val="center"/>
          </w:tcPr>
          <w:p>
            <w:pPr>
              <w:pStyle w:val="16"/>
            </w:pPr>
            <w:r>
              <w:t>妥善处置事件成本</w:t>
            </w:r>
          </w:p>
        </w:tc>
        <w:tc>
          <w:tcPr>
            <w:tcW w:w="2466" w:type="dxa"/>
            <w:vAlign w:val="center"/>
          </w:tcPr>
          <w:p>
            <w:pPr>
              <w:pStyle w:val="16"/>
            </w:pPr>
            <w:r>
              <w:t>≤81万元</w:t>
            </w:r>
          </w:p>
        </w:tc>
        <w:tc>
          <w:tcPr>
            <w:tcW w:w="2466" w:type="dxa"/>
            <w:vAlign w:val="center"/>
          </w:tcPr>
          <w:p>
            <w:pPr>
              <w:pStyle w:val="16"/>
              <w:tabs>
                <w:tab w:val="center" w:pos="1125"/>
              </w:tabs>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进京赴省人次</w:t>
            </w:r>
          </w:p>
        </w:tc>
        <w:tc>
          <w:tcPr>
            <w:tcW w:w="2466" w:type="dxa"/>
            <w:vAlign w:val="center"/>
          </w:tcPr>
          <w:p>
            <w:pPr>
              <w:pStyle w:val="16"/>
            </w:pPr>
            <w:r>
              <w:t>较去年下降</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信访案件办理情况群众满意率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1.以创建平安沙河为目标，打造“平安沙河”建设升级版，深入推进社会治安综合治理创新，切实增强人民群众安全感。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上报问题数</w:t>
            </w:r>
          </w:p>
        </w:tc>
        <w:tc>
          <w:tcPr>
            <w:tcW w:w="2466" w:type="dxa"/>
            <w:vAlign w:val="center"/>
          </w:tcPr>
          <w:p>
            <w:pPr>
              <w:pStyle w:val="16"/>
            </w:pPr>
            <w:r>
              <w:t>≥70000条</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上报问题及时化解率</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问题化解时效</w:t>
            </w:r>
          </w:p>
        </w:tc>
        <w:tc>
          <w:tcPr>
            <w:tcW w:w="2466" w:type="dxa"/>
            <w:vAlign w:val="center"/>
          </w:tcPr>
          <w:p>
            <w:pPr>
              <w:pStyle w:val="16"/>
            </w:pPr>
            <w:r>
              <w:t>采取六步闭环机制措施，实时完结</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≤27.72万元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社会效益指标</w:t>
            </w:r>
          </w:p>
        </w:tc>
        <w:tc>
          <w:tcPr>
            <w:tcW w:w="2466" w:type="dxa"/>
            <w:vAlign w:val="center"/>
          </w:tcPr>
          <w:p>
            <w:pPr>
              <w:pStyle w:val="16"/>
            </w:pPr>
            <w:r>
              <w:t>社会效益指标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12、政法网维保费绩效目标表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1.以创建平安沙河为目标，打造“平安沙河”建设升级版；深入推进社会治安综合治理创新，切实增强人民群众安全感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保障政法网的正常运行</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政法网各个节点光纤稳定率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保障政法机关数据视频等综合业务顺利开展</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≤8.48万元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产出可持续影响</w:t>
            </w:r>
          </w:p>
        </w:tc>
        <w:tc>
          <w:tcPr>
            <w:tcW w:w="2466" w:type="dxa"/>
            <w:vAlign w:val="center"/>
          </w:tcPr>
          <w:p>
            <w:pPr>
              <w:pStyle w:val="16"/>
            </w:pPr>
            <w:r>
              <w:t>提供足够带宽资源和良好的网络环境</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政府或服务对象的满意度</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13、综治9+X信息系统账号使用费绩效目标表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1.全面开展特殊人群、护路护线、矛盾纠纷7个模块的信息录入工作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矛盾纠纷排查化解入统率</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保障系统正常使用</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≤14.96万元</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产出社会效益</w:t>
            </w:r>
          </w:p>
        </w:tc>
        <w:tc>
          <w:tcPr>
            <w:tcW w:w="2466" w:type="dxa"/>
            <w:vAlign w:val="center"/>
          </w:tcPr>
          <w:p>
            <w:pPr>
              <w:pStyle w:val="16"/>
            </w:pPr>
            <w:r>
              <w:t>维护社会和谐稳定发展</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14、综治中心专职工作人员及全市网格员补贴绩效目标表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1.1.以创建平安沙河为目标，打造“平安沙河”建设升级版</w:t>
            </w:r>
          </w:p>
          <w:p>
            <w:pPr>
              <w:pStyle w:val="16"/>
            </w:pPr>
            <w:r>
              <w:t>2.深入推进社会治安综合治理创新，切实增强人民群众安全感。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上报问题数</w:t>
            </w:r>
          </w:p>
        </w:tc>
        <w:tc>
          <w:tcPr>
            <w:tcW w:w="2466" w:type="dxa"/>
            <w:vAlign w:val="center"/>
          </w:tcPr>
          <w:p>
            <w:pPr>
              <w:pStyle w:val="16"/>
            </w:pPr>
            <w:r>
              <w:t>≥70000条</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矛盾纠纷排查化解入统率</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≥95%</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≤559.68万元</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产出社会效益</w:t>
            </w:r>
          </w:p>
        </w:tc>
        <w:tc>
          <w:tcPr>
            <w:tcW w:w="2466" w:type="dxa"/>
            <w:vAlign w:val="center"/>
          </w:tcPr>
          <w:p>
            <w:pPr>
              <w:pStyle w:val="16"/>
            </w:pPr>
            <w:r>
              <w:t>维护社会和谐稳定发展</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人民群众获得感、幸福感、安全感明显提高</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2022年，中共沙河市委政法委员会安排政府采购预算</w:t>
      </w:r>
      <w:r>
        <w:rPr>
          <w:rFonts w:hint="eastAsia" w:eastAsia="方正仿宋_GBK" w:cs="Times New Roman"/>
          <w:b w:val="0"/>
          <w:color w:val="000000"/>
          <w:sz w:val="28"/>
          <w:lang w:val="en-US" w:eastAsia="zh-CN"/>
        </w:rPr>
        <w:t>142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201002中共沙河市委政法委员会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eastAsia="方正书宋_GBK"/>
                <w:lang w:eastAsia="zh-CN"/>
              </w:rPr>
            </w:pPr>
            <w:r>
              <w:rPr>
                <w:rFonts w:hint="eastAsia"/>
                <w:lang w:eastAsia="zh-CN"/>
              </w:rPr>
              <w:t>沙河市综治视联网工程维护费及专网租赁费</w:t>
            </w:r>
          </w:p>
        </w:tc>
        <w:tc>
          <w:tcPr>
            <w:tcW w:w="924" w:type="dxa"/>
            <w:vAlign w:val="center"/>
          </w:tcPr>
          <w:p>
            <w:pPr>
              <w:pStyle w:val="15"/>
              <w:rPr>
                <w:rFonts w:hint="default" w:eastAsia="方正书宋_GBK"/>
                <w:lang w:val="en-US" w:eastAsia="zh-CN"/>
              </w:rPr>
            </w:pPr>
            <w:r>
              <w:rPr>
                <w:rFonts w:hint="eastAsia"/>
                <w:lang w:val="en-US" w:eastAsia="zh-CN"/>
              </w:rPr>
              <w:t>427.6</w:t>
            </w:r>
          </w:p>
        </w:tc>
        <w:tc>
          <w:tcPr>
            <w:tcW w:w="924" w:type="dxa"/>
            <w:vAlign w:val="center"/>
          </w:tcPr>
          <w:p>
            <w:pPr>
              <w:pStyle w:val="16"/>
              <w:rPr>
                <w:rFonts w:hint="eastAsia" w:eastAsia="方正书宋_GBK"/>
                <w:lang w:eastAsia="zh-CN"/>
              </w:rPr>
            </w:pPr>
            <w:r>
              <w:rPr>
                <w:rFonts w:hint="eastAsia"/>
                <w:lang w:eastAsia="zh-CN"/>
              </w:rPr>
              <w:t>维护费及专网租赁费</w:t>
            </w:r>
          </w:p>
        </w:tc>
        <w:tc>
          <w:tcPr>
            <w:tcW w:w="924" w:type="dxa"/>
            <w:vAlign w:val="center"/>
          </w:tcPr>
          <w:p>
            <w:pPr>
              <w:pStyle w:val="16"/>
              <w:rPr>
                <w:rFonts w:hint="default" w:eastAsia="方正书宋_GBK"/>
                <w:lang w:val="en-US" w:eastAsia="zh-CN"/>
              </w:rPr>
            </w:pPr>
            <w:r>
              <w:rPr>
                <w:rFonts w:hint="eastAsia"/>
                <w:lang w:val="en-US" w:eastAsia="zh-CN"/>
              </w:rPr>
              <w:t>C0206</w:t>
            </w:r>
          </w:p>
        </w:tc>
        <w:tc>
          <w:tcPr>
            <w:tcW w:w="924" w:type="dxa"/>
            <w:vAlign w:val="center"/>
          </w:tcPr>
          <w:p>
            <w:pPr>
              <w:pStyle w:val="17"/>
              <w:rPr>
                <w:rFonts w:hint="eastAsia" w:eastAsia="方正书宋_GBK"/>
                <w:lang w:eastAsia="zh-CN"/>
              </w:rPr>
            </w:pPr>
            <w:r>
              <w:rPr>
                <w:rFonts w:hint="eastAsia"/>
                <w:lang w:eastAsia="zh-CN"/>
              </w:rPr>
              <w:t>年</w:t>
            </w:r>
          </w:p>
        </w:tc>
        <w:tc>
          <w:tcPr>
            <w:tcW w:w="924" w:type="dxa"/>
            <w:vAlign w:val="center"/>
          </w:tcPr>
          <w:p>
            <w:pPr>
              <w:pStyle w:val="15"/>
              <w:rPr>
                <w:rFonts w:hint="eastAsia" w:eastAsia="方正书宋_GBK"/>
                <w:lang w:val="en-US" w:eastAsia="zh-CN"/>
              </w:rPr>
            </w:pPr>
            <w:r>
              <w:rPr>
                <w:rFonts w:hint="eastAsia"/>
                <w:lang w:val="en-US" w:eastAsia="zh-CN"/>
              </w:rPr>
              <w:t>3</w:t>
            </w:r>
          </w:p>
        </w:tc>
        <w:tc>
          <w:tcPr>
            <w:tcW w:w="924" w:type="dxa"/>
            <w:vAlign w:val="center"/>
          </w:tcPr>
          <w:p>
            <w:pPr>
              <w:pStyle w:val="15"/>
              <w:rPr>
                <w:rFonts w:hint="default" w:eastAsia="方正书宋_GBK"/>
                <w:lang w:val="en-US" w:eastAsia="zh-CN"/>
              </w:rPr>
            </w:pPr>
            <w:r>
              <w:rPr>
                <w:rFonts w:hint="eastAsia"/>
                <w:lang w:val="en-US" w:eastAsia="zh-CN"/>
              </w:rPr>
              <w:t>142.53</w:t>
            </w:r>
          </w:p>
        </w:tc>
        <w:tc>
          <w:tcPr>
            <w:tcW w:w="924" w:type="dxa"/>
            <w:vAlign w:val="center"/>
          </w:tcPr>
          <w:p>
            <w:pPr>
              <w:pStyle w:val="15"/>
              <w:rPr>
                <w:rFonts w:hint="default" w:eastAsia="方正书宋_GBK"/>
                <w:lang w:val="en-US" w:eastAsia="zh-CN"/>
              </w:rPr>
            </w:pPr>
            <w:r>
              <w:rPr>
                <w:rFonts w:hint="eastAsia"/>
                <w:lang w:val="en-US" w:eastAsia="zh-CN"/>
              </w:rPr>
              <w:t>427.6</w:t>
            </w:r>
          </w:p>
        </w:tc>
        <w:tc>
          <w:tcPr>
            <w:tcW w:w="924" w:type="dxa"/>
            <w:vAlign w:val="center"/>
          </w:tcPr>
          <w:p>
            <w:pPr>
              <w:pStyle w:val="15"/>
              <w:rPr>
                <w:rFonts w:hint="default" w:eastAsia="方正书宋_GBK"/>
                <w:lang w:val="en-US" w:eastAsia="zh-CN"/>
              </w:rPr>
            </w:pPr>
            <w:r>
              <w:rPr>
                <w:rFonts w:hint="eastAsia"/>
                <w:lang w:val="en-US" w:eastAsia="zh-CN"/>
              </w:rPr>
              <w:t>427.6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rFonts w:hint="default" w:eastAsia="方正书宋_GBK"/>
                <w:lang w:val="en-US" w:eastAsia="zh-CN"/>
              </w:rPr>
            </w:pPr>
            <w:r>
              <w:rPr>
                <w:rFonts w:hint="eastAsia"/>
                <w:lang w:val="en-US" w:eastAsia="zh-CN"/>
              </w:rPr>
              <w:t>128.28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中共沙河市委政法委员会上年末固定资产金额为</w:t>
      </w:r>
      <w:r>
        <w:rPr>
          <w:rFonts w:hint="eastAsia" w:eastAsia="方正仿宋_GBK" w:cs="Times New Roman"/>
          <w:b w:val="0"/>
          <w:color w:val="000000"/>
          <w:sz w:val="28"/>
          <w:lang w:val="en-US" w:eastAsia="zh-CN"/>
        </w:rPr>
        <w:t>59.37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201002中共沙河市委政法委员会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34.87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CA3B"/>
    <w:multiLevelType w:val="singleLevel"/>
    <w:tmpl w:val="85A0CA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NlYzY1NzE1YWM1NjZiMjJkMjZkYmE0NTQ3OWFiOWMifQ=="/>
  </w:docVars>
  <w:rsids>
    <w:rsidRoot w:val="00000000"/>
    <w:rsid w:val="03DF329E"/>
    <w:rsid w:val="1E6B18A3"/>
    <w:rsid w:val="34413A42"/>
    <w:rsid w:val="383E7687"/>
    <w:rsid w:val="3BFC5F9E"/>
    <w:rsid w:val="42177029"/>
    <w:rsid w:val="55F66E60"/>
    <w:rsid w:val="7BCA65AD"/>
    <w:rsid w:val="7E072CB5"/>
    <w:rsid w:val="7F000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2022-07-28T17:21:41Z</dcterms:created>
  <dcterms:modified xsi:type="dcterms:W3CDTF">2022-07-28T09:21:41Z</dcterms:modified>
</cp:coreProperties>
</file>

<file path=customXml/itemProps1.xml><?xml version="1.0" encoding="utf-8"?>
<ds:datastoreItem xmlns:ds="http://schemas.openxmlformats.org/officeDocument/2006/customXml" ds:itemID="{6b223ea0-296c-40a1-9496-bc886a7eff22}">
  <ds:schemaRefs/>
</ds:datastoreItem>
</file>

<file path=customXml/itemProps10.xml><?xml version="1.0" encoding="utf-8"?>
<ds:datastoreItem xmlns:ds="http://schemas.openxmlformats.org/officeDocument/2006/customXml" ds:itemID="{9da7c8e1-598a-49bd-8451-61db4735fb60}">
  <ds:schemaRefs/>
</ds:datastoreItem>
</file>

<file path=customXml/itemProps11.xml><?xml version="1.0" encoding="utf-8"?>
<ds:datastoreItem xmlns:ds="http://schemas.openxmlformats.org/officeDocument/2006/customXml" ds:itemID="{2c5769bd-e623-40e1-bfac-c2173ccc99d7}">
  <ds:schemaRefs/>
</ds:datastoreItem>
</file>

<file path=customXml/itemProps12.xml><?xml version="1.0" encoding="utf-8"?>
<ds:datastoreItem xmlns:ds="http://schemas.openxmlformats.org/officeDocument/2006/customXml" ds:itemID="{4030591f-f3cb-478d-8154-6bb8249b7c82}">
  <ds:schemaRefs/>
</ds:datastoreItem>
</file>

<file path=customXml/itemProps13.xml><?xml version="1.0" encoding="utf-8"?>
<ds:datastoreItem xmlns:ds="http://schemas.openxmlformats.org/officeDocument/2006/customXml" ds:itemID="{9ec1af22-f853-4c37-8f0f-fbc6da457326}">
  <ds:schemaRefs/>
</ds:datastoreItem>
</file>

<file path=customXml/itemProps14.xml><?xml version="1.0" encoding="utf-8"?>
<ds:datastoreItem xmlns:ds="http://schemas.openxmlformats.org/officeDocument/2006/customXml" ds:itemID="{3fbaeee0-a34d-40d2-91dd-b04571479b3f}">
  <ds:schemaRefs/>
</ds:datastoreItem>
</file>

<file path=customXml/itemProps15.xml><?xml version="1.0" encoding="utf-8"?>
<ds:datastoreItem xmlns:ds="http://schemas.openxmlformats.org/officeDocument/2006/customXml" ds:itemID="{83f1a4f0-4a88-4c74-a299-abcae5238c3c}">
  <ds:schemaRefs/>
</ds:datastoreItem>
</file>

<file path=customXml/itemProps16.xml><?xml version="1.0" encoding="utf-8"?>
<ds:datastoreItem xmlns:ds="http://schemas.openxmlformats.org/officeDocument/2006/customXml" ds:itemID="{57fed9bb-37f6-4f5f-9c89-10d4a9b05269}">
  <ds:schemaRefs/>
</ds:datastoreItem>
</file>

<file path=customXml/itemProps17.xml><?xml version="1.0" encoding="utf-8"?>
<ds:datastoreItem xmlns:ds="http://schemas.openxmlformats.org/officeDocument/2006/customXml" ds:itemID="{be7fe6a3-d1c9-4653-a023-96a307671922}">
  <ds:schemaRefs/>
</ds:datastoreItem>
</file>

<file path=customXml/itemProps18.xml><?xml version="1.0" encoding="utf-8"?>
<ds:datastoreItem xmlns:ds="http://schemas.openxmlformats.org/officeDocument/2006/customXml" ds:itemID="{79387830-90ee-40c1-a7be-8aa3626426cb}">
  <ds:schemaRefs/>
</ds:datastoreItem>
</file>

<file path=customXml/itemProps19.xml><?xml version="1.0" encoding="utf-8"?>
<ds:datastoreItem xmlns:ds="http://schemas.openxmlformats.org/officeDocument/2006/customXml" ds:itemID="{252bb04f-de45-42e5-9903-37d0c868b1d3}">
  <ds:schemaRefs/>
</ds:datastoreItem>
</file>

<file path=customXml/itemProps2.xml><?xml version="1.0" encoding="utf-8"?>
<ds:datastoreItem xmlns:ds="http://schemas.openxmlformats.org/officeDocument/2006/customXml" ds:itemID="{e6c3276d-dd78-40da-9263-2da7d86f6f2e}">
  <ds:schemaRefs/>
</ds:datastoreItem>
</file>

<file path=customXml/itemProps20.xml><?xml version="1.0" encoding="utf-8"?>
<ds:datastoreItem xmlns:ds="http://schemas.openxmlformats.org/officeDocument/2006/customXml" ds:itemID="{81cda474-894a-47c5-8dc1-23f7d92fda44}">
  <ds:schemaRefs/>
</ds:datastoreItem>
</file>

<file path=customXml/itemProps21.xml><?xml version="1.0" encoding="utf-8"?>
<ds:datastoreItem xmlns:ds="http://schemas.openxmlformats.org/officeDocument/2006/customXml" ds:itemID="{3b5cf1b9-d765-43b8-a6ea-e098bcc7bec8}">
  <ds:schemaRefs/>
</ds:datastoreItem>
</file>

<file path=customXml/itemProps22.xml><?xml version="1.0" encoding="utf-8"?>
<ds:datastoreItem xmlns:ds="http://schemas.openxmlformats.org/officeDocument/2006/customXml" ds:itemID="{47e44e51-c712-4797-88a9-7f626c4e39cc}">
  <ds:schemaRefs/>
</ds:datastoreItem>
</file>

<file path=customXml/itemProps23.xml><?xml version="1.0" encoding="utf-8"?>
<ds:datastoreItem xmlns:ds="http://schemas.openxmlformats.org/officeDocument/2006/customXml" ds:itemID="{ef8da7f0-1c45-4b38-b5ae-1565bf7a16cf}">
  <ds:schemaRefs/>
</ds:datastoreItem>
</file>

<file path=customXml/itemProps24.xml><?xml version="1.0" encoding="utf-8"?>
<ds:datastoreItem xmlns:ds="http://schemas.openxmlformats.org/officeDocument/2006/customXml" ds:itemID="{18809f26-d6f4-4383-903d-f3faeff34e5f}">
  <ds:schemaRefs/>
</ds:datastoreItem>
</file>

<file path=customXml/itemProps25.xml><?xml version="1.0" encoding="utf-8"?>
<ds:datastoreItem xmlns:ds="http://schemas.openxmlformats.org/officeDocument/2006/customXml" ds:itemID="{cff07b33-fe10-49e9-9a18-022a2407345a}">
  <ds:schemaRefs/>
</ds:datastoreItem>
</file>

<file path=customXml/itemProps26.xml><?xml version="1.0" encoding="utf-8"?>
<ds:datastoreItem xmlns:ds="http://schemas.openxmlformats.org/officeDocument/2006/customXml" ds:itemID="{e40b6d1c-d461-407d-877e-2fbca7bcd1bf}">
  <ds:schemaRefs/>
</ds:datastoreItem>
</file>

<file path=customXml/itemProps27.xml><?xml version="1.0" encoding="utf-8"?>
<ds:datastoreItem xmlns:ds="http://schemas.openxmlformats.org/officeDocument/2006/customXml" ds:itemID="{45295d6c-177c-428b-99c5-98805712f140}">
  <ds:schemaRefs/>
</ds:datastoreItem>
</file>

<file path=customXml/itemProps28.xml><?xml version="1.0" encoding="utf-8"?>
<ds:datastoreItem xmlns:ds="http://schemas.openxmlformats.org/officeDocument/2006/customXml" ds:itemID="{9fdbf483-cd1f-426f-97bb-d287c83f4ba3}">
  <ds:schemaRefs/>
</ds:datastoreItem>
</file>

<file path=customXml/itemProps29.xml><?xml version="1.0" encoding="utf-8"?>
<ds:datastoreItem xmlns:ds="http://schemas.openxmlformats.org/officeDocument/2006/customXml" ds:itemID="{55bc8a8f-2f4e-4c8b-92c6-6d87e257a327}">
  <ds:schemaRefs/>
</ds:datastoreItem>
</file>

<file path=customXml/itemProps3.xml><?xml version="1.0" encoding="utf-8"?>
<ds:datastoreItem xmlns:ds="http://schemas.openxmlformats.org/officeDocument/2006/customXml" ds:itemID="{97a9a905-7bf3-449e-96ce-fc32228246d3}">
  <ds:schemaRefs/>
</ds:datastoreItem>
</file>

<file path=customXml/itemProps30.xml><?xml version="1.0" encoding="utf-8"?>
<ds:datastoreItem xmlns:ds="http://schemas.openxmlformats.org/officeDocument/2006/customXml" ds:itemID="{49352f9a-6413-4661-98c1-8f5459a6be93}">
  <ds:schemaRefs/>
</ds:datastoreItem>
</file>

<file path=customXml/itemProps31.xml><?xml version="1.0" encoding="utf-8"?>
<ds:datastoreItem xmlns:ds="http://schemas.openxmlformats.org/officeDocument/2006/customXml" ds:itemID="{20ad215f-26a2-484b-b0e3-5a27762e944c}">
  <ds:schemaRefs/>
</ds:datastoreItem>
</file>

<file path=customXml/itemProps32.xml><?xml version="1.0" encoding="utf-8"?>
<ds:datastoreItem xmlns:ds="http://schemas.openxmlformats.org/officeDocument/2006/customXml" ds:itemID="{47c27c3e-dbad-4461-96ed-3cf8b55ba5fd}">
  <ds:schemaRefs/>
</ds:datastoreItem>
</file>

<file path=customXml/itemProps33.xml><?xml version="1.0" encoding="utf-8"?>
<ds:datastoreItem xmlns:ds="http://schemas.openxmlformats.org/officeDocument/2006/customXml" ds:itemID="{4f2da546-10df-4133-a7a1-f71b555ac75b}">
  <ds:schemaRefs/>
</ds:datastoreItem>
</file>

<file path=customXml/itemProps34.xml><?xml version="1.0" encoding="utf-8"?>
<ds:datastoreItem xmlns:ds="http://schemas.openxmlformats.org/officeDocument/2006/customXml" ds:itemID="{28688a56-6675-4e2f-975f-ac108da9d33c}">
  <ds:schemaRefs/>
</ds:datastoreItem>
</file>

<file path=customXml/itemProps35.xml><?xml version="1.0" encoding="utf-8"?>
<ds:datastoreItem xmlns:ds="http://schemas.openxmlformats.org/officeDocument/2006/customXml" ds:itemID="{dbbacb95-a7fc-4c47-8a46-5ed5cb643cf4}">
  <ds:schemaRefs/>
</ds:datastoreItem>
</file>

<file path=customXml/itemProps36.xml><?xml version="1.0" encoding="utf-8"?>
<ds:datastoreItem xmlns:ds="http://schemas.openxmlformats.org/officeDocument/2006/customXml" ds:itemID="{bc4f656e-4f49-4532-8f34-54625ece57e0}">
  <ds:schemaRefs/>
</ds:datastoreItem>
</file>

<file path=customXml/itemProps37.xml><?xml version="1.0" encoding="utf-8"?>
<ds:datastoreItem xmlns:ds="http://schemas.openxmlformats.org/officeDocument/2006/customXml" ds:itemID="{ec981bba-1b4d-49c1-b7e8-2ae58e1ffda4}">
  <ds:schemaRefs/>
</ds:datastoreItem>
</file>

<file path=customXml/itemProps38.xml><?xml version="1.0" encoding="utf-8"?>
<ds:datastoreItem xmlns:ds="http://schemas.openxmlformats.org/officeDocument/2006/customXml" ds:itemID="{bf733fcb-1fb1-4097-93d3-a889f86cd6c2}">
  <ds:schemaRefs/>
</ds:datastoreItem>
</file>

<file path=customXml/itemProps39.xml><?xml version="1.0" encoding="utf-8"?>
<ds:datastoreItem xmlns:ds="http://schemas.openxmlformats.org/officeDocument/2006/customXml" ds:itemID="{dd9d93d0-701c-44f9-bfde-f6dce58ce670}">
  <ds:schemaRefs/>
</ds:datastoreItem>
</file>

<file path=customXml/itemProps4.xml><?xml version="1.0" encoding="utf-8"?>
<ds:datastoreItem xmlns:ds="http://schemas.openxmlformats.org/officeDocument/2006/customXml" ds:itemID="{9e313607-4cb1-4787-847c-5ef286ef1e90}">
  <ds:schemaRefs/>
</ds:datastoreItem>
</file>

<file path=customXml/itemProps40.xml><?xml version="1.0" encoding="utf-8"?>
<ds:datastoreItem xmlns:ds="http://schemas.openxmlformats.org/officeDocument/2006/customXml" ds:itemID="{e66676d2-08c8-4c21-b191-480055f5f9e9}">
  <ds:schemaRefs/>
</ds:datastoreItem>
</file>

<file path=customXml/itemProps41.xml><?xml version="1.0" encoding="utf-8"?>
<ds:datastoreItem xmlns:ds="http://schemas.openxmlformats.org/officeDocument/2006/customXml" ds:itemID="{2a55d488-4859-4e45-b5f4-9ea908276b3b}">
  <ds:schemaRefs/>
</ds:datastoreItem>
</file>

<file path=customXml/itemProps42.xml><?xml version="1.0" encoding="utf-8"?>
<ds:datastoreItem xmlns:ds="http://schemas.openxmlformats.org/officeDocument/2006/customXml" ds:itemID="{5a963e64-315f-4343-a201-97f77a2b5c49}">
  <ds:schemaRefs/>
</ds:datastoreItem>
</file>

<file path=customXml/itemProps43.xml><?xml version="1.0" encoding="utf-8"?>
<ds:datastoreItem xmlns:ds="http://schemas.openxmlformats.org/officeDocument/2006/customXml" ds:itemID="{8902d456-ec04-45ea-82f4-43fec5a89ff3}">
  <ds:schemaRefs/>
</ds:datastoreItem>
</file>

<file path=customXml/itemProps44.xml><?xml version="1.0" encoding="utf-8"?>
<ds:datastoreItem xmlns:ds="http://schemas.openxmlformats.org/officeDocument/2006/customXml" ds:itemID="{7052879b-4fe8-41f2-8d60-b1d8fc9aeeed}">
  <ds:schemaRefs/>
</ds:datastoreItem>
</file>

<file path=customXml/itemProps45.xml><?xml version="1.0" encoding="utf-8"?>
<ds:datastoreItem xmlns:ds="http://schemas.openxmlformats.org/officeDocument/2006/customXml" ds:itemID="{03dd63ab-2f48-4d52-9a39-8cadbf2ddd70}">
  <ds:schemaRefs/>
</ds:datastoreItem>
</file>

<file path=customXml/itemProps46.xml><?xml version="1.0" encoding="utf-8"?>
<ds:datastoreItem xmlns:ds="http://schemas.openxmlformats.org/officeDocument/2006/customXml" ds:itemID="{62fe89e4-38ee-4e65-a438-cf92ac1e4f33}">
  <ds:schemaRefs/>
</ds:datastoreItem>
</file>

<file path=customXml/itemProps47.xml><?xml version="1.0" encoding="utf-8"?>
<ds:datastoreItem xmlns:ds="http://schemas.openxmlformats.org/officeDocument/2006/customXml" ds:itemID="{f3b9e836-23e6-400d-b6cc-4f36da9c372f}">
  <ds:schemaRefs/>
</ds:datastoreItem>
</file>

<file path=customXml/itemProps48.xml><?xml version="1.0" encoding="utf-8"?>
<ds:datastoreItem xmlns:ds="http://schemas.openxmlformats.org/officeDocument/2006/customXml" ds:itemID="{e220d0e0-8c35-45cb-adc3-4bfc42bf85fd}">
  <ds:schemaRefs/>
</ds:datastoreItem>
</file>

<file path=customXml/itemProps49.xml><?xml version="1.0" encoding="utf-8"?>
<ds:datastoreItem xmlns:ds="http://schemas.openxmlformats.org/officeDocument/2006/customXml" ds:itemID="{2fd8b565-644c-473b-a6fc-aeac8b785398}">
  <ds:schemaRefs/>
</ds:datastoreItem>
</file>

<file path=customXml/itemProps5.xml><?xml version="1.0" encoding="utf-8"?>
<ds:datastoreItem xmlns:ds="http://schemas.openxmlformats.org/officeDocument/2006/customXml" ds:itemID="{2920de15-8873-48a8-aa5d-e4d3b93a10d4}">
  <ds:schemaRefs/>
</ds:datastoreItem>
</file>

<file path=customXml/itemProps50.xml><?xml version="1.0" encoding="utf-8"?>
<ds:datastoreItem xmlns:ds="http://schemas.openxmlformats.org/officeDocument/2006/customXml" ds:itemID="{2b55517e-fc64-4bf1-87ac-734130e7d2eb}">
  <ds:schemaRefs/>
</ds:datastoreItem>
</file>

<file path=customXml/itemProps51.xml><?xml version="1.0" encoding="utf-8"?>
<ds:datastoreItem xmlns:ds="http://schemas.openxmlformats.org/officeDocument/2006/customXml" ds:itemID="{24f9142e-290e-4b0d-8662-e3f3e7f178f2}">
  <ds:schemaRefs/>
</ds:datastoreItem>
</file>

<file path=customXml/itemProps52.xml><?xml version="1.0" encoding="utf-8"?>
<ds:datastoreItem xmlns:ds="http://schemas.openxmlformats.org/officeDocument/2006/customXml" ds:itemID="{d724bdb3-f76f-4ad3-897a-edb44ec49975}">
  <ds:schemaRefs/>
</ds:datastoreItem>
</file>

<file path=customXml/itemProps53.xml><?xml version="1.0" encoding="utf-8"?>
<ds:datastoreItem xmlns:ds="http://schemas.openxmlformats.org/officeDocument/2006/customXml" ds:itemID="{9c9b968b-de70-4372-b9a1-8066645a00e0}">
  <ds:schemaRefs/>
</ds:datastoreItem>
</file>

<file path=customXml/itemProps54.xml><?xml version="1.0" encoding="utf-8"?>
<ds:datastoreItem xmlns:ds="http://schemas.openxmlformats.org/officeDocument/2006/customXml" ds:itemID="{eec0e9ec-69cb-4c8a-b251-b0d90c654971}">
  <ds:schemaRefs/>
</ds:datastoreItem>
</file>

<file path=customXml/itemProps55.xml><?xml version="1.0" encoding="utf-8"?>
<ds:datastoreItem xmlns:ds="http://schemas.openxmlformats.org/officeDocument/2006/customXml" ds:itemID="{9cd0155b-f5d5-455f-b276-46afa976bf72}">
  <ds:schemaRefs/>
</ds:datastoreItem>
</file>

<file path=customXml/itemProps56.xml><?xml version="1.0" encoding="utf-8"?>
<ds:datastoreItem xmlns:ds="http://schemas.openxmlformats.org/officeDocument/2006/customXml" ds:itemID="{6af17389-6649-4fa3-992f-8470d8fce668}">
  <ds:schemaRefs/>
</ds:datastoreItem>
</file>

<file path=customXml/itemProps57.xml><?xml version="1.0" encoding="utf-8"?>
<ds:datastoreItem xmlns:ds="http://schemas.openxmlformats.org/officeDocument/2006/customXml" ds:itemID="{85850177-4db6-4e48-8493-c411bf68e391}">
  <ds:schemaRefs/>
</ds:datastoreItem>
</file>

<file path=customXml/itemProps58.xml><?xml version="1.0" encoding="utf-8"?>
<ds:datastoreItem xmlns:ds="http://schemas.openxmlformats.org/officeDocument/2006/customXml" ds:itemID="{7cefb33f-778b-42ab-9b35-839e37e16ac9}">
  <ds:schemaRefs/>
</ds:datastoreItem>
</file>

<file path=customXml/itemProps59.xml><?xml version="1.0" encoding="utf-8"?>
<ds:datastoreItem xmlns:ds="http://schemas.openxmlformats.org/officeDocument/2006/customXml" ds:itemID="{1e4a822d-e8c3-49f1-832e-6b849335f94d}">
  <ds:schemaRefs/>
</ds:datastoreItem>
</file>

<file path=customXml/itemProps6.xml><?xml version="1.0" encoding="utf-8"?>
<ds:datastoreItem xmlns:ds="http://schemas.openxmlformats.org/officeDocument/2006/customXml" ds:itemID="{72a54262-88ff-4949-8459-f1c4a5cf520f}">
  <ds:schemaRefs/>
</ds:datastoreItem>
</file>

<file path=customXml/itemProps60.xml><?xml version="1.0" encoding="utf-8"?>
<ds:datastoreItem xmlns:ds="http://schemas.openxmlformats.org/officeDocument/2006/customXml" ds:itemID="{9ef95746-15db-4d24-80e5-d5fa6b9a8b93}">
  <ds:schemaRefs/>
</ds:datastoreItem>
</file>

<file path=customXml/itemProps61.xml><?xml version="1.0" encoding="utf-8"?>
<ds:datastoreItem xmlns:ds="http://schemas.openxmlformats.org/officeDocument/2006/customXml" ds:itemID="{f9cf862f-8122-4649-9946-2507f255985e}">
  <ds:schemaRefs/>
</ds:datastoreItem>
</file>

<file path=customXml/itemProps62.xml><?xml version="1.0" encoding="utf-8"?>
<ds:datastoreItem xmlns:ds="http://schemas.openxmlformats.org/officeDocument/2006/customXml" ds:itemID="{b7f64e01-f0e8-4699-ba14-a557b1109b5c}">
  <ds:schemaRefs/>
</ds:datastoreItem>
</file>

<file path=customXml/itemProps63.xml><?xml version="1.0" encoding="utf-8"?>
<ds:datastoreItem xmlns:ds="http://schemas.openxmlformats.org/officeDocument/2006/customXml" ds:itemID="{6885227c-b934-4ce2-83cc-b66705c8f14f}">
  <ds:schemaRefs/>
</ds:datastoreItem>
</file>

<file path=customXml/itemProps64.xml><?xml version="1.0" encoding="utf-8"?>
<ds:datastoreItem xmlns:ds="http://schemas.openxmlformats.org/officeDocument/2006/customXml" ds:itemID="{b081a036-3aa8-4953-99ed-803fc90d0b9a}">
  <ds:schemaRefs/>
</ds:datastoreItem>
</file>

<file path=customXml/itemProps65.xml><?xml version="1.0" encoding="utf-8"?>
<ds:datastoreItem xmlns:ds="http://schemas.openxmlformats.org/officeDocument/2006/customXml" ds:itemID="{59193cf1-c8aa-4d01-af15-a5be96d93c3c}">
  <ds:schemaRefs/>
</ds:datastoreItem>
</file>

<file path=customXml/itemProps66.xml><?xml version="1.0" encoding="utf-8"?>
<ds:datastoreItem xmlns:ds="http://schemas.openxmlformats.org/officeDocument/2006/customXml" ds:itemID="{28a6b66b-5a54-4793-82e7-9e1988aa7a9e}">
  <ds:schemaRefs/>
</ds:datastoreItem>
</file>

<file path=customXml/itemProps67.xml><?xml version="1.0" encoding="utf-8"?>
<ds:datastoreItem xmlns:ds="http://schemas.openxmlformats.org/officeDocument/2006/customXml" ds:itemID="{412a8c0b-1dae-4ec2-b6e4-da732ae6f411}">
  <ds:schemaRefs/>
</ds:datastoreItem>
</file>

<file path=customXml/itemProps68.xml><?xml version="1.0" encoding="utf-8"?>
<ds:datastoreItem xmlns:ds="http://schemas.openxmlformats.org/officeDocument/2006/customXml" ds:itemID="{7887293c-a045-48e2-b4a5-1d4dd6e8df1a}">
  <ds:schemaRefs/>
</ds:datastoreItem>
</file>

<file path=customXml/itemProps69.xml><?xml version="1.0" encoding="utf-8"?>
<ds:datastoreItem xmlns:ds="http://schemas.openxmlformats.org/officeDocument/2006/customXml" ds:itemID="{979a0c4c-3182-4266-8d0b-39afd067d52f}">
  <ds:schemaRefs/>
</ds:datastoreItem>
</file>

<file path=customXml/itemProps7.xml><?xml version="1.0" encoding="utf-8"?>
<ds:datastoreItem xmlns:ds="http://schemas.openxmlformats.org/officeDocument/2006/customXml" ds:itemID="{f6ceaf33-23a4-4d8c-9763-cf4d3ee0ab7e}">
  <ds:schemaRefs/>
</ds:datastoreItem>
</file>

<file path=customXml/itemProps70.xml><?xml version="1.0" encoding="utf-8"?>
<ds:datastoreItem xmlns:ds="http://schemas.openxmlformats.org/officeDocument/2006/customXml" ds:itemID="{8ea6a817-8399-4216-aede-b603376f1c71}">
  <ds:schemaRefs/>
</ds:datastoreItem>
</file>

<file path=customXml/itemProps8.xml><?xml version="1.0" encoding="utf-8"?>
<ds:datastoreItem xmlns:ds="http://schemas.openxmlformats.org/officeDocument/2006/customXml" ds:itemID="{79a1b135-fa8f-4f67-9342-654299bcb77e}">
  <ds:schemaRefs/>
</ds:datastoreItem>
</file>

<file path=customXml/itemProps9.xml><?xml version="1.0" encoding="utf-8"?>
<ds:datastoreItem xmlns:ds="http://schemas.openxmlformats.org/officeDocument/2006/customXml" ds:itemID="{c11800c4-1776-4451-a76a-1b263c5eedde}">
  <ds:schemaRefs/>
</ds:datastoreItem>
</file>

<file path=docProps/app.xml><?xml version="1.0" encoding="utf-8"?>
<Properties xmlns="http://schemas.openxmlformats.org/officeDocument/2006/extended-properties" xmlns:vt="http://schemas.openxmlformats.org/officeDocument/2006/docPropsVTypes">
  <Pages>45</Pages>
  <Words>8964</Words>
  <Characters>10317</Characters>
  <TotalTime>0</TotalTime>
  <ScaleCrop>false</ScaleCrop>
  <LinksUpToDate>false</LinksUpToDate>
  <CharactersWithSpaces>10480</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2022-07-28T17:21:00Z</dcterms:created>
  <dc:creator>Administrator</dc:creator>
  <cp:lastModifiedBy>不二臣</cp:lastModifiedBy>
  <dcterms:modified xsi:type="dcterms:W3CDTF">2024-04-07T08:15:21Z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73CB9F2616144EDA8B6FEDA47E20E717</vt:lpwstr>
  </property>
</Properties>
</file>