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left="0" w:leftChars="0" w:firstLine="0" w:firstLineChars="0"/>
        <w:jc w:val="center"/>
      </w:pPr>
      <w:r>
        <w:rPr>
          <w:rFonts w:hint="eastAsia"/>
        </w:rPr>
        <w:t>沙河市人力资源和社会保障局</w:t>
      </w:r>
    </w:p>
    <w:p>
      <w:pPr>
        <w:pStyle w:val="3"/>
        <w:bidi w:val="0"/>
        <w:ind w:left="0" w:leftChars="0" w:firstLine="0" w:firstLineChars="0"/>
        <w:jc w:val="center"/>
      </w:pPr>
      <w:r>
        <w:rPr>
          <w:rFonts w:hint="eastAsia"/>
        </w:rPr>
        <w:t>部门整体支出绩效评价报告</w:t>
      </w:r>
    </w:p>
    <w:p>
      <w:pPr>
        <w:pageBreakBefore w:val="0"/>
        <w:kinsoku/>
        <w:wordWrap/>
        <w:overflowPunct/>
        <w:topLinePunct w:val="0"/>
        <w:autoSpaceDE/>
        <w:autoSpaceDN/>
        <w:bidi w:val="0"/>
        <w:adjustRightInd/>
        <w:spacing w:line="520" w:lineRule="exact"/>
        <w:ind w:firstLine="640" w:firstLineChars="200"/>
        <w:jc w:val="both"/>
        <w:textAlignment w:val="auto"/>
        <w:rPr>
          <w:rFonts w:hint="eastAsia"/>
        </w:rPr>
      </w:pPr>
      <w:r>
        <w:rPr>
          <w:rFonts w:hint="eastAsia"/>
        </w:rPr>
        <w:t>根据《中华人民共和国预算法》和中共邢台市委、邢台市人民政府《关于全面落实预算绩效管理的实施意见》（邢发〔2019〕17号）相关规定</w:t>
      </w:r>
      <w:r>
        <w:rPr>
          <w:rFonts w:hint="eastAsia"/>
          <w:lang w:eastAsia="zh-CN"/>
        </w:rPr>
        <w:t>，</w:t>
      </w:r>
      <w:r>
        <w:rPr>
          <w:rFonts w:hint="eastAsia"/>
        </w:rPr>
        <w:t>按照《邢台市市级部门绩效自评办法》（邢市财预〔2019〕75号）、《邢台市市级部门整体预算绩效评价暂行办法》（邢市财预〔2019〕65号）、《沙河市财政局关于开展2021年度市级项目支出绩效自评和部门整体支出绩效自评工作的通知》（沙财监〔2022〕1号）相关要求，我单位领导高度重视，认真组织相关人员，对2021年部门整体支出进行了绩效评价，现将我单位部门整体支出绩效评价情况报告如下： </w:t>
      </w:r>
    </w:p>
    <w:p>
      <w:pPr>
        <w:pStyle w:val="5"/>
        <w:pageBreakBefore w:val="0"/>
        <w:kinsoku/>
        <w:wordWrap/>
        <w:overflowPunct/>
        <w:topLinePunct w:val="0"/>
        <w:autoSpaceDE/>
        <w:autoSpaceDN/>
        <w:bidi w:val="0"/>
        <w:adjustRightInd/>
        <w:spacing w:line="520" w:lineRule="exact"/>
        <w:ind w:firstLine="640" w:firstLineChars="200"/>
        <w:jc w:val="both"/>
        <w:textAlignment w:val="auto"/>
        <w:rPr>
          <w:b w:val="0"/>
          <w:bCs/>
        </w:rPr>
      </w:pPr>
      <w:bookmarkStart w:id="0" w:name="YS060101"/>
      <w:r>
        <w:rPr>
          <w:rFonts w:hint="eastAsia"/>
          <w:b w:val="0"/>
          <w:bCs/>
        </w:rPr>
        <w:t>一、</w:t>
      </w:r>
      <w:bookmarkEnd w:id="0"/>
      <w:r>
        <w:rPr>
          <w:rFonts w:hint="eastAsia"/>
          <w:b w:val="0"/>
          <w:bCs/>
        </w:rPr>
        <w:t>基本</w:t>
      </w:r>
      <w:r>
        <w:rPr>
          <w:rFonts w:hint="eastAsia"/>
          <w:b w:val="0"/>
          <w:bCs/>
          <w:lang w:eastAsia="zh-CN"/>
        </w:rPr>
        <w:t>概况</w:t>
      </w:r>
    </w:p>
    <w:p>
      <w:pPr>
        <w:pStyle w:val="6"/>
        <w:pageBreakBefore w:val="0"/>
        <w:kinsoku/>
        <w:wordWrap/>
        <w:overflowPunct/>
        <w:topLinePunct w:val="0"/>
        <w:autoSpaceDE/>
        <w:autoSpaceDN/>
        <w:bidi w:val="0"/>
        <w:adjustRightInd/>
        <w:spacing w:line="520" w:lineRule="exact"/>
        <w:ind w:firstLine="643" w:firstLineChars="200"/>
        <w:jc w:val="both"/>
        <w:textAlignment w:val="auto"/>
        <w:rPr>
          <w:rFonts w:asciiTheme="minorEastAsia" w:hAnsiTheme="minorEastAsia" w:cstheme="minorEastAsia"/>
          <w:szCs w:val="30"/>
        </w:rPr>
      </w:pPr>
      <w:r>
        <w:rPr>
          <w:rFonts w:hint="eastAsia"/>
        </w:rPr>
        <w:t>（一）主要职责职能：</w:t>
      </w:r>
    </w:p>
    <w:p>
      <w:pPr>
        <w:pageBreakBefore w:val="0"/>
        <w:kinsoku/>
        <w:wordWrap/>
        <w:overflowPunct/>
        <w:topLinePunct w:val="0"/>
        <w:autoSpaceDE/>
        <w:autoSpaceDN/>
        <w:bidi w:val="0"/>
        <w:adjustRightInd/>
        <w:spacing w:line="520" w:lineRule="exact"/>
        <w:ind w:firstLine="640" w:firstLineChars="200"/>
        <w:jc w:val="both"/>
        <w:textAlignment w:val="auto"/>
        <w:rPr>
          <w:rFonts w:hint="eastAsia"/>
        </w:rPr>
      </w:pPr>
      <w:r>
        <w:rPr>
          <w:rFonts w:hint="eastAsia"/>
          <w:lang w:val="en-US" w:eastAsia="zh-CN"/>
        </w:rPr>
        <w:t>1、</w:t>
      </w:r>
      <w:r>
        <w:rPr>
          <w:rFonts w:hint="eastAsia"/>
        </w:rPr>
        <w:t>贯彻落实执行国家、省、邢台市人力资源和社会保障工作的方针政策和法律法规。监督检查人力资源和社会保障法律、法规执行情况，依法行使监督检查职权。负责全市人力资源和社会保障的宣传和舆情研究。</w:t>
      </w:r>
    </w:p>
    <w:p>
      <w:pPr>
        <w:pageBreakBefore w:val="0"/>
        <w:kinsoku/>
        <w:wordWrap/>
        <w:overflowPunct/>
        <w:topLinePunct w:val="0"/>
        <w:autoSpaceDE/>
        <w:autoSpaceDN/>
        <w:bidi w:val="0"/>
        <w:adjustRightInd/>
        <w:spacing w:line="520" w:lineRule="exact"/>
        <w:ind w:firstLine="640" w:firstLineChars="200"/>
        <w:jc w:val="both"/>
        <w:textAlignment w:val="auto"/>
        <w:rPr>
          <w:rFonts w:hint="eastAsia"/>
        </w:rPr>
      </w:pPr>
      <w:r>
        <w:rPr>
          <w:rFonts w:hint="eastAsia"/>
          <w:lang w:val="en-US" w:eastAsia="zh-CN"/>
        </w:rPr>
        <w:t>2、</w:t>
      </w:r>
      <w:r>
        <w:rPr>
          <w:rFonts w:hint="eastAsia"/>
        </w:rPr>
        <w:t>拟订人力资源和社会保障制度改革方案，编制人力资源和社会保障事业发展规划和政策措施并组织实施。拟订人力资源市场发展规划和人力资源流动政策，建立统一规范的人力资源市场，促进人力资源合理流动、有效配置，拟订机构改革人员定岗和分流政策并组织实施。</w:t>
      </w:r>
    </w:p>
    <w:p>
      <w:pPr>
        <w:pageBreakBefore w:val="0"/>
        <w:kinsoku/>
        <w:wordWrap/>
        <w:overflowPunct/>
        <w:topLinePunct w:val="0"/>
        <w:autoSpaceDE/>
        <w:autoSpaceDN/>
        <w:bidi w:val="0"/>
        <w:adjustRightInd/>
        <w:spacing w:line="520" w:lineRule="exact"/>
        <w:ind w:firstLine="640" w:firstLineChars="200"/>
        <w:jc w:val="both"/>
        <w:textAlignment w:val="auto"/>
        <w:rPr>
          <w:rFonts w:hint="eastAsia"/>
        </w:rPr>
      </w:pPr>
      <w:r>
        <w:rPr>
          <w:rFonts w:hint="eastAsia"/>
          <w:lang w:val="en-US" w:eastAsia="zh-CN"/>
        </w:rPr>
        <w:t>3、</w:t>
      </w:r>
      <w:r>
        <w:rPr>
          <w:rFonts w:hint="eastAsia"/>
        </w:rPr>
        <w:t>负责促进就业工作，拟订统筹城乡的就业发展规划和政策，完善公共就业服务体系，组织实施就业援助制度，完善职业资格制度，组织贯彻执行职业分类、职业技能标准，综合管理全市工人技术培训考核和鉴定工作，统筹建立面向城乡劳动者的职业培训制度。牵头组织实施高校毕业生就业政策，按规定负责中专以上毕业生的就业工作，承办国家、省、邢台市和我市特殊需要人才的选调工作，协助有关部门组织选派援疆、援藏干部及其内返安置工作。会同有关部门落实高技能人才、农村实用人才培养和激励政策。拟订人员调配政策和特殊人员安置政策。</w:t>
      </w:r>
    </w:p>
    <w:p>
      <w:pPr>
        <w:pageBreakBefore w:val="0"/>
        <w:kinsoku/>
        <w:wordWrap/>
        <w:overflowPunct/>
        <w:topLinePunct w:val="0"/>
        <w:autoSpaceDE/>
        <w:autoSpaceDN/>
        <w:bidi w:val="0"/>
        <w:adjustRightInd/>
        <w:spacing w:line="520" w:lineRule="exact"/>
        <w:ind w:firstLine="640" w:firstLineChars="200"/>
        <w:jc w:val="both"/>
        <w:textAlignment w:val="auto"/>
        <w:rPr>
          <w:rFonts w:hint="eastAsia"/>
        </w:rPr>
      </w:pPr>
      <w:r>
        <w:rPr>
          <w:rFonts w:hint="eastAsia"/>
          <w:lang w:val="en-US" w:eastAsia="zh-CN"/>
        </w:rPr>
        <w:t>4、</w:t>
      </w:r>
      <w:r>
        <w:rPr>
          <w:rFonts w:hint="eastAsia"/>
        </w:rPr>
        <w:t>贯彻落实国家、省、市社会保障有关法律、法规和政策规定；负责城镇职工和城乡居民养老、工伤、失业保险的经办工作；负责全市社会保险统计和数据应用工作；指导全市社会保险社会化管理服务有关工作。</w:t>
      </w:r>
    </w:p>
    <w:p>
      <w:pPr>
        <w:pStyle w:val="6"/>
        <w:pageBreakBefore w:val="0"/>
        <w:kinsoku/>
        <w:wordWrap/>
        <w:overflowPunct/>
        <w:topLinePunct w:val="0"/>
        <w:autoSpaceDE/>
        <w:autoSpaceDN/>
        <w:bidi w:val="0"/>
        <w:adjustRightInd/>
        <w:spacing w:line="520" w:lineRule="exact"/>
        <w:ind w:firstLine="643" w:firstLineChars="200"/>
        <w:jc w:val="both"/>
        <w:textAlignment w:val="auto"/>
        <w:rPr>
          <w:rFonts w:hint="eastAsia"/>
          <w:lang w:eastAsia="zh-CN"/>
        </w:rPr>
      </w:pPr>
      <w:r>
        <w:rPr>
          <w:rFonts w:hint="eastAsia"/>
          <w:lang w:eastAsia="zh-CN"/>
        </w:rPr>
        <w:t>（二）组织架构：</w:t>
      </w:r>
    </w:p>
    <w:p>
      <w:pPr>
        <w:pageBreakBefore w:val="0"/>
        <w:kinsoku/>
        <w:wordWrap/>
        <w:overflowPunct/>
        <w:topLinePunct w:val="0"/>
        <w:autoSpaceDE/>
        <w:autoSpaceDN/>
        <w:bidi w:val="0"/>
        <w:adjustRightInd/>
        <w:spacing w:line="520" w:lineRule="exact"/>
        <w:ind w:firstLine="640" w:firstLineChars="200"/>
        <w:jc w:val="both"/>
        <w:textAlignment w:val="auto"/>
        <w:rPr>
          <w:rFonts w:hint="eastAsia"/>
          <w:lang w:val="en-US" w:eastAsia="zh-CN"/>
        </w:rPr>
      </w:pPr>
      <w:r>
        <w:rPr>
          <w:rFonts w:hint="eastAsia"/>
          <w:lang w:val="en-US" w:eastAsia="zh-CN"/>
        </w:rPr>
        <w:t>沙河市人力资源和社会保障局下属事业单位单位包括：沙河市社会保险事业管理中心、沙河公共人才和就业服务中心、沙河市劳动技工学校、沙河市城乡居民养老保险事业管理所、沙河市培训中心。</w:t>
      </w:r>
    </w:p>
    <w:p>
      <w:pPr>
        <w:pageBreakBefore w:val="0"/>
        <w:kinsoku/>
        <w:wordWrap/>
        <w:overflowPunct/>
        <w:topLinePunct w:val="0"/>
        <w:autoSpaceDE/>
        <w:autoSpaceDN/>
        <w:bidi w:val="0"/>
        <w:adjustRightInd/>
        <w:spacing w:line="520" w:lineRule="exact"/>
        <w:jc w:val="center"/>
        <w:textAlignment w:val="auto"/>
      </w:pPr>
      <w:r>
        <w:rPr>
          <w:rFonts w:hint="eastAsia"/>
        </w:rPr>
        <w:t>部门机构设置情况</w:t>
      </w:r>
    </w:p>
    <w:p>
      <w:pPr>
        <w:pStyle w:val="12"/>
        <w:pageBreakBefore w:val="0"/>
        <w:kinsoku/>
        <w:wordWrap/>
        <w:overflowPunct/>
        <w:topLinePunct w:val="0"/>
        <w:autoSpaceDE/>
        <w:autoSpaceDN/>
        <w:bidi w:val="0"/>
        <w:adjustRightInd/>
        <w:spacing w:line="520" w:lineRule="exact"/>
        <w:textAlignment w:val="auto"/>
        <w:rPr>
          <w:rFonts w:hint="eastAsia"/>
          <w:lang w:val="en-US" w:eastAsia="zh-CN"/>
        </w:rPr>
      </w:pPr>
    </w:p>
    <w:tbl>
      <w:tblPr>
        <w:tblStyle w:val="13"/>
        <w:tblW w:w="94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49"/>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4149" w:type="dxa"/>
            <w:vMerge w:val="restart"/>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单位名称</w:t>
            </w:r>
          </w:p>
        </w:tc>
        <w:tc>
          <w:tcPr>
            <w:tcW w:w="1134" w:type="dxa"/>
            <w:vMerge w:val="restart"/>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单位性质</w:t>
            </w:r>
          </w:p>
        </w:tc>
        <w:tc>
          <w:tcPr>
            <w:tcW w:w="1276" w:type="dxa"/>
            <w:vMerge w:val="restart"/>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单位规格</w:t>
            </w:r>
          </w:p>
        </w:tc>
        <w:tc>
          <w:tcPr>
            <w:tcW w:w="2902" w:type="dxa"/>
            <w:vMerge w:val="restart"/>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149" w:type="dxa"/>
            <w:vMerge w:val="continue"/>
            <w:vAlign w:val="center"/>
          </w:tcPr>
          <w:p>
            <w:pPr>
              <w:keepNext w:val="0"/>
              <w:keepLines w:val="0"/>
              <w:pageBreakBefore w:val="0"/>
              <w:widowControl w:val="0"/>
              <w:kinsoku/>
              <w:wordWrap/>
              <w:overflowPunct/>
              <w:topLinePunct w:val="0"/>
              <w:autoSpaceDE/>
              <w:autoSpaceDN/>
              <w:bidi w:val="0"/>
              <w:adjustRightInd/>
              <w:spacing w:line="520" w:lineRule="exact"/>
              <w:jc w:val="left"/>
              <w:textAlignment w:val="auto"/>
              <w:rPr>
                <w:sz w:val="28"/>
                <w:szCs w:val="21"/>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pacing w:line="520" w:lineRule="exact"/>
              <w:jc w:val="left"/>
              <w:textAlignment w:val="auto"/>
              <w:rPr>
                <w:sz w:val="28"/>
                <w:szCs w:val="21"/>
              </w:rPr>
            </w:pPr>
          </w:p>
        </w:tc>
        <w:tc>
          <w:tcPr>
            <w:tcW w:w="1276" w:type="dxa"/>
            <w:vMerge w:val="continue"/>
            <w:vAlign w:val="center"/>
          </w:tcPr>
          <w:p>
            <w:pPr>
              <w:keepNext w:val="0"/>
              <w:keepLines w:val="0"/>
              <w:pageBreakBefore w:val="0"/>
              <w:widowControl w:val="0"/>
              <w:kinsoku/>
              <w:wordWrap/>
              <w:overflowPunct/>
              <w:topLinePunct w:val="0"/>
              <w:autoSpaceDE/>
              <w:autoSpaceDN/>
              <w:bidi w:val="0"/>
              <w:adjustRightInd/>
              <w:spacing w:line="520" w:lineRule="exact"/>
              <w:jc w:val="left"/>
              <w:textAlignment w:val="auto"/>
              <w:rPr>
                <w:sz w:val="28"/>
                <w:szCs w:val="21"/>
              </w:rPr>
            </w:pPr>
          </w:p>
        </w:tc>
        <w:tc>
          <w:tcPr>
            <w:tcW w:w="2902" w:type="dxa"/>
            <w:vMerge w:val="continue"/>
            <w:vAlign w:val="center"/>
          </w:tcPr>
          <w:p>
            <w:pPr>
              <w:keepNext w:val="0"/>
              <w:keepLines w:val="0"/>
              <w:pageBreakBefore w:val="0"/>
              <w:widowControl w:val="0"/>
              <w:kinsoku/>
              <w:wordWrap/>
              <w:overflowPunct/>
              <w:topLinePunct w:val="0"/>
              <w:autoSpaceDE/>
              <w:autoSpaceDN/>
              <w:bidi w:val="0"/>
              <w:adjustRightInd/>
              <w:spacing w:line="520" w:lineRule="exact"/>
              <w:jc w:val="left"/>
              <w:textAlignment w:val="auto"/>
              <w:rPr>
                <w:sz w:val="2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149"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沙河市人力资源和社会保障局（本级）</w:t>
            </w:r>
          </w:p>
        </w:tc>
        <w:tc>
          <w:tcPr>
            <w:tcW w:w="1134"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行政</w:t>
            </w:r>
          </w:p>
        </w:tc>
        <w:tc>
          <w:tcPr>
            <w:tcW w:w="1276"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正科级</w:t>
            </w:r>
          </w:p>
        </w:tc>
        <w:tc>
          <w:tcPr>
            <w:tcW w:w="2902"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149"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rFonts w:hint="eastAsia"/>
                <w:sz w:val="28"/>
                <w:szCs w:val="21"/>
              </w:rPr>
            </w:pPr>
            <w:r>
              <w:rPr>
                <w:rFonts w:hint="eastAsia"/>
                <w:sz w:val="28"/>
                <w:szCs w:val="21"/>
                <w:lang w:val="en-US" w:eastAsia="zh-CN"/>
              </w:rPr>
              <w:t>沙河市社会保险事业服务中心（沙河市城乡居民社会养老事业服务中心）</w:t>
            </w:r>
          </w:p>
        </w:tc>
        <w:tc>
          <w:tcPr>
            <w:tcW w:w="1134"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事业</w:t>
            </w:r>
          </w:p>
        </w:tc>
        <w:tc>
          <w:tcPr>
            <w:tcW w:w="1276"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副科级</w:t>
            </w:r>
          </w:p>
        </w:tc>
        <w:tc>
          <w:tcPr>
            <w:tcW w:w="2902"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149"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rFonts w:hint="eastAsia"/>
                <w:sz w:val="28"/>
                <w:szCs w:val="21"/>
              </w:rPr>
            </w:pPr>
            <w:r>
              <w:rPr>
                <w:rFonts w:hint="eastAsia"/>
                <w:sz w:val="28"/>
                <w:szCs w:val="21"/>
                <w:lang w:val="en-US" w:eastAsia="zh-CN"/>
              </w:rPr>
              <w:t>沙河公共人才和就业服务中心</w:t>
            </w:r>
          </w:p>
        </w:tc>
        <w:tc>
          <w:tcPr>
            <w:tcW w:w="1134"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事业</w:t>
            </w:r>
          </w:p>
        </w:tc>
        <w:tc>
          <w:tcPr>
            <w:tcW w:w="1276"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副科级</w:t>
            </w:r>
          </w:p>
        </w:tc>
        <w:tc>
          <w:tcPr>
            <w:tcW w:w="2902"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149"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沙河市培训中心</w:t>
            </w:r>
          </w:p>
        </w:tc>
        <w:tc>
          <w:tcPr>
            <w:tcW w:w="1134"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事业</w:t>
            </w:r>
          </w:p>
        </w:tc>
        <w:tc>
          <w:tcPr>
            <w:tcW w:w="1276"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股级</w:t>
            </w:r>
          </w:p>
        </w:tc>
        <w:tc>
          <w:tcPr>
            <w:tcW w:w="2902"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自收自支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149"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沙河市劳动技工学校</w:t>
            </w:r>
          </w:p>
        </w:tc>
        <w:tc>
          <w:tcPr>
            <w:tcW w:w="1134"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事业</w:t>
            </w:r>
          </w:p>
        </w:tc>
        <w:tc>
          <w:tcPr>
            <w:tcW w:w="1276"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股级</w:t>
            </w:r>
          </w:p>
        </w:tc>
        <w:tc>
          <w:tcPr>
            <w:tcW w:w="2902" w:type="dxa"/>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left"/>
              <w:textAlignment w:val="auto"/>
              <w:rPr>
                <w:sz w:val="28"/>
                <w:szCs w:val="21"/>
              </w:rPr>
            </w:pPr>
            <w:r>
              <w:rPr>
                <w:rFonts w:hint="eastAsia"/>
                <w:sz w:val="28"/>
                <w:szCs w:val="21"/>
              </w:rPr>
              <w:t>财政性资金基本保证</w:t>
            </w:r>
          </w:p>
        </w:tc>
      </w:tr>
    </w:tbl>
    <w:p>
      <w:pPr>
        <w:pStyle w:val="2"/>
        <w:keepNext w:val="0"/>
        <w:keepLines w:val="0"/>
        <w:pageBreakBefore w:val="0"/>
        <w:widowControl w:val="0"/>
        <w:kinsoku/>
        <w:wordWrap/>
        <w:overflowPunct/>
        <w:topLinePunct w:val="0"/>
        <w:autoSpaceDE/>
        <w:autoSpaceDN/>
        <w:bidi w:val="0"/>
        <w:adjustRightInd/>
        <w:spacing w:line="520" w:lineRule="exact"/>
        <w:ind w:firstLine="360" w:firstLineChars="200"/>
        <w:jc w:val="left"/>
        <w:textAlignment w:val="auto"/>
        <w:rPr>
          <w:rFonts w:hint="eastAsia"/>
          <w:lang w:val="en-US" w:eastAsia="zh-CN"/>
        </w:rPr>
      </w:pPr>
    </w:p>
    <w:p>
      <w:pPr>
        <w:pStyle w:val="6"/>
        <w:pageBreakBefore w:val="0"/>
        <w:numPr>
          <w:ilvl w:val="0"/>
          <w:numId w:val="1"/>
        </w:numPr>
        <w:kinsoku/>
        <w:wordWrap/>
        <w:overflowPunct/>
        <w:topLinePunct w:val="0"/>
        <w:autoSpaceDE/>
        <w:autoSpaceDN/>
        <w:bidi w:val="0"/>
        <w:adjustRightInd/>
        <w:spacing w:line="520" w:lineRule="exact"/>
        <w:ind w:firstLine="643" w:firstLineChars="200"/>
        <w:jc w:val="both"/>
        <w:textAlignment w:val="auto"/>
        <w:rPr>
          <w:rFonts w:hint="eastAsia"/>
          <w:lang w:eastAsia="zh-CN"/>
        </w:rPr>
      </w:pPr>
      <w:r>
        <w:rPr>
          <w:rFonts w:hint="eastAsia"/>
        </w:rPr>
        <w:t>人员</w:t>
      </w:r>
      <w:r>
        <w:rPr>
          <w:rFonts w:hint="eastAsia"/>
          <w:lang w:eastAsia="zh-CN"/>
        </w:rPr>
        <w:t>及资产</w:t>
      </w:r>
      <w:r>
        <w:rPr>
          <w:rFonts w:hint="eastAsia"/>
        </w:rPr>
        <w:t>情况</w:t>
      </w:r>
      <w:r>
        <w:rPr>
          <w:rFonts w:hint="eastAsia"/>
          <w:lang w:eastAsia="zh-CN"/>
        </w:rPr>
        <w:t>：</w:t>
      </w:r>
    </w:p>
    <w:p>
      <w:pPr>
        <w:pageBreakBefore w:val="0"/>
        <w:numPr>
          <w:ilvl w:val="0"/>
          <w:numId w:val="2"/>
        </w:numPr>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人员情况：在职人员185人，比上年度减少9人，人员变动原因是调出4人，退休7人，调入1人，离岗创业后上班恢复1人。</w:t>
      </w:r>
    </w:p>
    <w:p>
      <w:pPr>
        <w:pageBreakBefore w:val="0"/>
        <w:numPr>
          <w:ilvl w:val="0"/>
          <w:numId w:val="2"/>
        </w:numPr>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资产情况：2021年年末决算资产总额11959590.04元，比2020年年末3492235.13元增加了8467354.91元。资产总额增加的主要原因：一是因为2021年度资产数据为汇总数据，将沙河市劳动技工学校资产纳入汇总数据中，2021年技工学校资产总额为8014819.63元；二是因为当年新增购置的固定资产和无形资产总额为314506元。</w:t>
      </w:r>
    </w:p>
    <w:p>
      <w:pPr>
        <w:pStyle w:val="6"/>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（四）部门履职总体目标：</w:t>
      </w:r>
    </w:p>
    <w:p>
      <w:pPr>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rPr>
        <w:t>202</w:t>
      </w:r>
      <w:r>
        <w:rPr>
          <w:rFonts w:hint="eastAsia"/>
          <w:lang w:val="en-US" w:eastAsia="zh-CN"/>
        </w:rPr>
        <w:t>1</w:t>
      </w:r>
      <w:r>
        <w:rPr>
          <w:rFonts w:hint="eastAsia"/>
        </w:rPr>
        <w:t>年，沙河市人力资源和社会保障的总体工作任务目标是：“优服务、抓管理；强素质、促提升”。继续深入贯彻落实党的正确领导，坚持全面从严治党，坚持加强和改进意识形态工作，带领全局干部牢固树立“四个意识”；继续坚持和推进</w:t>
      </w:r>
      <w:r>
        <w:rPr>
          <w:rFonts w:hint="eastAsia"/>
          <w:lang w:eastAsia="zh-CN"/>
        </w:rPr>
        <w:t>全国</w:t>
      </w:r>
      <w:r>
        <w:rPr>
          <w:rFonts w:hint="eastAsia"/>
        </w:rPr>
        <w:t>文明单位创建，坚持两个文明一起抓，</w:t>
      </w:r>
      <w:r>
        <w:rPr>
          <w:rFonts w:hint="eastAsia"/>
          <w:lang w:eastAsia="zh-CN"/>
        </w:rPr>
        <w:t>争取</w:t>
      </w:r>
      <w:r>
        <w:rPr>
          <w:rFonts w:hint="eastAsia"/>
        </w:rPr>
        <w:t>圆满完成创建目标；继续坚持实施人社系统行风建设三年行动，大力开展“提质提效、优质服务”创建竞赛活动，促进全局效能再提升；扎实做好上级下达的各项目标任务以及沙河市委市政府202</w:t>
      </w:r>
      <w:r>
        <w:rPr>
          <w:rFonts w:hint="eastAsia"/>
          <w:lang w:val="en-US" w:eastAsia="zh-CN"/>
        </w:rPr>
        <w:t>1</w:t>
      </w:r>
      <w:r>
        <w:rPr>
          <w:rFonts w:hint="eastAsia"/>
        </w:rPr>
        <w:t>年中心工作，圆满完成就业、社保、工资分配、人才建设、劳动关系和扶贫等各项业务任务目标，不断促进人社事业蓬勃发展，为全市经济社会健康稳定发展贡献人社力量。</w:t>
      </w:r>
    </w:p>
    <w:p>
      <w:pPr>
        <w:pStyle w:val="6"/>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（五）年度整体绩效目标：</w:t>
      </w:r>
    </w:p>
    <w:p>
      <w:pPr>
        <w:pageBreakBefore w:val="0"/>
        <w:kinsoku/>
        <w:wordWrap/>
        <w:overflowPunct/>
        <w:topLinePunct w:val="0"/>
        <w:autoSpaceDE/>
        <w:autoSpaceDN/>
        <w:bidi w:val="0"/>
        <w:adjustRightInd/>
        <w:spacing w:line="520" w:lineRule="exact"/>
        <w:textAlignment w:val="auto"/>
        <w:rPr>
          <w:rFonts w:hint="eastAsia" w:ascii="仿宋" w:hAnsi="仿宋" w:eastAsia="仿宋" w:cs="仿宋"/>
          <w:szCs w:val="32"/>
        </w:rPr>
      </w:pPr>
      <w:r>
        <w:rPr>
          <w:rFonts w:hint="eastAsia"/>
          <w:lang w:val="en-US" w:eastAsia="zh-CN"/>
        </w:rPr>
        <w:t xml:space="preserve"> 围绕沙河市人力资源和社会保障局“优服务、抓管理；强素质、促提升”的总体工作任务，一是</w:t>
      </w:r>
      <w:r>
        <w:rPr>
          <w:rFonts w:hint="eastAsia"/>
        </w:rPr>
        <w:t>扎实开展公共就业专项活动，促进人力资源合理流动</w:t>
      </w:r>
      <w:r>
        <w:rPr>
          <w:rFonts w:hint="eastAsia"/>
          <w:lang w:eastAsia="zh-CN"/>
        </w:rPr>
        <w:t>，</w:t>
      </w:r>
      <w:r>
        <w:rPr>
          <w:rFonts w:hint="eastAsia"/>
        </w:rPr>
        <w:t>做好就业扶持政策和资金的有效使用，以创业促进就业。</w:t>
      </w:r>
      <w:r>
        <w:rPr>
          <w:rFonts w:hint="eastAsia"/>
          <w:lang w:eastAsia="zh-CN"/>
        </w:rPr>
        <w:t>二是</w:t>
      </w:r>
      <w:r>
        <w:rPr>
          <w:rFonts w:hint="eastAsia"/>
        </w:rPr>
        <w:t>持续加大企业社保征缴扩面力度，确保待遇足额发放</w:t>
      </w:r>
      <w:r>
        <w:rPr>
          <w:rFonts w:hint="eastAsia"/>
          <w:lang w:eastAsia="zh-CN"/>
        </w:rPr>
        <w:t>，</w:t>
      </w:r>
      <w:r>
        <w:rPr>
          <w:rFonts w:hint="eastAsia"/>
        </w:rPr>
        <w:t>及时兑现我市2014年10月以后退休的机关事业单位“中人”退休待遇。</w:t>
      </w:r>
      <w:r>
        <w:rPr>
          <w:rFonts w:hint="eastAsia"/>
          <w:lang w:eastAsia="zh-CN"/>
        </w:rPr>
        <w:t>三是</w:t>
      </w:r>
      <w:r>
        <w:rPr>
          <w:rFonts w:hint="eastAsia"/>
        </w:rPr>
        <w:t>加强社保基金监督，进一步建立完善评估社保经办机构内控制度，确保我市社会保险基金安全运行。</w:t>
      </w:r>
      <w:r>
        <w:rPr>
          <w:rFonts w:hint="eastAsia"/>
          <w:lang w:eastAsia="zh-CN"/>
        </w:rPr>
        <w:t>四是</w:t>
      </w:r>
      <w:r>
        <w:rPr>
          <w:rFonts w:hint="eastAsia"/>
        </w:rPr>
        <w:t>大力开展人社基层公共服务平台建设“13+”活动。</w:t>
      </w:r>
      <w:r>
        <w:rPr>
          <w:rFonts w:hint="eastAsia"/>
          <w:lang w:eastAsia="zh-CN"/>
        </w:rPr>
        <w:t>力争</w:t>
      </w:r>
      <w:r>
        <w:rPr>
          <w:rFonts w:hint="eastAsia"/>
        </w:rPr>
        <w:t>在2021年6月前建成功能完善的县乡村三级基层公共服务平台。</w:t>
      </w:r>
      <w:r>
        <w:rPr>
          <w:rFonts w:hint="eastAsia"/>
          <w:lang w:eastAsia="zh-CN"/>
        </w:rPr>
        <w:t>五是</w:t>
      </w:r>
      <w:r>
        <w:rPr>
          <w:rFonts w:hint="eastAsia"/>
        </w:rPr>
        <w:t>大力开展职业技能提升活动。</w:t>
      </w:r>
    </w:p>
    <w:p>
      <w:pPr>
        <w:pStyle w:val="6"/>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（六）工作任务</w:t>
      </w:r>
    </w:p>
    <w:p>
      <w:pPr>
        <w:pageBreakBefore w:val="0"/>
        <w:kinsoku/>
        <w:wordWrap/>
        <w:overflowPunct/>
        <w:topLinePunct w:val="0"/>
        <w:autoSpaceDE/>
        <w:autoSpaceDN/>
        <w:bidi w:val="0"/>
        <w:adjustRightInd/>
        <w:spacing w:line="520" w:lineRule="exact"/>
        <w:textAlignment w:val="auto"/>
        <w:rPr>
          <w:rFonts w:hint="eastAsia"/>
        </w:rPr>
      </w:pPr>
      <w:r>
        <w:rPr>
          <w:rFonts w:hint="eastAsia"/>
          <w:lang w:val="en-US" w:eastAsia="zh-CN"/>
        </w:rPr>
        <w:t>1、</w:t>
      </w:r>
      <w:r>
        <w:rPr>
          <w:rFonts w:hint="eastAsia"/>
        </w:rPr>
        <w:t>确保就业形势稳定。继续做好企业与求职者就业互通平台建设，扎实开展公共就业专项活动，促进人力资源合理流动；做好就业扶持政策和资金的有效使用，以创业促进就业。充分发挥全国人社系统优质服务窗口先进带头作用，带动全局窗口单位建设再</w:t>
      </w:r>
      <w:r>
        <w:rPr>
          <w:rFonts w:hint="eastAsia"/>
          <w:lang w:eastAsia="zh-CN"/>
        </w:rPr>
        <w:t>创</w:t>
      </w:r>
      <w:r>
        <w:rPr>
          <w:rFonts w:hint="eastAsia"/>
        </w:rPr>
        <w:t>佳绩。全年完成农村劳动力转移就业3000人，城镇新增就业3600人，城镇登记失业率控制在4.5%以内。全年举办大型招聘会3场，乡镇专场、高校毕业生专场等招聘活动20场；举办各类培训班不少于30期；扎实开展高校毕业生实名制登记工作，确保登记服务率100%，举办高校毕业生“就业直通车”不少于3场，“创业就业沙龙”不少于15期。创新开展人才集聚行动暨乡村巡回招聘会、组织我市企业参加“智汇邢·百企进高校”、京津冀区域人才交流会等大型招聘活动，拓宽引才渠道。</w:t>
      </w:r>
    </w:p>
    <w:p>
      <w:pPr>
        <w:pageBreakBefore w:val="0"/>
        <w:kinsoku/>
        <w:wordWrap/>
        <w:overflowPunct/>
        <w:topLinePunct w:val="0"/>
        <w:autoSpaceDE/>
        <w:autoSpaceDN/>
        <w:bidi w:val="0"/>
        <w:adjustRightInd/>
        <w:spacing w:line="520" w:lineRule="exact"/>
        <w:textAlignment w:val="auto"/>
        <w:rPr>
          <w:rFonts w:hint="eastAsia"/>
        </w:rPr>
      </w:pPr>
      <w:r>
        <w:rPr>
          <w:rFonts w:hint="eastAsia"/>
          <w:lang w:val="en-US" w:eastAsia="zh-CN"/>
        </w:rPr>
        <w:t>2、</w:t>
      </w:r>
      <w:r>
        <w:rPr>
          <w:rFonts w:hint="eastAsia"/>
        </w:rPr>
        <w:t>加大社保工作力度。2021年企业养老保险、工伤保险、失业保险分别扩面1500人、600人和300人，确保待遇足额发放</w:t>
      </w:r>
      <w:r>
        <w:rPr>
          <w:rFonts w:hint="eastAsia"/>
          <w:lang w:eastAsia="zh-CN"/>
        </w:rPr>
        <w:t>，</w:t>
      </w:r>
      <w:r>
        <w:rPr>
          <w:rFonts w:hint="eastAsia"/>
        </w:rPr>
        <w:t>社会化发放率100%；完成机关事业单位离退休人员的待遇调整工作</w:t>
      </w:r>
      <w:r>
        <w:rPr>
          <w:rFonts w:hint="eastAsia"/>
          <w:lang w:eastAsia="zh-CN"/>
        </w:rPr>
        <w:t>，</w:t>
      </w:r>
      <w:r>
        <w:rPr>
          <w:rFonts w:hint="eastAsia"/>
        </w:rPr>
        <w:t>及时兑现我市2014年10月以后退休的机关事业单位“中人”退休待遇</w:t>
      </w:r>
      <w:r>
        <w:rPr>
          <w:rFonts w:hint="eastAsia"/>
          <w:lang w:eastAsia="zh-CN"/>
        </w:rPr>
        <w:t>；完成城乡居民养老保险新增扩面，确保贫困人员“参保率、代缴率、享保率”100%</w:t>
      </w:r>
      <w:r>
        <w:rPr>
          <w:rFonts w:hint="eastAsia"/>
        </w:rPr>
        <w:t>。</w:t>
      </w:r>
    </w:p>
    <w:p>
      <w:pPr>
        <w:pageBreakBefore w:val="0"/>
        <w:kinsoku/>
        <w:wordWrap/>
        <w:overflowPunct/>
        <w:topLinePunct w:val="0"/>
        <w:autoSpaceDE/>
        <w:autoSpaceDN/>
        <w:bidi w:val="0"/>
        <w:adjustRightInd/>
        <w:spacing w:line="520" w:lineRule="exact"/>
        <w:textAlignment w:val="auto"/>
        <w:rPr>
          <w:rFonts w:hint="eastAsia"/>
        </w:rPr>
      </w:pPr>
      <w:r>
        <w:rPr>
          <w:rFonts w:hint="eastAsia"/>
          <w:lang w:val="en-US" w:eastAsia="zh-CN"/>
        </w:rPr>
        <w:t>3、</w:t>
      </w:r>
      <w:r>
        <w:rPr>
          <w:rFonts w:hint="eastAsia"/>
        </w:rPr>
        <w:t>加强社保基金监督，以风险防控巩固年为依托，进一步明确社保经办机构工作人员岗位职责；在加强社会保险基金现场监督检查和非现场监督检查的基础上，进一步建立完善评估社保经办机构内控制度，确保我市社会保险基金安全运行。</w:t>
      </w:r>
    </w:p>
    <w:p>
      <w:pPr>
        <w:pageBreakBefore w:val="0"/>
        <w:kinsoku/>
        <w:wordWrap/>
        <w:overflowPunct/>
        <w:topLinePunct w:val="0"/>
        <w:autoSpaceDE/>
        <w:autoSpaceDN/>
        <w:bidi w:val="0"/>
        <w:adjustRightInd/>
        <w:spacing w:line="520" w:lineRule="exact"/>
        <w:textAlignment w:val="auto"/>
        <w:rPr>
          <w:rFonts w:hint="eastAsia"/>
        </w:rPr>
      </w:pPr>
      <w:r>
        <w:rPr>
          <w:rFonts w:hint="eastAsia"/>
          <w:lang w:val="en-US" w:eastAsia="zh-CN"/>
        </w:rPr>
        <w:t>4、</w:t>
      </w:r>
      <w:r>
        <w:rPr>
          <w:rFonts w:hint="eastAsia"/>
        </w:rPr>
        <w:t>大力开展人社基层公共服务平台建设“13+”活动。大力推进“13+”建设，在2021年6月前建成功能完善的县乡村三级基层公共服务平台，按照“改造一批、新建一批、调整一批”的工作原则，分4阶段扎实推进基层公共服务平台建设“13+”活动，力争在2021年6月底前完成精品建设提升。建成覆盖13个乡镇办，118个行政村和社区，围绕主城区、329省道和纬三路，以及西部三川建成“一区两路三川”人社平台布局，人社业务办理实现“小事不出村，大事不出镇”，全力打造“线上无休、线下无缝”一流人社服务。</w:t>
      </w:r>
    </w:p>
    <w:p>
      <w:pPr>
        <w:pageBreakBefore w:val="0"/>
        <w:kinsoku/>
        <w:wordWrap/>
        <w:overflowPunct/>
        <w:topLinePunct w:val="0"/>
        <w:autoSpaceDE/>
        <w:autoSpaceDN/>
        <w:bidi w:val="0"/>
        <w:adjustRightInd/>
        <w:spacing w:line="520" w:lineRule="exact"/>
        <w:textAlignment w:val="auto"/>
      </w:pPr>
      <w:r>
        <w:rPr>
          <w:rFonts w:hint="eastAsia"/>
          <w:lang w:val="en-US" w:eastAsia="zh-CN"/>
        </w:rPr>
        <w:t>5、</w:t>
      </w:r>
      <w:r>
        <w:rPr>
          <w:rFonts w:hint="eastAsia"/>
        </w:rPr>
        <w:t>构建更加和谐的劳动关系。不断加大劳动保障法律法规的宣传力度，依法开展劳动保障监察，加大对群众举报投诉事项的处置力度，探索完善拖欠农民工工资预防机制，在源头上减少欠薪案的发生。劳动争议仲裁案件按期结案率达95％以上，调解率达到60%以上。</w:t>
      </w:r>
    </w:p>
    <w:p>
      <w:pPr>
        <w:pageBreakBefore w:val="0"/>
        <w:kinsoku/>
        <w:wordWrap/>
        <w:overflowPunct/>
        <w:topLinePunct w:val="0"/>
        <w:autoSpaceDE/>
        <w:autoSpaceDN/>
        <w:bidi w:val="0"/>
        <w:adjustRightInd/>
        <w:spacing w:line="520" w:lineRule="exact"/>
        <w:textAlignment w:val="auto"/>
        <w:rPr>
          <w:rFonts w:hint="eastAsia" w:ascii="仿宋" w:hAnsi="仿宋" w:eastAsia="仿宋" w:cs="仿宋"/>
          <w:szCs w:val="32"/>
        </w:rPr>
      </w:pPr>
      <w:r>
        <w:rPr>
          <w:rFonts w:hint="eastAsia"/>
          <w:lang w:val="en-US" w:eastAsia="zh-CN"/>
        </w:rPr>
        <w:t>6、</w:t>
      </w:r>
      <w:r>
        <w:rPr>
          <w:rFonts w:hint="eastAsia"/>
        </w:rPr>
        <w:t>大力开展职业技能提升活动。进一步加大职业技能培训力度，增强就业本领；广泛动员各类劳动者参加职业技能培训，切实提升就业者的技能水平和综合素质，促进就业和创业；开展职业技能培训1000人次，创业培训300人次。</w:t>
      </w:r>
    </w:p>
    <w:p>
      <w:pPr>
        <w:pStyle w:val="6"/>
        <w:pageBreakBefore w:val="0"/>
        <w:numPr>
          <w:ilvl w:val="0"/>
          <w:numId w:val="3"/>
        </w:numPr>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预算资金安排及资金支出情况</w:t>
      </w:r>
    </w:p>
    <w:p>
      <w:pPr>
        <w:pageBreakBefore w:val="0"/>
        <w:kinsoku/>
        <w:wordWrap/>
        <w:overflowPunct/>
        <w:topLinePunct w:val="0"/>
        <w:autoSpaceDE/>
        <w:autoSpaceDN/>
        <w:bidi w:val="0"/>
        <w:adjustRightInd/>
        <w:spacing w:line="520" w:lineRule="exact"/>
        <w:textAlignment w:val="auto"/>
        <w:rPr>
          <w:rFonts w:hint="eastAsia"/>
        </w:rPr>
      </w:pPr>
      <w:r>
        <w:rPr>
          <w:rFonts w:hint="eastAsia"/>
          <w:lang w:val="en-US" w:eastAsia="zh-CN"/>
        </w:rPr>
        <w:t>1、</w:t>
      </w:r>
      <w:r>
        <w:rPr>
          <w:rFonts w:hint="eastAsia"/>
        </w:rPr>
        <w:t>收入支出预算安排情况。</w:t>
      </w:r>
    </w:p>
    <w:p>
      <w:pPr>
        <w:pageBreakBefore w:val="0"/>
        <w:kinsoku/>
        <w:wordWrap/>
        <w:overflowPunct/>
        <w:topLinePunct w:val="0"/>
        <w:autoSpaceDE/>
        <w:autoSpaceDN/>
        <w:bidi w:val="0"/>
        <w:adjustRightInd/>
        <w:spacing w:line="520" w:lineRule="exact"/>
        <w:textAlignment w:val="auto"/>
        <w:rPr>
          <w:rFonts w:hint="eastAsia"/>
        </w:rPr>
      </w:pPr>
      <w:r>
        <w:rPr>
          <w:rFonts w:hint="eastAsia"/>
        </w:rPr>
        <w:t>20</w:t>
      </w:r>
      <w:r>
        <w:rPr>
          <w:rFonts w:hint="eastAsia"/>
          <w:lang w:val="en-US" w:eastAsia="zh-CN"/>
        </w:rPr>
        <w:t>21</w:t>
      </w:r>
      <w:r>
        <w:rPr>
          <w:rFonts w:hint="eastAsia"/>
        </w:rPr>
        <w:t>年</w:t>
      </w:r>
      <w:r>
        <w:rPr>
          <w:rFonts w:hint="eastAsia"/>
          <w:lang w:val="en-US" w:eastAsia="zh-CN"/>
        </w:rPr>
        <w:t>年初</w:t>
      </w:r>
      <w:r>
        <w:rPr>
          <w:rFonts w:hint="eastAsia"/>
        </w:rPr>
        <w:t>预算</w:t>
      </w:r>
      <w:r>
        <w:rPr>
          <w:rFonts w:hint="eastAsia"/>
          <w:lang w:val="en-US" w:eastAsia="zh-CN"/>
        </w:rPr>
        <w:t>安排</w:t>
      </w:r>
      <w:r>
        <w:rPr>
          <w:rFonts w:hint="eastAsia"/>
        </w:rPr>
        <w:t>收入18606.55万元，其中：一般公共预算收入10134.39万元，上级提前告知转移支付资金安排8472.16万元，基金预算收入0万元，财政专户核拨收入0万元，其他来源收入0万元。</w:t>
      </w:r>
    </w:p>
    <w:p>
      <w:pPr>
        <w:pageBreakBefore w:val="0"/>
        <w:kinsoku/>
        <w:wordWrap/>
        <w:overflowPunct/>
        <w:topLinePunct w:val="0"/>
        <w:autoSpaceDE/>
        <w:autoSpaceDN/>
        <w:bidi w:val="0"/>
        <w:adjustRightInd/>
        <w:spacing w:line="520" w:lineRule="exact"/>
        <w:textAlignment w:val="auto"/>
      </w:pPr>
      <w:r>
        <w:rPr>
          <w:rFonts w:hint="eastAsia"/>
        </w:rPr>
        <w:t>20</w:t>
      </w:r>
      <w:r>
        <w:rPr>
          <w:rFonts w:hint="eastAsia"/>
          <w:lang w:val="en-US" w:eastAsia="zh-CN"/>
        </w:rPr>
        <w:t>21</w:t>
      </w:r>
      <w:r>
        <w:rPr>
          <w:rFonts w:hint="eastAsia"/>
        </w:rPr>
        <w:t>年</w:t>
      </w:r>
      <w:r>
        <w:rPr>
          <w:rFonts w:hint="eastAsia"/>
          <w:lang w:val="en-US" w:eastAsia="zh-CN"/>
        </w:rPr>
        <w:t>年初</w:t>
      </w:r>
      <w:r>
        <w:rPr>
          <w:rFonts w:hint="eastAsia"/>
        </w:rPr>
        <w:t>预算</w:t>
      </w:r>
      <w:r>
        <w:rPr>
          <w:rFonts w:hint="eastAsia"/>
          <w:lang w:val="en-US" w:eastAsia="zh-CN"/>
        </w:rPr>
        <w:t>安排</w:t>
      </w:r>
      <w:r>
        <w:rPr>
          <w:rFonts w:hint="eastAsia"/>
        </w:rPr>
        <w:t>支出18606.55万元，其中基本支出2329.43万元，包括人员经费2219.4万元和日常公用经费110.03万元；项目支出16277.12万元，主要为一般公共服务支出72.5万元，教育支出155.48万元，社会保障和就业服务支出15922.96万元,农林水支出中创业担保贷款贴息支出126.18万元。</w:t>
      </w:r>
    </w:p>
    <w:p>
      <w:pPr>
        <w:pageBreakBefore w:val="0"/>
        <w:kinsoku/>
        <w:wordWrap/>
        <w:overflowPunct/>
        <w:topLinePunct w:val="0"/>
        <w:autoSpaceDE/>
        <w:autoSpaceDN/>
        <w:bidi w:val="0"/>
        <w:adjustRightInd/>
        <w:spacing w:line="520" w:lineRule="exact"/>
        <w:textAlignment w:val="auto"/>
        <w:rPr>
          <w:rFonts w:hint="eastAsia"/>
        </w:rPr>
      </w:pPr>
      <w:r>
        <w:rPr>
          <w:rFonts w:hint="eastAsia"/>
        </w:rPr>
        <w:t>20</w:t>
      </w:r>
      <w:r>
        <w:rPr>
          <w:rFonts w:hint="eastAsia"/>
          <w:lang w:val="en-US" w:eastAsia="zh-CN"/>
        </w:rPr>
        <w:t>21</w:t>
      </w:r>
      <w:r>
        <w:rPr>
          <w:rFonts w:hint="eastAsia"/>
        </w:rPr>
        <w:t>年预算收支安排18606.55万元，本级预算收支安排10134.39万元，上级提前告知转移支付资金安排8472.16万元。</w:t>
      </w:r>
    </w:p>
    <w:p>
      <w:pPr>
        <w:pageBreakBefore w:val="0"/>
        <w:kinsoku/>
        <w:wordWrap/>
        <w:overflowPunct/>
        <w:topLinePunct w:val="0"/>
        <w:autoSpaceDE/>
        <w:autoSpaceDN/>
        <w:bidi w:val="0"/>
        <w:adjustRightInd/>
        <w:spacing w:line="520" w:lineRule="exact"/>
        <w:textAlignment w:val="auto"/>
        <w:rPr>
          <w:rFonts w:hint="eastAsia"/>
        </w:rPr>
      </w:pPr>
      <w:r>
        <w:rPr>
          <w:rFonts w:hint="eastAsia"/>
        </w:rPr>
        <w:t>20</w:t>
      </w:r>
      <w:r>
        <w:rPr>
          <w:rFonts w:hint="eastAsia"/>
          <w:lang w:val="en-US" w:eastAsia="zh-CN"/>
        </w:rPr>
        <w:t>21</w:t>
      </w:r>
      <w:r>
        <w:rPr>
          <w:rFonts w:hint="eastAsia"/>
        </w:rPr>
        <w:t>年本级预算收支安排10134.39万元，较</w:t>
      </w:r>
      <w:r>
        <w:t>20</w:t>
      </w:r>
      <w:r>
        <w:rPr>
          <w:rFonts w:hint="eastAsia"/>
          <w:lang w:val="en-US" w:eastAsia="zh-CN"/>
        </w:rPr>
        <w:t>20</w:t>
      </w:r>
      <w:r>
        <w:rPr>
          <w:rFonts w:hint="eastAsia"/>
        </w:rPr>
        <w:t>年预算</w:t>
      </w:r>
      <w:r>
        <w:rPr>
          <w:rFonts w:hint="eastAsia"/>
          <w:lang w:eastAsia="zh-CN"/>
        </w:rPr>
        <w:t>增加</w:t>
      </w:r>
      <w:r>
        <w:rPr>
          <w:rFonts w:hint="eastAsia"/>
        </w:rPr>
        <w:t>676.86万元，其中基本支出增加93.29万元，主要为人员经费支出增加，原因为人员社保缴费基数调整、工资基数调整等项目的增加；项目支出增加1090.23万元，主要为2021年本级预算安排养老保险、职业年金清算单位部分2628.10万元、机关事业单位职业年金虚账记实财政补助（中人补缴费问题）2400万元，较2020年增加583.57万元；2021年上级提前告知转移支付资金安排8472.16万元，较2020年增加506.66万元。</w:t>
      </w:r>
    </w:p>
    <w:p>
      <w:pPr>
        <w:pageBreakBefore w:val="0"/>
        <w:kinsoku/>
        <w:wordWrap/>
        <w:overflowPunct/>
        <w:topLinePunct w:val="0"/>
        <w:autoSpaceDE/>
        <w:autoSpaceDN/>
        <w:bidi w:val="0"/>
        <w:adjustRightInd/>
        <w:spacing w:line="520" w:lineRule="exact"/>
        <w:textAlignment w:val="auto"/>
        <w:rPr>
          <w:rFonts w:hint="eastAsia"/>
        </w:rPr>
      </w:pPr>
      <w:r>
        <w:rPr>
          <w:rFonts w:hint="eastAsia"/>
          <w:lang w:val="en-US" w:eastAsia="zh-CN"/>
        </w:rPr>
        <w:t>2、</w:t>
      </w:r>
      <w:r>
        <w:rPr>
          <w:rFonts w:hint="eastAsia"/>
        </w:rPr>
        <w:t>收入支出预算执行情况。</w:t>
      </w:r>
    </w:p>
    <w:p>
      <w:pPr>
        <w:pageBreakBefore w:val="0"/>
        <w:kinsoku/>
        <w:wordWrap/>
        <w:overflowPunct/>
        <w:topLinePunct w:val="0"/>
        <w:autoSpaceDE/>
        <w:autoSpaceDN/>
        <w:bidi w:val="0"/>
        <w:adjustRightInd/>
        <w:spacing w:line="520" w:lineRule="exact"/>
        <w:textAlignment w:val="auto"/>
        <w:rPr>
          <w:rFonts w:hint="eastAsia" w:ascii="仿宋" w:hAnsi="仿宋" w:eastAsia="仿宋" w:cs="仿宋"/>
          <w:szCs w:val="32"/>
        </w:rPr>
      </w:pPr>
      <w:r>
        <w:rPr>
          <w:rFonts w:hint="eastAsia"/>
          <w:lang w:eastAsia="zh-CN"/>
        </w:rPr>
        <w:t>（</w:t>
      </w:r>
      <w:r>
        <w:rPr>
          <w:rFonts w:hint="eastAsia"/>
          <w:lang w:val="en-US" w:eastAsia="zh-CN"/>
        </w:rPr>
        <w:t>1</w:t>
      </w:r>
      <w:r>
        <w:rPr>
          <w:rFonts w:hint="eastAsia"/>
          <w:lang w:eastAsia="zh-CN"/>
        </w:rPr>
        <w:t>）</w:t>
      </w:r>
      <w:r>
        <w:rPr>
          <w:rFonts w:hint="eastAsia"/>
        </w:rPr>
        <w:t>收入支出与预算对比分析。</w:t>
      </w:r>
    </w:p>
    <w:p>
      <w:pPr>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b/>
          <w:bCs/>
          <w:lang w:val="en-US" w:eastAsia="zh-CN"/>
        </w:rPr>
        <w:t>2021年度收入支出决算总表情况说明</w:t>
      </w:r>
      <w:r>
        <w:rPr>
          <w:rFonts w:hint="eastAsia"/>
          <w:lang w:val="en-US" w:eastAsia="zh-CN"/>
        </w:rPr>
        <w:t>：2021年决算总收入5876.45万元，总支出5883.4万元，年末结转结余38.72万元。总收入较去年增加619.54万元，增加幅度为11.79%；总支出较去年增加545.91万元，增加幅度为10.23%。增加的主要原因为就业专项资金项目收支的增加。</w:t>
      </w:r>
    </w:p>
    <w:p>
      <w:pPr>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b/>
          <w:bCs/>
        </w:rPr>
        <w:t>差异原因分</w:t>
      </w:r>
      <w:r>
        <w:rPr>
          <w:rFonts w:hint="eastAsia"/>
          <w:b/>
          <w:bCs/>
          <w:lang w:val="en-US" w:eastAsia="zh-CN"/>
        </w:rPr>
        <w:t>析</w:t>
      </w:r>
      <w:r>
        <w:rPr>
          <w:rFonts w:hint="eastAsia"/>
          <w:b/>
          <w:bCs/>
          <w:lang w:eastAsia="zh-CN"/>
        </w:rPr>
        <w:t>：</w:t>
      </w:r>
      <w:r>
        <w:rPr>
          <w:rFonts w:hint="eastAsia"/>
          <w:lang w:val="en-US" w:eastAsia="zh-CN"/>
        </w:rPr>
        <w:t>与年初预算数据对比，年初预算安排资金</w:t>
      </w:r>
      <w:r>
        <w:rPr>
          <w:rFonts w:hint="eastAsia"/>
        </w:rPr>
        <w:t>18606.55</w:t>
      </w:r>
      <w:r>
        <w:rPr>
          <w:rFonts w:hint="eastAsia"/>
          <w:lang w:val="en-US" w:eastAsia="zh-CN"/>
        </w:rPr>
        <w:t>万元。预算调整数为18722.75比决算总收入5876.45多12846.3万元，数据差异主要原因是财政对基本养老保险基金的补助预算资金10836.84万元和机关事业职业年金缴费预算资金2009.46万元属于社保专户管理资金，财政决算代列项，所以本单位决算中未体现。</w:t>
      </w:r>
    </w:p>
    <w:p>
      <w:pPr>
        <w:pageBreakBefore w:val="0"/>
        <w:kinsoku/>
        <w:wordWrap/>
        <w:overflowPunct/>
        <w:topLinePunct w:val="0"/>
        <w:autoSpaceDE/>
        <w:autoSpaceDN/>
        <w:bidi w:val="0"/>
        <w:adjustRightInd/>
        <w:spacing w:line="520" w:lineRule="exact"/>
        <w:textAlignment w:val="auto"/>
        <w:rPr>
          <w:rFonts w:hint="eastAsia"/>
        </w:rPr>
      </w:pPr>
      <w:r>
        <w:rPr>
          <w:rFonts w:hint="eastAsia"/>
        </w:rPr>
        <w:t>当年预算支出完成率＝年终执行数÷调整预算数×100%</w:t>
      </w:r>
    </w:p>
    <w:p>
      <w:pPr>
        <w:pageBreakBefore w:val="0"/>
        <w:kinsoku/>
        <w:wordWrap/>
        <w:overflowPunct/>
        <w:topLinePunct w:val="0"/>
        <w:autoSpaceDE/>
        <w:autoSpaceDN/>
        <w:bidi w:val="0"/>
        <w:adjustRightInd/>
        <w:spacing w:line="520" w:lineRule="exact"/>
        <w:textAlignment w:val="auto"/>
        <w:rPr>
          <w:rFonts w:hint="eastAsia"/>
        </w:rPr>
      </w:pPr>
      <w:r>
        <w:rPr>
          <w:rFonts w:hint="eastAsia"/>
        </w:rPr>
        <w:t>年终执行数不含上年结转和结余支出数。</w:t>
      </w:r>
    </w:p>
    <w:p>
      <w:pPr>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2021年调整预算数5256.96万元，2021年年终执行数=决算支出数5883.4万元-年初结转数45.63万元=5837.77万元，</w:t>
      </w:r>
      <w:r>
        <w:rPr>
          <w:rFonts w:hint="eastAsia"/>
        </w:rPr>
        <w:t>当年预算支出完成率＝</w:t>
      </w:r>
      <w:r>
        <w:rPr>
          <w:rFonts w:hint="eastAsia"/>
          <w:lang w:val="en-US" w:eastAsia="zh-CN"/>
        </w:rPr>
        <w:t>5837.77万元</w:t>
      </w:r>
      <w:r>
        <w:rPr>
          <w:rFonts w:hint="eastAsia"/>
        </w:rPr>
        <w:t>÷</w:t>
      </w:r>
      <w:r>
        <w:rPr>
          <w:rFonts w:hint="eastAsia"/>
          <w:lang w:val="en-US" w:eastAsia="zh-CN"/>
        </w:rPr>
        <w:t>5876.45万元</w:t>
      </w:r>
      <w:r>
        <w:rPr>
          <w:rFonts w:hint="eastAsia"/>
        </w:rPr>
        <w:t>×100%</w:t>
      </w:r>
      <w:r>
        <w:rPr>
          <w:rFonts w:hint="eastAsia"/>
          <w:lang w:val="en-US" w:eastAsia="zh-CN"/>
        </w:rPr>
        <w:t>=99.34%</w:t>
      </w:r>
    </w:p>
    <w:p>
      <w:pPr>
        <w:pageBreakBefore w:val="0"/>
        <w:kinsoku/>
        <w:wordWrap/>
        <w:overflowPunct/>
        <w:topLinePunct w:val="0"/>
        <w:autoSpaceDE/>
        <w:autoSpaceDN/>
        <w:bidi w:val="0"/>
        <w:adjustRightInd/>
        <w:spacing w:line="520" w:lineRule="exact"/>
        <w:textAlignment w:val="auto"/>
        <w:rPr>
          <w:rFonts w:hint="eastAsia"/>
        </w:rPr>
      </w:pPr>
      <w:r>
        <w:rPr>
          <w:rFonts w:hint="eastAsia"/>
          <w:lang w:eastAsia="zh-CN"/>
        </w:rPr>
        <w:t>（</w:t>
      </w:r>
      <w:r>
        <w:rPr>
          <w:rFonts w:hint="eastAsia"/>
          <w:lang w:val="en-US" w:eastAsia="zh-CN"/>
        </w:rPr>
        <w:t>2</w:t>
      </w:r>
      <w:r>
        <w:rPr>
          <w:rFonts w:hint="eastAsia"/>
          <w:lang w:eastAsia="zh-CN"/>
        </w:rPr>
        <w:t>）</w:t>
      </w:r>
      <w:r>
        <w:rPr>
          <w:rFonts w:hint="eastAsia"/>
        </w:rPr>
        <w:t>收入支出结构分析。</w:t>
      </w:r>
    </w:p>
    <w:p>
      <w:pPr>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2021年决算总收入5876.5万元，均为财政拨款收入。其中一般公共服务支出收入1893.05万元，占总收入的32.21%；教育支出收入271.07万元，占总收入的4.61%；社会保障和就业支出收入3294.06万元，占总收入的56.05%；卫生健康支出收入108.54万元，占总收入的1.85%；农林水支出收入158.06万元，占总收入的2.69%；住房保障支出收入151.71万元，占总收入的2.59%。</w:t>
      </w:r>
    </w:p>
    <w:p>
      <w:pPr>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2021年决算总支出5883.4万元，其中基本支出2326.77万元，占总支出的39.55%（其中：人员经费支出2239.82万元，占基本支出的96.26%，日常公用经费122.95万元，占基本支出的3.74%）；项目支出3556.63万元，占总支出的60.45%（其中：一般公共服务支出134.6万元，占项目支出的3.78%；教育支出271.07万元，占项目支出的7.62%；社会保障和就业支出2992.9万元，占项目支出的84.16%；农林水支出158.06万元，占项目支出的4.44%。）。</w:t>
      </w:r>
    </w:p>
    <w:p>
      <w:pPr>
        <w:pStyle w:val="5"/>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二、预算绩效管理开展及整体绩效实现情况</w:t>
      </w:r>
    </w:p>
    <w:p>
      <w:pPr>
        <w:pStyle w:val="6"/>
        <w:pageBreakBefore w:val="0"/>
        <w:numPr>
          <w:ilvl w:val="0"/>
          <w:numId w:val="4"/>
        </w:numPr>
        <w:kinsoku/>
        <w:wordWrap/>
        <w:overflowPunct/>
        <w:topLinePunct w:val="0"/>
        <w:autoSpaceDE/>
        <w:autoSpaceDN/>
        <w:bidi w:val="0"/>
        <w:adjustRightInd/>
        <w:spacing w:line="520" w:lineRule="exact"/>
        <w:textAlignment w:val="auto"/>
      </w:pPr>
      <w:r>
        <w:rPr>
          <w:rFonts w:hint="eastAsia"/>
        </w:rPr>
        <w:t>预算绩效管理开展情况</w:t>
      </w:r>
    </w:p>
    <w:p>
      <w:pPr>
        <w:pageBreakBefore w:val="0"/>
        <w:kinsoku/>
        <w:wordWrap/>
        <w:overflowPunct/>
        <w:topLinePunct w:val="0"/>
        <w:autoSpaceDE/>
        <w:autoSpaceDN/>
        <w:bidi w:val="0"/>
        <w:adjustRightInd/>
        <w:spacing w:line="520" w:lineRule="exact"/>
        <w:textAlignment w:val="auto"/>
      </w:pPr>
      <w:r>
        <w:rPr>
          <w:rFonts w:hint="eastAsia"/>
        </w:rPr>
        <w:t>为深入贯彻落实中共中央国务院《关于全面实施预算绩效管理的意见》的相关要求，202</w:t>
      </w:r>
      <w:r>
        <w:rPr>
          <w:rFonts w:hint="eastAsia"/>
          <w:lang w:val="en-US" w:eastAsia="zh-CN"/>
        </w:rPr>
        <w:t>1</w:t>
      </w:r>
      <w:r>
        <w:rPr>
          <w:rFonts w:hint="eastAsia"/>
        </w:rPr>
        <w:t>年我单位严格按照规定开展绩效预算管理工作，紧扣人社部门履职，以支出为主，兼顾收入；紧扣部门本级预算，延伸至转移支付资金。</w:t>
      </w:r>
    </w:p>
    <w:p>
      <w:pPr>
        <w:pageBreakBefore w:val="0"/>
        <w:kinsoku/>
        <w:wordWrap/>
        <w:overflowPunct/>
        <w:topLinePunct w:val="0"/>
        <w:autoSpaceDE/>
        <w:autoSpaceDN/>
        <w:bidi w:val="0"/>
        <w:adjustRightInd/>
        <w:spacing w:line="520" w:lineRule="exact"/>
        <w:textAlignment w:val="auto"/>
      </w:pPr>
      <w:r>
        <w:rPr>
          <w:rFonts w:hint="eastAsia"/>
        </w:rPr>
        <w:t>通过对人社部门职能、机构、预算、资产、项目、管理、产出与效果等方面综合评价，形成对部门的总体认识；具体以资金使用为抓手，从决策、管理、产出与效果等方面对人社部门本级及下属事业单位的规划计划和目标任务落实、核心业务开展、部门产出与效益进行综合评价，提出改进建议。</w:t>
      </w:r>
    </w:p>
    <w:p>
      <w:pPr>
        <w:pageBreakBefore w:val="0"/>
        <w:kinsoku/>
        <w:wordWrap/>
        <w:overflowPunct/>
        <w:topLinePunct w:val="0"/>
        <w:autoSpaceDE/>
        <w:autoSpaceDN/>
        <w:bidi w:val="0"/>
        <w:adjustRightInd/>
        <w:spacing w:line="520" w:lineRule="exact"/>
        <w:textAlignment w:val="auto"/>
        <w:rPr>
          <w:rFonts w:asciiTheme="minorEastAsia" w:hAnsiTheme="minorEastAsia" w:cstheme="minorEastAsia"/>
          <w:szCs w:val="30"/>
          <w:shd w:val="clear" w:color="auto" w:fill="FFFFFF"/>
        </w:rPr>
      </w:pPr>
      <w:r>
        <w:rPr>
          <w:rFonts w:hint="eastAsia"/>
        </w:rPr>
        <w:t>单位领导也高度重视预算绩效开展情况，对于开展预算绩效评价大力支持，并调度相关科室预算绩效工作开展情况，强调要充分发挥预算资金的使用效果。</w:t>
      </w:r>
    </w:p>
    <w:p>
      <w:pPr>
        <w:pStyle w:val="6"/>
        <w:pageBreakBefore w:val="0"/>
        <w:numPr>
          <w:ilvl w:val="0"/>
          <w:numId w:val="4"/>
        </w:numPr>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整体绩效实现情况</w:t>
      </w:r>
    </w:p>
    <w:p>
      <w:pPr>
        <w:pageBreakBefore w:val="0"/>
        <w:kinsoku/>
        <w:wordWrap/>
        <w:overflowPunct/>
        <w:topLinePunct w:val="0"/>
        <w:autoSpaceDE/>
        <w:autoSpaceDN/>
        <w:bidi w:val="0"/>
        <w:adjustRightInd/>
        <w:spacing w:line="520" w:lineRule="exact"/>
        <w:textAlignment w:val="auto"/>
        <w:rPr>
          <w:rFonts w:hint="eastAsia"/>
        </w:rPr>
      </w:pPr>
      <w:r>
        <w:rPr>
          <w:rFonts w:hint="eastAsia"/>
        </w:rPr>
        <w:t>202</w:t>
      </w:r>
      <w:r>
        <w:rPr>
          <w:rFonts w:hint="eastAsia"/>
          <w:lang w:val="en-US" w:eastAsia="zh-CN"/>
        </w:rPr>
        <w:t>1</w:t>
      </w:r>
      <w:r>
        <w:rPr>
          <w:rFonts w:hint="eastAsia"/>
        </w:rPr>
        <w:t>年我部门</w:t>
      </w:r>
      <w:r>
        <w:t>紧紧围绕全市中心工作和上级指示精神，坚持“就业优先、民生为本”的工作主线，以强化就业创业、社会保障、人事人才服务、劳动监察、职业教育培训为工作重点，狠抓党建及党风廉政、机关作风建设，开拓创新，锐意进取，较好完成了部门职责和工作活动的各项绩效目标</w:t>
      </w:r>
      <w:r>
        <w:rPr>
          <w:rFonts w:hint="eastAsia"/>
        </w:rPr>
        <w:t>。</w:t>
      </w:r>
    </w:p>
    <w:p>
      <w:pPr>
        <w:pageBreakBefore w:val="0"/>
        <w:kinsoku/>
        <w:wordWrap/>
        <w:overflowPunct/>
        <w:topLinePunct w:val="0"/>
        <w:autoSpaceDE/>
        <w:autoSpaceDN/>
        <w:bidi w:val="0"/>
        <w:adjustRightInd/>
        <w:spacing w:line="520" w:lineRule="exact"/>
        <w:textAlignment w:val="auto"/>
        <w:rPr>
          <w:rFonts w:hint="default"/>
          <w:lang w:val="en-US" w:eastAsia="zh-CN"/>
        </w:rPr>
      </w:pPr>
      <w:r>
        <w:rPr>
          <w:rFonts w:hint="eastAsia"/>
          <w:lang w:val="en-US" w:eastAsia="zh-CN"/>
        </w:rPr>
        <w:t>1、一级项目和二级项目绩效目标完成情况。</w:t>
      </w:r>
    </w:p>
    <w:p>
      <w:pPr>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rPr>
        <w:t>就业</w:t>
      </w:r>
      <w:r>
        <w:rPr>
          <w:rFonts w:hint="eastAsia"/>
          <w:lang w:val="en-US" w:eastAsia="zh-CN"/>
        </w:rPr>
        <w:t>补助资金绩效目标完成情况</w:t>
      </w:r>
      <w:r>
        <w:rPr>
          <w:rFonts w:hint="eastAsia"/>
        </w:rPr>
        <w:t>。</w:t>
      </w:r>
      <w:r>
        <w:rPr>
          <w:rFonts w:hint="eastAsia"/>
          <w:lang w:eastAsia="zh-CN"/>
        </w:rPr>
        <w:t>农村劳动力转移就业</w:t>
      </w:r>
      <w:r>
        <w:rPr>
          <w:rFonts w:hint="eastAsia"/>
          <w:lang w:val="en-US" w:eastAsia="zh-CN"/>
        </w:rPr>
        <w:t>8071</w:t>
      </w:r>
      <w:r>
        <w:rPr>
          <w:rFonts w:hint="eastAsia"/>
          <w:lang w:eastAsia="zh-CN"/>
        </w:rPr>
        <w:t>人，完成全年任务5863人的1</w:t>
      </w:r>
      <w:r>
        <w:rPr>
          <w:rFonts w:hint="eastAsia"/>
          <w:lang w:val="en-US" w:eastAsia="zh-CN"/>
        </w:rPr>
        <w:t>38</w:t>
      </w:r>
      <w:r>
        <w:rPr>
          <w:rFonts w:hint="eastAsia"/>
          <w:lang w:eastAsia="zh-CN"/>
        </w:rPr>
        <w:t>%</w:t>
      </w:r>
      <w:r>
        <w:rPr>
          <w:rFonts w:hint="eastAsia"/>
        </w:rPr>
        <w:t>。城镇新增就业4</w:t>
      </w:r>
      <w:r>
        <w:rPr>
          <w:rFonts w:hint="eastAsia"/>
          <w:lang w:val="en-US" w:eastAsia="zh-CN"/>
        </w:rPr>
        <w:t>493</w:t>
      </w:r>
      <w:r>
        <w:rPr>
          <w:rFonts w:hint="eastAsia"/>
        </w:rPr>
        <w:t>人，完成</w:t>
      </w:r>
      <w:r>
        <w:rPr>
          <w:rFonts w:hint="eastAsia"/>
          <w:lang w:eastAsia="zh-CN"/>
        </w:rPr>
        <w:t>全年</w:t>
      </w:r>
      <w:r>
        <w:rPr>
          <w:rFonts w:hint="eastAsia"/>
        </w:rPr>
        <w:t>任务</w:t>
      </w:r>
      <w:r>
        <w:rPr>
          <w:rFonts w:hint="eastAsia"/>
          <w:lang w:val="en-US" w:eastAsia="zh-CN"/>
        </w:rPr>
        <w:t>4381</w:t>
      </w:r>
      <w:r>
        <w:rPr>
          <w:rFonts w:hint="eastAsia"/>
        </w:rPr>
        <w:t>的</w:t>
      </w:r>
      <w:r>
        <w:rPr>
          <w:rFonts w:hint="eastAsia"/>
          <w:lang w:val="en-US" w:eastAsia="zh-CN"/>
        </w:rPr>
        <w:t>102.6</w:t>
      </w:r>
      <w:r>
        <w:rPr>
          <w:rFonts w:hint="eastAsia"/>
        </w:rPr>
        <w:t>%,</w:t>
      </w:r>
      <w:r>
        <w:rPr>
          <w:rFonts w:hint="eastAsia"/>
          <w:lang w:val="en-US" w:eastAsia="zh-CN"/>
        </w:rPr>
        <w:t>下岗失业人员再就业865人，完成全年任务840人的103%，就业困难人员就业345人，完成全年任务330人的105%，</w:t>
      </w:r>
      <w:r>
        <w:rPr>
          <w:rFonts w:hint="eastAsia"/>
        </w:rPr>
        <w:t>城镇登记失业率控制在</w:t>
      </w:r>
      <w:r>
        <w:rPr>
          <w:rFonts w:hint="eastAsia"/>
          <w:lang w:val="en-US" w:eastAsia="zh-CN"/>
        </w:rPr>
        <w:t>3.36</w:t>
      </w:r>
      <w:r>
        <w:rPr>
          <w:rFonts w:hint="eastAsia"/>
        </w:rPr>
        <w:t>%</w:t>
      </w:r>
      <w:r>
        <w:rPr>
          <w:rFonts w:hint="eastAsia"/>
          <w:lang w:eastAsia="zh-CN"/>
        </w:rPr>
        <w:t>，零就业家庭保持“清零”状态</w:t>
      </w:r>
      <w:r>
        <w:rPr>
          <w:rFonts w:hint="eastAsia"/>
        </w:rPr>
        <w:t>。组织开展创业沙龙活动</w:t>
      </w:r>
      <w:r>
        <w:rPr>
          <w:rFonts w:hint="eastAsia"/>
          <w:lang w:val="en-US" w:eastAsia="zh-CN"/>
        </w:rPr>
        <w:t>4</w:t>
      </w:r>
      <w:r>
        <w:rPr>
          <w:rFonts w:hint="eastAsia"/>
        </w:rPr>
        <w:t>期，创业培训</w:t>
      </w:r>
      <w:r>
        <w:rPr>
          <w:rFonts w:hint="eastAsia"/>
          <w:lang w:val="en-US" w:eastAsia="zh-CN"/>
        </w:rPr>
        <w:t>334</w:t>
      </w:r>
      <w:r>
        <w:rPr>
          <w:rFonts w:hint="eastAsia"/>
        </w:rPr>
        <w:t>人，完成全年任务</w:t>
      </w:r>
      <w:r>
        <w:rPr>
          <w:rFonts w:hint="eastAsia"/>
          <w:lang w:val="en-US" w:eastAsia="zh-CN"/>
        </w:rPr>
        <w:t>300</w:t>
      </w:r>
      <w:r>
        <w:rPr>
          <w:rFonts w:hint="eastAsia"/>
        </w:rPr>
        <w:t>人的</w:t>
      </w:r>
      <w:r>
        <w:rPr>
          <w:rFonts w:hint="eastAsia"/>
          <w:lang w:val="en-US" w:eastAsia="zh-CN"/>
        </w:rPr>
        <w:t>111</w:t>
      </w:r>
      <w:r>
        <w:rPr>
          <w:rFonts w:hint="eastAsia"/>
        </w:rPr>
        <w:t>%</w:t>
      </w:r>
      <w:r>
        <w:rPr>
          <w:rFonts w:hint="eastAsia"/>
          <w:lang w:eastAsia="zh-CN"/>
        </w:rPr>
        <w:t>。</w:t>
      </w:r>
      <w:r>
        <w:rPr>
          <w:rFonts w:hint="eastAsia"/>
        </w:rPr>
        <w:t>筹集上级</w:t>
      </w:r>
      <w:r>
        <w:rPr>
          <w:rFonts w:hint="eastAsia"/>
          <w:lang w:val="en-US" w:eastAsia="zh-CN"/>
        </w:rPr>
        <w:t>就业补助</w:t>
      </w:r>
      <w:r>
        <w:rPr>
          <w:rFonts w:hint="eastAsia"/>
        </w:rPr>
        <w:t>资金2</w:t>
      </w:r>
      <w:r>
        <w:rPr>
          <w:rFonts w:hint="eastAsia"/>
          <w:lang w:val="en-US" w:eastAsia="zh-CN"/>
        </w:rPr>
        <w:t>438</w:t>
      </w:r>
      <w:r>
        <w:rPr>
          <w:rFonts w:hint="eastAsia"/>
        </w:rPr>
        <w:t>万元</w:t>
      </w:r>
      <w:r>
        <w:rPr>
          <w:rFonts w:hint="eastAsia"/>
          <w:lang w:eastAsia="zh-CN"/>
        </w:rPr>
        <w:t>，截至目前</w:t>
      </w:r>
      <w:r>
        <w:rPr>
          <w:rFonts w:hint="eastAsia"/>
        </w:rPr>
        <w:t>支出</w:t>
      </w:r>
      <w:r>
        <w:rPr>
          <w:rFonts w:hint="eastAsia"/>
          <w:lang w:val="en-US" w:eastAsia="zh-CN"/>
        </w:rPr>
        <w:t>2740</w:t>
      </w:r>
      <w:r>
        <w:rPr>
          <w:rFonts w:hint="eastAsia"/>
        </w:rPr>
        <w:t>万元，完成上级筹集资金的</w:t>
      </w:r>
      <w:r>
        <w:rPr>
          <w:rFonts w:hint="eastAsia"/>
          <w:lang w:val="en-US" w:eastAsia="zh-CN"/>
        </w:rPr>
        <w:t>102.38</w:t>
      </w:r>
      <w:r>
        <w:rPr>
          <w:rFonts w:hint="eastAsia"/>
        </w:rPr>
        <w:t>%。城镇居民可支配收入</w:t>
      </w:r>
      <w:r>
        <w:rPr>
          <w:rFonts w:hint="eastAsia"/>
          <w:lang w:eastAsia="zh-CN"/>
        </w:rPr>
        <w:t>29593</w:t>
      </w:r>
      <w:r>
        <w:rPr>
          <w:rFonts w:hint="eastAsia"/>
        </w:rPr>
        <w:t>元，绝对值邢台市排名第</w:t>
      </w:r>
      <w:r>
        <w:rPr>
          <w:rFonts w:hint="eastAsia"/>
          <w:lang w:eastAsia="zh-CN"/>
        </w:rPr>
        <w:t>三</w:t>
      </w:r>
      <w:r>
        <w:rPr>
          <w:rFonts w:hint="eastAsia"/>
        </w:rPr>
        <w:t>，增速</w:t>
      </w:r>
      <w:r>
        <w:rPr>
          <w:rFonts w:hint="eastAsia"/>
          <w:lang w:val="en-US" w:eastAsia="zh-CN"/>
        </w:rPr>
        <w:t>7</w:t>
      </w:r>
      <w:r>
        <w:rPr>
          <w:rFonts w:hint="eastAsia"/>
        </w:rPr>
        <w:t>%</w:t>
      </w:r>
      <w:r>
        <w:rPr>
          <w:rFonts w:hint="eastAsia"/>
          <w:lang w:eastAsia="zh-CN"/>
        </w:rPr>
        <w:t>以上</w:t>
      </w:r>
      <w:r>
        <w:rPr>
          <w:rFonts w:hint="eastAsia"/>
        </w:rPr>
        <w:t>。</w:t>
      </w:r>
      <w:r>
        <w:rPr>
          <w:rFonts w:hint="eastAsia"/>
          <w:lang w:eastAsia="zh-CN"/>
        </w:rPr>
        <w:t>高标准完成</w:t>
      </w:r>
      <w:r>
        <w:rPr>
          <w:rFonts w:hint="eastAsia"/>
        </w:rPr>
        <w:t>邢台市人力资源服务产业园沙河分园建设，目前正在</w:t>
      </w:r>
      <w:r>
        <w:rPr>
          <w:rFonts w:hint="eastAsia"/>
          <w:lang w:eastAsia="zh-CN"/>
        </w:rPr>
        <w:t>有序运营中</w:t>
      </w:r>
      <w:r>
        <w:rPr>
          <w:rFonts w:hint="eastAsia"/>
        </w:rPr>
        <w:t>。</w:t>
      </w:r>
    </w:p>
    <w:p>
      <w:pPr>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财政对基本养老保险及机关事业职业年金缴费补助资金绩效目标完成情况</w:t>
      </w:r>
      <w:r>
        <w:rPr>
          <w:rFonts w:hint="eastAsia"/>
        </w:rPr>
        <w:t>。</w:t>
      </w:r>
      <w:r>
        <w:rPr>
          <w:rFonts w:hint="eastAsia"/>
          <w:lang w:eastAsia="zh-CN"/>
        </w:rPr>
        <w:t>养老保险：</w:t>
      </w:r>
      <w:r>
        <w:rPr>
          <w:rFonts w:hint="eastAsia"/>
        </w:rPr>
        <w:t>全市企业养老保险参保人数达5.2万人，完成扩面3100人，基金收入2.</w:t>
      </w:r>
      <w:r>
        <w:rPr>
          <w:rFonts w:hint="eastAsia"/>
          <w:lang w:val="en-US" w:eastAsia="zh-CN"/>
        </w:rPr>
        <w:t>6</w:t>
      </w:r>
      <w:r>
        <w:rPr>
          <w:rFonts w:hint="eastAsia"/>
        </w:rPr>
        <w:t>2亿元，为1.</w:t>
      </w:r>
      <w:r>
        <w:rPr>
          <w:rFonts w:hint="eastAsia"/>
          <w:lang w:val="en-US" w:eastAsia="zh-CN"/>
        </w:rPr>
        <w:t>3</w:t>
      </w:r>
      <w:r>
        <w:rPr>
          <w:rFonts w:hint="eastAsia"/>
        </w:rPr>
        <w:t>万名企业离退休人员发放养老金3.</w:t>
      </w:r>
      <w:r>
        <w:rPr>
          <w:rFonts w:hint="eastAsia"/>
          <w:lang w:val="en-US" w:eastAsia="zh-CN"/>
        </w:rPr>
        <w:t>9</w:t>
      </w:r>
      <w:r>
        <w:rPr>
          <w:rFonts w:hint="eastAsia"/>
        </w:rPr>
        <w:t>亿元，社会化发放率100%；机关事业单位养老保险（改革）基金收入1.</w:t>
      </w:r>
      <w:r>
        <w:rPr>
          <w:rFonts w:hint="eastAsia"/>
          <w:lang w:val="en-US" w:eastAsia="zh-CN"/>
        </w:rPr>
        <w:t>9</w:t>
      </w:r>
      <w:r>
        <w:rPr>
          <w:rFonts w:hint="eastAsia"/>
        </w:rPr>
        <w:t>亿元，为47</w:t>
      </w:r>
      <w:r>
        <w:rPr>
          <w:rFonts w:hint="eastAsia"/>
          <w:lang w:val="en-US" w:eastAsia="zh-CN"/>
        </w:rPr>
        <w:t>00余</w:t>
      </w:r>
      <w:r>
        <w:rPr>
          <w:rFonts w:hint="eastAsia"/>
        </w:rPr>
        <w:t>名离退休人员发放养老金2.</w:t>
      </w:r>
      <w:r>
        <w:rPr>
          <w:rFonts w:hint="eastAsia"/>
          <w:lang w:val="en-US" w:eastAsia="zh-CN"/>
        </w:rPr>
        <w:t>4</w:t>
      </w:r>
      <w:r>
        <w:rPr>
          <w:rFonts w:hint="eastAsia"/>
        </w:rPr>
        <w:t>亿元，社会化发放率为100%；为1.</w:t>
      </w:r>
      <w:r>
        <w:rPr>
          <w:rFonts w:hint="eastAsia"/>
          <w:lang w:val="en-US" w:eastAsia="zh-CN"/>
        </w:rPr>
        <w:t>3</w:t>
      </w:r>
      <w:r>
        <w:rPr>
          <w:rFonts w:hint="eastAsia"/>
        </w:rPr>
        <w:t>万名企业退休人员调整了养老金，人均月增资111.18元，月平均养老金水平达到2352元；</w:t>
      </w:r>
      <w:r>
        <w:rPr>
          <w:rFonts w:hint="eastAsia"/>
          <w:lang w:eastAsia="zh-CN"/>
        </w:rPr>
        <w:t>顺利</w:t>
      </w:r>
      <w:r>
        <w:rPr>
          <w:rFonts w:hint="eastAsia"/>
        </w:rPr>
        <w:t>完成机关事业单位离退休人员的待遇调整工作，人均月增资148.5元，月平均养老金水平达到4175元。</w:t>
      </w:r>
      <w:r>
        <w:rPr>
          <w:rFonts w:hint="eastAsia"/>
          <w:lang w:val="en-US" w:eastAsia="zh-CN"/>
        </w:rPr>
        <w:t>城乡居民养老保险：</w:t>
      </w:r>
      <w:r>
        <w:rPr>
          <w:rFonts w:hint="eastAsia"/>
          <w:lang w:eastAsia="zh-CN"/>
        </w:rPr>
        <w:t>参保人数达2</w:t>
      </w:r>
      <w:r>
        <w:rPr>
          <w:rFonts w:hint="eastAsia"/>
          <w:lang w:val="en-US" w:eastAsia="zh-CN"/>
        </w:rPr>
        <w:t>3</w:t>
      </w:r>
      <w:r>
        <w:rPr>
          <w:rFonts w:hint="eastAsia"/>
          <w:lang w:eastAsia="zh-CN"/>
        </w:rPr>
        <w:t>万人，参保率达99.99%；截至</w:t>
      </w:r>
      <w:bookmarkStart w:id="1" w:name="_GoBack"/>
      <w:bookmarkEnd w:id="1"/>
      <w:r>
        <w:rPr>
          <w:rFonts w:hint="eastAsia"/>
          <w:lang w:eastAsia="zh-CN"/>
        </w:rPr>
        <w:t>目前参保缴费13</w:t>
      </w:r>
      <w:r>
        <w:rPr>
          <w:rFonts w:hint="eastAsia"/>
          <w:lang w:val="en-US" w:eastAsia="zh-CN"/>
        </w:rPr>
        <w:t>7356</w:t>
      </w:r>
      <w:r>
        <w:rPr>
          <w:rFonts w:hint="eastAsia"/>
          <w:lang w:eastAsia="zh-CN"/>
        </w:rPr>
        <w:t>人，新增扩面</w:t>
      </w:r>
      <w:r>
        <w:rPr>
          <w:rFonts w:hint="eastAsia"/>
          <w:lang w:val="en-US" w:eastAsia="zh-CN"/>
        </w:rPr>
        <w:t>1787</w:t>
      </w:r>
      <w:r>
        <w:rPr>
          <w:rFonts w:hint="eastAsia"/>
          <w:lang w:eastAsia="zh-CN"/>
        </w:rPr>
        <w:t>人，征缴城乡居保费</w:t>
      </w:r>
      <w:r>
        <w:rPr>
          <w:rFonts w:hint="eastAsia"/>
          <w:lang w:val="en-US" w:eastAsia="zh-CN"/>
        </w:rPr>
        <w:t>3083.62</w:t>
      </w:r>
      <w:r>
        <w:rPr>
          <w:rFonts w:hint="eastAsia"/>
          <w:lang w:eastAsia="zh-CN"/>
        </w:rPr>
        <w:t>万元，累计为48817人发放待遇6544.95万元，发放率100%；完成贫困人员代缴7</w:t>
      </w:r>
      <w:r>
        <w:rPr>
          <w:rFonts w:hint="eastAsia"/>
          <w:lang w:val="en-US" w:eastAsia="zh-CN"/>
        </w:rPr>
        <w:t>325</w:t>
      </w:r>
      <w:r>
        <w:rPr>
          <w:rFonts w:hint="eastAsia"/>
          <w:lang w:eastAsia="zh-CN"/>
        </w:rPr>
        <w:t>名，落实代缴资金7</w:t>
      </w:r>
      <w:r>
        <w:rPr>
          <w:rFonts w:hint="eastAsia"/>
          <w:lang w:val="en-US" w:eastAsia="zh-CN"/>
        </w:rPr>
        <w:t>3.25</w:t>
      </w:r>
      <w:r>
        <w:rPr>
          <w:rFonts w:hint="eastAsia"/>
          <w:lang w:eastAsia="zh-CN"/>
        </w:rPr>
        <w:t>万元，7149名60周岁以上贫困人员按月足额领取城乡居保养老金待遇,“参保率、代缴率、享保率”100%。</w:t>
      </w:r>
    </w:p>
    <w:p>
      <w:pPr>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（3）社保经办机构工作经费绩效目标完成情况。</w:t>
      </w:r>
      <w:r>
        <w:rPr>
          <w:rFonts w:hint="eastAsia"/>
        </w:rPr>
        <w:t>工伤保险参保人数达5.</w:t>
      </w:r>
      <w:r>
        <w:rPr>
          <w:rFonts w:hint="eastAsia"/>
          <w:lang w:val="en-US" w:eastAsia="zh-CN"/>
        </w:rPr>
        <w:t>2</w:t>
      </w:r>
      <w:r>
        <w:rPr>
          <w:rFonts w:hint="eastAsia"/>
        </w:rPr>
        <w:t>万人，完成扩面1650人，基金收入</w:t>
      </w:r>
      <w:r>
        <w:rPr>
          <w:rFonts w:hint="eastAsia"/>
          <w:lang w:val="en-US" w:eastAsia="zh-CN"/>
        </w:rPr>
        <w:t>2900</w:t>
      </w:r>
      <w:r>
        <w:rPr>
          <w:rFonts w:hint="eastAsia"/>
        </w:rPr>
        <w:t>万元，基金支出</w:t>
      </w:r>
      <w:r>
        <w:rPr>
          <w:rFonts w:hint="eastAsia"/>
          <w:lang w:val="en-US" w:eastAsia="zh-CN"/>
        </w:rPr>
        <w:t>4300</w:t>
      </w:r>
      <w:r>
        <w:rPr>
          <w:rFonts w:hint="eastAsia"/>
        </w:rPr>
        <w:t>万元。失业保险参保人数达</w:t>
      </w:r>
      <w:r>
        <w:rPr>
          <w:rFonts w:hint="eastAsia"/>
          <w:lang w:val="en-US" w:eastAsia="zh-CN"/>
        </w:rPr>
        <w:t>3</w:t>
      </w:r>
      <w:r>
        <w:rPr>
          <w:rFonts w:hint="eastAsia"/>
        </w:rPr>
        <w:t>万人，完成扩面</w:t>
      </w:r>
      <w:r>
        <w:rPr>
          <w:rFonts w:hint="eastAsia"/>
          <w:lang w:val="en-US" w:eastAsia="zh-CN"/>
        </w:rPr>
        <w:t>2330</w:t>
      </w:r>
      <w:r>
        <w:rPr>
          <w:rFonts w:hint="eastAsia"/>
        </w:rPr>
        <w:t>人，基金收入1050万元，基金支出</w:t>
      </w:r>
      <w:r>
        <w:rPr>
          <w:rFonts w:hint="eastAsia"/>
          <w:lang w:val="en-US" w:eastAsia="zh-CN"/>
        </w:rPr>
        <w:t>920</w:t>
      </w:r>
      <w:r>
        <w:rPr>
          <w:rFonts w:hint="eastAsia"/>
        </w:rPr>
        <w:t>万元。</w:t>
      </w:r>
    </w:p>
    <w:p>
      <w:pPr>
        <w:pageBreakBefore w:val="0"/>
        <w:kinsoku/>
        <w:wordWrap/>
        <w:overflowPunct/>
        <w:topLinePunct w:val="0"/>
        <w:autoSpaceDE/>
        <w:autoSpaceDN/>
        <w:bidi w:val="0"/>
        <w:adjustRightInd/>
        <w:spacing w:line="520" w:lineRule="exact"/>
        <w:textAlignment w:val="auto"/>
        <w:rPr>
          <w:rFonts w:hint="default"/>
          <w:lang w:val="en-US" w:eastAsia="zh-CN"/>
        </w:rPr>
      </w:pPr>
      <w:r>
        <w:rPr>
          <w:rFonts w:hint="eastAsia"/>
          <w:lang w:val="en-US" w:eastAsia="zh-CN"/>
        </w:rPr>
        <w:t>各项社保扩面任务超额完成，为群众提供了优质高效的便民服务，群众满意度100%。</w:t>
      </w:r>
    </w:p>
    <w:p>
      <w:pPr>
        <w:pageBreakBefore w:val="0"/>
        <w:kinsoku/>
        <w:wordWrap/>
        <w:overflowPunct/>
        <w:topLinePunct w:val="0"/>
        <w:autoSpaceDE/>
        <w:autoSpaceDN/>
        <w:bidi w:val="0"/>
        <w:adjustRightInd/>
        <w:spacing w:line="520" w:lineRule="exact"/>
        <w:textAlignment w:val="auto"/>
        <w:rPr>
          <w:rFonts w:hint="eastAsia"/>
        </w:rPr>
      </w:pPr>
      <w:r>
        <w:rPr>
          <w:rFonts w:hint="eastAsia"/>
          <w:lang w:val="en-US" w:eastAsia="zh-CN"/>
        </w:rPr>
        <w:t>（4）小额担保贷款贴息资金绩效目标完成情况。完成创业担保贷款1121万元，完成全年任务1100万元的105%。</w:t>
      </w:r>
      <w:r>
        <w:rPr>
          <w:rFonts w:hint="eastAsia"/>
        </w:rPr>
        <w:t xml:space="preserve">就业是民生之本，安国之策。创业担保贷款政策实施在推动创业就业，保障和改善民生，促进地方经济发展等方面，取得了良好的效益。 </w:t>
      </w:r>
      <w:r>
        <w:rPr>
          <w:rFonts w:hint="eastAsia"/>
          <w:lang w:val="en-US" w:eastAsia="zh-CN"/>
        </w:rPr>
        <w:t>首先，</w:t>
      </w:r>
      <w:r>
        <w:rPr>
          <w:rFonts w:hint="eastAsia"/>
        </w:rPr>
        <w:t>社会效益明显。一是创业担保贷款支持范围涵盖了所有无固定工作岗位的城乡弱势群体和小微企业，政策支持人群广泛，与中央“大众创业、万众创新”、脱贫攻坚和我省“双创双服”活动目的一致，充分体现了我</w:t>
      </w:r>
      <w:r>
        <w:rPr>
          <w:rFonts w:hint="eastAsia"/>
          <w:lang w:val="en-US" w:eastAsia="zh-CN"/>
        </w:rPr>
        <w:t>市</w:t>
      </w:r>
      <w:r>
        <w:rPr>
          <w:rFonts w:hint="eastAsia"/>
        </w:rPr>
        <w:t>对创业就业的支持和</w:t>
      </w:r>
      <w:r>
        <w:rPr>
          <w:rFonts w:hint="eastAsia"/>
          <w:lang w:val="en-US" w:eastAsia="zh-CN"/>
        </w:rPr>
        <w:t>对</w:t>
      </w:r>
      <w:r>
        <w:rPr>
          <w:rFonts w:hint="eastAsia"/>
        </w:rPr>
        <w:t>弱势群体的关心。二是创业担保贷款贴息及奖补政策的实施，有效地解决了创业者和小微企业融资难、融资贵等难题，对充分调动创业就业者的积极性和主动性,助推企业发展，发挥了积极的作用。</w:t>
      </w:r>
      <w:r>
        <w:rPr>
          <w:rFonts w:hint="eastAsia"/>
          <w:lang w:val="en-US" w:eastAsia="zh-CN"/>
        </w:rPr>
        <w:t>其次，</w:t>
      </w:r>
      <w:r>
        <w:rPr>
          <w:rFonts w:hint="eastAsia"/>
        </w:rPr>
        <w:t>经济效益明显。一是从被扶持群体层面看，财政贴息既解决了借款人生产经营活动所需资金，又降低了投入成本，还提高了创业者创业的积极性。 二是从政府层面看，财政贴息资金支持创业就业，增加了本地财政收入，促进了本地经济发展；三是从经办金融机构方面看，经办金融机构既在零风险的前提下获得稳定贷款收益，还通过经办担保贷款业务扩大金融机构客户群，拓宽潜在市场。</w:t>
      </w:r>
    </w:p>
    <w:p>
      <w:pPr>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2、重点项目绩效评价情况。</w:t>
      </w:r>
    </w:p>
    <w:p>
      <w:pPr>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2021年度我单位重点项目有四个：就业补助资金，财政对基本养老保险的补助资金、财政对机关事业单位职业年金缴费的补助资金、职业教育补助资金。</w:t>
      </w:r>
    </w:p>
    <w:p>
      <w:pPr>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2021年我单位认真组织开展了重点项目绩效评价工作，每个项目的评价结果均为优秀，四个项目大都是民生资金，取得了较好的社会效益，服务群众满意率100%。</w:t>
      </w:r>
    </w:p>
    <w:p>
      <w:pPr>
        <w:pageBreakBefore w:val="0"/>
        <w:kinsoku/>
        <w:wordWrap/>
        <w:overflowPunct/>
        <w:topLinePunct w:val="0"/>
        <w:autoSpaceDE/>
        <w:autoSpaceDN/>
        <w:bidi w:val="0"/>
        <w:adjustRightInd/>
        <w:spacing w:line="520" w:lineRule="exact"/>
        <w:textAlignment w:val="auto"/>
        <w:rPr>
          <w:rFonts w:hint="default"/>
          <w:lang w:val="en-US" w:eastAsia="zh-CN"/>
        </w:rPr>
      </w:pPr>
      <w:r>
        <w:rPr>
          <w:rFonts w:hint="eastAsia"/>
          <w:lang w:val="en-US" w:eastAsia="zh-CN"/>
        </w:rPr>
        <w:t>此次评价发现的问题是：部分资金不能及时到位，从而影响了项目工作的开展。</w:t>
      </w:r>
    </w:p>
    <w:p>
      <w:pPr>
        <w:pStyle w:val="5"/>
        <w:pageBreakBefore w:val="0"/>
        <w:numPr>
          <w:ilvl w:val="0"/>
          <w:numId w:val="5"/>
        </w:numPr>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绩效评价的组织实施情况</w:t>
      </w:r>
    </w:p>
    <w:p>
      <w:pPr>
        <w:pStyle w:val="6"/>
        <w:pageBreakBefore w:val="0"/>
        <w:kinsoku/>
        <w:wordWrap/>
        <w:overflowPunct/>
        <w:topLinePunct w:val="0"/>
        <w:autoSpaceDE/>
        <w:autoSpaceDN/>
        <w:bidi w:val="0"/>
        <w:adjustRightInd/>
        <w:spacing w:line="520" w:lineRule="exact"/>
        <w:textAlignment w:val="auto"/>
      </w:pPr>
      <w:r>
        <w:rPr>
          <w:rFonts w:hint="eastAsia"/>
        </w:rPr>
        <w:t>（一）整体绩效目标</w:t>
      </w:r>
    </w:p>
    <w:p>
      <w:pPr>
        <w:pageBreakBefore w:val="0"/>
        <w:kinsoku/>
        <w:wordWrap/>
        <w:overflowPunct/>
        <w:topLinePunct w:val="0"/>
        <w:autoSpaceDE/>
        <w:autoSpaceDN/>
        <w:bidi w:val="0"/>
        <w:adjustRightInd/>
        <w:spacing w:line="520" w:lineRule="exact"/>
        <w:textAlignment w:val="auto"/>
      </w:pPr>
      <w:r>
        <w:rPr>
          <w:rFonts w:hint="eastAsia"/>
        </w:rPr>
        <w:t>见第一项基本情况中的年度整体绩效目标。</w:t>
      </w:r>
    </w:p>
    <w:p>
      <w:pPr>
        <w:pStyle w:val="6"/>
        <w:pageBreakBefore w:val="0"/>
        <w:kinsoku/>
        <w:wordWrap/>
        <w:overflowPunct/>
        <w:topLinePunct w:val="0"/>
        <w:autoSpaceDE/>
        <w:autoSpaceDN/>
        <w:bidi w:val="0"/>
        <w:adjustRightInd/>
        <w:spacing w:line="520" w:lineRule="exact"/>
        <w:textAlignment w:val="auto"/>
      </w:pPr>
      <w:r>
        <w:rPr>
          <w:rFonts w:hint="eastAsia"/>
          <w:lang w:eastAsia="zh-CN"/>
        </w:rPr>
        <w:t>（二）</w:t>
      </w:r>
      <w:r>
        <w:rPr>
          <w:rFonts w:hint="eastAsia"/>
        </w:rPr>
        <w:t>绩效指标</w:t>
      </w:r>
    </w:p>
    <w:p>
      <w:pPr>
        <w:pageBreakBefore w:val="0"/>
        <w:kinsoku/>
        <w:wordWrap/>
        <w:overflowPunct/>
        <w:topLinePunct w:val="0"/>
        <w:autoSpaceDE/>
        <w:autoSpaceDN/>
        <w:bidi w:val="0"/>
        <w:adjustRightInd/>
        <w:spacing w:line="520" w:lineRule="exact"/>
        <w:textAlignment w:val="auto"/>
      </w:pPr>
      <w:r>
        <w:rPr>
          <w:rFonts w:hint="eastAsia"/>
        </w:rPr>
        <w:t>一级指标四个，即投入、过程、产出、效果。</w:t>
      </w:r>
    </w:p>
    <w:p>
      <w:pPr>
        <w:pageBreakBefore w:val="0"/>
        <w:kinsoku/>
        <w:wordWrap/>
        <w:overflowPunct/>
        <w:topLinePunct w:val="0"/>
        <w:autoSpaceDE/>
        <w:autoSpaceDN/>
        <w:bidi w:val="0"/>
        <w:adjustRightInd/>
        <w:spacing w:line="520" w:lineRule="exact"/>
        <w:textAlignment w:val="auto"/>
      </w:pPr>
      <w:r>
        <w:rPr>
          <w:rFonts w:hint="eastAsia"/>
        </w:rPr>
        <w:t>二级指标七个，即绩效目标设定情况、预算配置情况、预算执行情况、预算管理情况、资产管理情况、职责履行情况、履职效益情况。</w:t>
      </w:r>
    </w:p>
    <w:p>
      <w:pPr>
        <w:pageBreakBefore w:val="0"/>
        <w:kinsoku/>
        <w:wordWrap/>
        <w:overflowPunct/>
        <w:topLinePunct w:val="0"/>
        <w:autoSpaceDE/>
        <w:autoSpaceDN/>
        <w:bidi w:val="0"/>
        <w:adjustRightInd/>
        <w:spacing w:line="520" w:lineRule="exact"/>
        <w:textAlignment w:val="auto"/>
        <w:rPr>
          <w:rFonts w:asciiTheme="minorEastAsia" w:hAnsiTheme="minorEastAsia" w:cstheme="minorEastAsia"/>
          <w:szCs w:val="30"/>
        </w:rPr>
      </w:pPr>
      <w:r>
        <w:rPr>
          <w:rFonts w:hint="eastAsia"/>
        </w:rPr>
        <w:t>三级指标23个，即职责明确、活动合规性、活动合理性、在职人员控制率、“三公经费”变动率、重点支出安排率、预算完成率、预算调整率、支付进度率、结转结余率、公用经费控制率、政府采购执行率、资金使用合规性、预决算信息公开性、基础信息完善性、资产管理完整性、固定资产利用率、履职完成情况、项目完成质量达标率、经济效益、社会效益、生态效益、服务对象满意度</w:t>
      </w:r>
      <w:r>
        <w:rPr>
          <w:rFonts w:hint="eastAsia" w:asciiTheme="minorEastAsia" w:hAnsiTheme="minorEastAsia" w:cstheme="minorEastAsia"/>
          <w:szCs w:val="30"/>
        </w:rPr>
        <w:t>。</w:t>
      </w:r>
    </w:p>
    <w:p>
      <w:pPr>
        <w:pStyle w:val="6"/>
        <w:pageBreakBefore w:val="0"/>
        <w:numPr>
          <w:ilvl w:val="0"/>
          <w:numId w:val="4"/>
        </w:numPr>
        <w:kinsoku/>
        <w:wordWrap/>
        <w:overflowPunct/>
        <w:topLinePunct w:val="0"/>
        <w:autoSpaceDE/>
        <w:autoSpaceDN/>
        <w:bidi w:val="0"/>
        <w:adjustRightInd/>
        <w:spacing w:line="520" w:lineRule="exact"/>
        <w:textAlignment w:val="auto"/>
      </w:pPr>
      <w:r>
        <w:rPr>
          <w:rFonts w:hint="eastAsia"/>
        </w:rPr>
        <w:t>评价标准和评价方法。</w:t>
      </w:r>
    </w:p>
    <w:p>
      <w:pPr>
        <w:pageBreakBefore w:val="0"/>
        <w:kinsoku/>
        <w:wordWrap/>
        <w:overflowPunct/>
        <w:topLinePunct w:val="0"/>
        <w:autoSpaceDE/>
        <w:autoSpaceDN/>
        <w:bidi w:val="0"/>
        <w:adjustRightInd/>
        <w:spacing w:line="520" w:lineRule="exact"/>
        <w:textAlignment w:val="auto"/>
      </w:pPr>
      <w:r>
        <w:rPr>
          <w:rFonts w:hint="eastAsia"/>
        </w:rPr>
        <w:t>1、评价标准</w:t>
      </w:r>
    </w:p>
    <w:p>
      <w:pPr>
        <w:pageBreakBefore w:val="0"/>
        <w:kinsoku/>
        <w:wordWrap/>
        <w:overflowPunct/>
        <w:topLinePunct w:val="0"/>
        <w:autoSpaceDE/>
        <w:autoSpaceDN/>
        <w:bidi w:val="0"/>
        <w:adjustRightInd/>
        <w:spacing w:line="520" w:lineRule="exact"/>
        <w:textAlignment w:val="auto"/>
      </w:pPr>
      <w:r>
        <w:rPr>
          <w:rFonts w:hint="eastAsia"/>
        </w:rPr>
        <w:t>依据《沙河市财政局关于开展2021年度市级项目支出绩效自评和部门整体支出绩效自评工作的通知》（沙财监〔2022〕1号）的相关要求，结合我单位实际，成立专门评价小组，按照《通知》中设置的部门整体支出绩效评价指标体系评分表，对我单位202</w:t>
      </w:r>
      <w:r>
        <w:rPr>
          <w:rFonts w:hint="eastAsia"/>
          <w:lang w:val="en-US" w:eastAsia="zh-CN"/>
        </w:rPr>
        <w:t>1</w:t>
      </w:r>
      <w:r>
        <w:rPr>
          <w:rFonts w:hint="eastAsia"/>
        </w:rPr>
        <w:t>年度部门整体支出做出绩效评价打分。</w:t>
      </w:r>
    </w:p>
    <w:p>
      <w:pPr>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rPr>
      </w:pPr>
      <w:r>
        <w:rPr>
          <w:rFonts w:hint="eastAsia"/>
          <w:lang w:val="en-US" w:eastAsia="zh-CN"/>
        </w:rPr>
        <w:t>2、</w:t>
      </w:r>
      <w:r>
        <w:rPr>
          <w:rFonts w:hint="eastAsia"/>
        </w:rPr>
        <w:t>评价方法</w:t>
      </w:r>
    </w:p>
    <w:p>
      <w:pPr>
        <w:pageBreakBefore w:val="0"/>
        <w:numPr>
          <w:ilvl w:val="0"/>
          <w:numId w:val="0"/>
        </w:numPr>
        <w:kinsoku/>
        <w:wordWrap/>
        <w:overflowPunct/>
        <w:topLinePunct w:val="0"/>
        <w:autoSpaceDE/>
        <w:autoSpaceDN/>
        <w:bidi w:val="0"/>
        <w:adjustRightInd/>
        <w:spacing w:line="520" w:lineRule="exact"/>
        <w:ind w:firstLine="640" w:firstLineChars="200"/>
        <w:textAlignment w:val="auto"/>
      </w:pPr>
      <w:r>
        <w:rPr>
          <w:rFonts w:hint="eastAsia"/>
        </w:rPr>
        <w:t>采用定性和定量相结合的方法对各项指标进行评价打分。定量部分主要是对核心业务（就业再就业、社会保险、人事人才、劳动关系、精准扶贫）、预算执行、满意度等可量化考核的指标采取定量打分方式评价；定性部分主要对目标设定、业务管理、效益和能力建设部分指标按照优秀、良好、一般和较差四档打分。</w:t>
      </w:r>
    </w:p>
    <w:p>
      <w:pPr>
        <w:pStyle w:val="5"/>
        <w:pageBreakBefore w:val="0"/>
        <w:numPr>
          <w:ilvl w:val="0"/>
          <w:numId w:val="6"/>
        </w:numPr>
        <w:kinsoku/>
        <w:wordWrap/>
        <w:overflowPunct/>
        <w:topLinePunct w:val="0"/>
        <w:autoSpaceDE/>
        <w:autoSpaceDN/>
        <w:bidi w:val="0"/>
        <w:adjustRightInd/>
        <w:spacing w:line="520" w:lineRule="exact"/>
        <w:ind w:firstLine="640" w:firstLineChars="200"/>
        <w:jc w:val="both"/>
        <w:textAlignment w:val="auto"/>
        <w:rPr>
          <w:rFonts w:hint="eastAsia"/>
          <w:lang w:val="en-US" w:eastAsia="zh-CN"/>
        </w:rPr>
      </w:pPr>
      <w:r>
        <w:rPr>
          <w:rFonts w:hint="eastAsia"/>
          <w:lang w:val="en-US" w:eastAsia="zh-CN"/>
        </w:rPr>
        <w:t>各项绩效目标的实现程度及差异性原因分析</w:t>
      </w:r>
    </w:p>
    <w:p>
      <w:pPr>
        <w:pStyle w:val="6"/>
        <w:pageBreakBefore w:val="0"/>
        <w:kinsoku/>
        <w:wordWrap/>
        <w:overflowPunct/>
        <w:topLinePunct w:val="0"/>
        <w:autoSpaceDE/>
        <w:autoSpaceDN/>
        <w:bidi w:val="0"/>
        <w:adjustRightInd/>
        <w:spacing w:line="520" w:lineRule="exact"/>
        <w:textAlignment w:val="auto"/>
      </w:pPr>
      <w:r>
        <w:rPr>
          <w:rFonts w:hint="eastAsia"/>
        </w:rPr>
        <w:t>（一）部门整体支出各项绩效指标完成情况</w:t>
      </w:r>
    </w:p>
    <w:p>
      <w:pPr>
        <w:pageBreakBefore w:val="0"/>
        <w:kinsoku/>
        <w:wordWrap/>
        <w:overflowPunct/>
        <w:topLinePunct w:val="0"/>
        <w:autoSpaceDE/>
        <w:autoSpaceDN/>
        <w:bidi w:val="0"/>
        <w:adjustRightInd/>
        <w:spacing w:line="520" w:lineRule="exact"/>
        <w:textAlignment w:val="auto"/>
      </w:pPr>
      <w:r>
        <w:rPr>
          <w:rFonts w:hint="eastAsia"/>
        </w:rPr>
        <w:t>202</w:t>
      </w:r>
      <w:r>
        <w:rPr>
          <w:rFonts w:hint="eastAsia"/>
          <w:lang w:val="en-US" w:eastAsia="zh-CN"/>
        </w:rPr>
        <w:t>1</w:t>
      </w:r>
      <w:r>
        <w:rPr>
          <w:rFonts w:hint="eastAsia"/>
        </w:rPr>
        <w:t>年，我单位积极履职，强化管理，较好地完成了年度工作目标。根据部门整体支出绩效评价指标体系，我单位202</w:t>
      </w:r>
      <w:r>
        <w:rPr>
          <w:rFonts w:hint="eastAsia"/>
          <w:lang w:val="en-US" w:eastAsia="zh-CN"/>
        </w:rPr>
        <w:t>1</w:t>
      </w:r>
      <w:r>
        <w:rPr>
          <w:rFonts w:hint="eastAsia"/>
        </w:rPr>
        <w:t>年度评价得分为</w:t>
      </w:r>
      <w:r>
        <w:rPr>
          <w:rFonts w:hint="eastAsia"/>
          <w:highlight w:val="none"/>
          <w:lang w:val="en-US" w:eastAsia="zh-CN"/>
        </w:rPr>
        <w:t>99.76</w:t>
      </w:r>
      <w:r>
        <w:rPr>
          <w:rFonts w:hint="eastAsia"/>
        </w:rPr>
        <w:t>分。部门整体支出绩效情况如下：</w:t>
      </w:r>
    </w:p>
    <w:p>
      <w:pPr>
        <w:pageBreakBefore w:val="0"/>
        <w:kinsoku/>
        <w:wordWrap/>
        <w:overflowPunct/>
        <w:topLinePunct w:val="0"/>
        <w:autoSpaceDE/>
        <w:autoSpaceDN/>
        <w:bidi w:val="0"/>
        <w:adjustRightInd/>
        <w:spacing w:line="520" w:lineRule="exact"/>
        <w:textAlignment w:val="auto"/>
      </w:pPr>
      <w:r>
        <w:rPr>
          <w:rFonts w:hint="eastAsia"/>
        </w:rPr>
        <w:t>1、投入得</w:t>
      </w:r>
      <w:r>
        <w:rPr>
          <w:rFonts w:hint="eastAsia"/>
          <w:highlight w:val="none"/>
          <w:lang w:val="en-US" w:eastAsia="zh-CN"/>
        </w:rPr>
        <w:t>10</w:t>
      </w:r>
      <w:r>
        <w:rPr>
          <w:rFonts w:hint="eastAsia"/>
        </w:rPr>
        <w:t>分。其中：绩效目标设定情况得</w:t>
      </w:r>
      <w:r>
        <w:rPr>
          <w:rFonts w:hint="eastAsia"/>
          <w:highlight w:val="none"/>
        </w:rPr>
        <w:t>5</w:t>
      </w:r>
      <w:r>
        <w:rPr>
          <w:rFonts w:hint="eastAsia"/>
        </w:rPr>
        <w:t>分；预算配置情况得</w:t>
      </w:r>
      <w:r>
        <w:rPr>
          <w:rFonts w:hint="eastAsia"/>
          <w:highlight w:val="none"/>
          <w:lang w:val="en-US" w:eastAsia="zh-CN"/>
        </w:rPr>
        <w:t>5</w:t>
      </w:r>
      <w:r>
        <w:rPr>
          <w:rFonts w:hint="eastAsia"/>
        </w:rPr>
        <w:t>分（在职人员控制率</w:t>
      </w:r>
      <w:r>
        <w:rPr>
          <w:rFonts w:hint="eastAsia"/>
          <w:highlight w:val="none"/>
        </w:rPr>
        <w:t>等于1，得1分</w:t>
      </w:r>
      <w:r>
        <w:rPr>
          <w:rFonts w:hint="eastAsia"/>
        </w:rPr>
        <w:t>；“三公”经费变动率：</w:t>
      </w:r>
      <w:r>
        <w:rPr>
          <w:rFonts w:hint="eastAsia"/>
          <w:highlight w:val="none"/>
          <w:lang w:val="en-US" w:eastAsia="zh-CN"/>
        </w:rPr>
        <w:t>-88.63</w:t>
      </w:r>
      <w:r>
        <w:rPr>
          <w:rFonts w:hint="eastAsia"/>
          <w:highlight w:val="none"/>
        </w:rPr>
        <w:t xml:space="preserve"> %</w:t>
      </w:r>
      <w:r>
        <w:rPr>
          <w:rFonts w:hint="eastAsia"/>
        </w:rPr>
        <w:t>，得</w:t>
      </w:r>
      <w:r>
        <w:rPr>
          <w:rFonts w:hint="eastAsia"/>
          <w:highlight w:val="none"/>
          <w:lang w:val="en-US" w:eastAsia="zh-CN"/>
        </w:rPr>
        <w:t>2</w:t>
      </w:r>
      <w:r>
        <w:rPr>
          <w:rFonts w:hint="eastAsia"/>
        </w:rPr>
        <w:t>分，</w:t>
      </w:r>
      <w:r>
        <w:rPr>
          <w:rFonts w:hint="eastAsia"/>
          <w:lang w:val="en-US" w:eastAsia="zh-CN"/>
        </w:rPr>
        <w:t>2021年三公经费决算数对比上年决算数减少206362.62元，原因为上年新增购置更换一辆公务用车。</w:t>
      </w:r>
      <w:r>
        <w:rPr>
          <w:rFonts w:hint="eastAsia"/>
        </w:rPr>
        <w:t>重点支出安排率</w:t>
      </w:r>
      <w:r>
        <w:rPr>
          <w:rFonts w:hint="eastAsia"/>
          <w:highlight w:val="none"/>
        </w:rPr>
        <w:t>等于1</w:t>
      </w:r>
      <w:r>
        <w:rPr>
          <w:rFonts w:hint="eastAsia"/>
        </w:rPr>
        <w:t>，得</w:t>
      </w:r>
      <w:r>
        <w:rPr>
          <w:rFonts w:hint="eastAsia"/>
          <w:highlight w:val="none"/>
        </w:rPr>
        <w:t>2</w:t>
      </w:r>
      <w:r>
        <w:rPr>
          <w:rFonts w:hint="eastAsia"/>
        </w:rPr>
        <w:t>分）。</w:t>
      </w:r>
    </w:p>
    <w:p>
      <w:pPr>
        <w:pageBreakBefore w:val="0"/>
        <w:kinsoku/>
        <w:wordWrap/>
        <w:overflowPunct/>
        <w:topLinePunct w:val="0"/>
        <w:autoSpaceDE/>
        <w:autoSpaceDN/>
        <w:bidi w:val="0"/>
        <w:adjustRightInd/>
        <w:spacing w:line="520" w:lineRule="exact"/>
        <w:textAlignment w:val="auto"/>
      </w:pPr>
      <w:r>
        <w:rPr>
          <w:rFonts w:hint="eastAsia"/>
        </w:rPr>
        <w:t>2 、过程得</w:t>
      </w:r>
      <w:r>
        <w:rPr>
          <w:rFonts w:hint="eastAsia"/>
          <w:highlight w:val="none"/>
          <w:lang w:val="en-US" w:eastAsia="zh-CN"/>
        </w:rPr>
        <w:t>44.76</w:t>
      </w:r>
      <w:r>
        <w:rPr>
          <w:rFonts w:hint="eastAsia"/>
        </w:rPr>
        <w:t>分。其中：预算执行情况得</w:t>
      </w:r>
      <w:r>
        <w:rPr>
          <w:rFonts w:hint="eastAsia"/>
          <w:highlight w:val="none"/>
          <w:lang w:val="en-US" w:eastAsia="zh-CN"/>
        </w:rPr>
        <w:t>24.76</w:t>
      </w:r>
      <w:r>
        <w:rPr>
          <w:rFonts w:hint="eastAsia"/>
        </w:rPr>
        <w:t>分（预算完成率：</w:t>
      </w:r>
      <w:r>
        <w:rPr>
          <w:rFonts w:hint="eastAsia"/>
          <w:lang w:val="en-US" w:eastAsia="zh-CN"/>
        </w:rPr>
        <w:t>99.34%</w:t>
      </w:r>
      <w:r>
        <w:rPr>
          <w:rFonts w:hint="eastAsia"/>
        </w:rPr>
        <w:t>，得</w:t>
      </w:r>
      <w:r>
        <w:rPr>
          <w:rFonts w:hint="eastAsia"/>
          <w:highlight w:val="none"/>
        </w:rPr>
        <w:t>5</w:t>
      </w:r>
      <w:r>
        <w:rPr>
          <w:rFonts w:hint="eastAsia"/>
        </w:rPr>
        <w:t>分；预算调整率：</w:t>
      </w:r>
      <w:r>
        <w:rPr>
          <w:rFonts w:hint="eastAsia"/>
          <w:highlight w:val="none"/>
          <w:lang w:val="en-US" w:eastAsia="zh-CN"/>
        </w:rPr>
        <w:t>0.62</w:t>
      </w:r>
      <w:r>
        <w:rPr>
          <w:rFonts w:hint="eastAsia"/>
          <w:highlight w:val="none"/>
        </w:rPr>
        <w:t>%</w:t>
      </w:r>
      <w:r>
        <w:rPr>
          <w:rFonts w:hint="eastAsia"/>
        </w:rPr>
        <w:t>，得</w:t>
      </w:r>
      <w:r>
        <w:rPr>
          <w:rFonts w:hint="eastAsia"/>
          <w:highlight w:val="none"/>
          <w:lang w:val="en-US" w:eastAsia="zh-CN"/>
        </w:rPr>
        <w:t>2.81</w:t>
      </w:r>
      <w:r>
        <w:rPr>
          <w:rFonts w:hint="eastAsia"/>
        </w:rPr>
        <w:t>分；支付进度率：</w:t>
      </w:r>
      <w:r>
        <w:rPr>
          <w:rFonts w:hint="eastAsia"/>
          <w:highlight w:val="none"/>
        </w:rPr>
        <w:t>100%，得5</w:t>
      </w:r>
      <w:r>
        <w:rPr>
          <w:rFonts w:hint="eastAsia"/>
        </w:rPr>
        <w:t>分；结转结余率：计算得</w:t>
      </w:r>
      <w:r>
        <w:rPr>
          <w:rFonts w:hint="eastAsia"/>
          <w:highlight w:val="none"/>
          <w:lang w:val="en-US" w:eastAsia="zh-CN"/>
        </w:rPr>
        <w:t>3.95</w:t>
      </w:r>
      <w:r>
        <w:rPr>
          <w:rFonts w:hint="eastAsia"/>
        </w:rPr>
        <w:t>分；公用经费控制率：</w:t>
      </w:r>
      <w:r>
        <w:rPr>
          <w:rFonts w:hint="eastAsia"/>
          <w:highlight w:val="none"/>
        </w:rPr>
        <w:t>100%，得4</w:t>
      </w:r>
      <w:r>
        <w:rPr>
          <w:rFonts w:hint="eastAsia"/>
        </w:rPr>
        <w:t>分；政府采购执行率：</w:t>
      </w:r>
      <w:r>
        <w:rPr>
          <w:rFonts w:hint="eastAsia"/>
          <w:highlight w:val="none"/>
        </w:rPr>
        <w:t>100%，得4分</w:t>
      </w:r>
      <w:r>
        <w:rPr>
          <w:rFonts w:hint="eastAsia"/>
        </w:rPr>
        <w:t>）；预算管理得</w:t>
      </w:r>
      <w:r>
        <w:rPr>
          <w:rFonts w:hint="eastAsia"/>
          <w:highlight w:val="none"/>
        </w:rPr>
        <w:t>15</w:t>
      </w:r>
      <w:r>
        <w:rPr>
          <w:rFonts w:hint="eastAsia"/>
        </w:rPr>
        <w:t>分（资金使用合规性：全部符合得8分；预决算信息公开性：全部符合得3分；基础信息完善性：全部符合得4分）；资产管理情况得5分（资产管理完整性：全部符合得2分；固定资产利用率：大于95%，得3分）。</w:t>
      </w:r>
    </w:p>
    <w:p>
      <w:pPr>
        <w:pageBreakBefore w:val="0"/>
        <w:kinsoku/>
        <w:wordWrap/>
        <w:overflowPunct/>
        <w:topLinePunct w:val="0"/>
        <w:autoSpaceDE/>
        <w:autoSpaceDN/>
        <w:bidi w:val="0"/>
        <w:adjustRightInd/>
        <w:spacing w:line="520" w:lineRule="exact"/>
        <w:textAlignment w:val="auto"/>
      </w:pPr>
      <w:r>
        <w:rPr>
          <w:rFonts w:hint="eastAsia"/>
        </w:rPr>
        <w:t>3、产出得</w:t>
      </w:r>
      <w:r>
        <w:rPr>
          <w:rFonts w:hint="eastAsia"/>
          <w:highlight w:val="none"/>
        </w:rPr>
        <w:t>25分</w:t>
      </w:r>
      <w:r>
        <w:rPr>
          <w:rFonts w:hint="eastAsia"/>
        </w:rPr>
        <w:t>。其中：履职完成情况：202</w:t>
      </w:r>
      <w:r>
        <w:rPr>
          <w:rFonts w:hint="eastAsia"/>
          <w:lang w:val="en-US" w:eastAsia="zh-CN"/>
        </w:rPr>
        <w:t>1</w:t>
      </w:r>
      <w:r>
        <w:rPr>
          <w:rFonts w:hint="eastAsia"/>
        </w:rPr>
        <w:t>年我单位在全体干部职工的共同努力下圆满出色完成了各项工作目标和任务。得10分；项目完成质量达标率：100%，得15分。</w:t>
      </w:r>
    </w:p>
    <w:p>
      <w:pPr>
        <w:pageBreakBefore w:val="0"/>
        <w:kinsoku/>
        <w:wordWrap/>
        <w:overflowPunct/>
        <w:topLinePunct w:val="0"/>
        <w:autoSpaceDE/>
        <w:autoSpaceDN/>
        <w:bidi w:val="0"/>
        <w:adjustRightInd/>
        <w:spacing w:line="520" w:lineRule="exact"/>
        <w:textAlignment w:val="auto"/>
      </w:pPr>
      <w:r>
        <w:rPr>
          <w:rFonts w:hint="eastAsia"/>
        </w:rPr>
        <w:t>4、效果得</w:t>
      </w:r>
      <w:r>
        <w:rPr>
          <w:rFonts w:hint="eastAsia"/>
          <w:highlight w:val="none"/>
        </w:rPr>
        <w:t>20分</w:t>
      </w:r>
      <w:r>
        <w:rPr>
          <w:rFonts w:hint="eastAsia"/>
        </w:rPr>
        <w:t>。其中：经济效益: 由于我单位经费支出实行先审批后办理制度，并制定了《沙河市人力资源和社会保障局办公设备集中采购管理办法》，多次组织询价和比价会议，有效的节约了预算资金，所以经济效益得5分；社会效益：我单位的各方面工作都得到社会大众的肯定和好评得5分；生态效益：改进了文风会风，加强了经费及资产管理，推动网上办事，提高了行政效率，降低了行政成本得5分；社会公众或服务对象满意度：在年度绩效考核中成绩优异得5分。</w:t>
      </w:r>
    </w:p>
    <w:p>
      <w:pPr>
        <w:pStyle w:val="5"/>
        <w:pageBreakBefore w:val="0"/>
        <w:kinsoku/>
        <w:wordWrap/>
        <w:overflowPunct/>
        <w:topLinePunct w:val="0"/>
        <w:autoSpaceDE/>
        <w:autoSpaceDN/>
        <w:bidi w:val="0"/>
        <w:adjustRightInd/>
        <w:spacing w:line="520" w:lineRule="exact"/>
        <w:ind w:firstLine="640" w:firstLineChars="200"/>
        <w:jc w:val="both"/>
        <w:textAlignment w:val="auto"/>
        <w:rPr>
          <w:rFonts w:hint="eastAsia"/>
          <w:lang w:val="en-US" w:eastAsia="zh-CN"/>
        </w:rPr>
      </w:pPr>
      <w:r>
        <w:rPr>
          <w:rFonts w:hint="eastAsia"/>
          <w:lang w:val="en-US" w:eastAsia="zh-CN"/>
        </w:rPr>
        <w:t>五、存在问题、采取的纠偏措施及改进绩效管理建议</w:t>
      </w:r>
    </w:p>
    <w:p>
      <w:pPr>
        <w:pStyle w:val="6"/>
        <w:pageBreakBefore w:val="0"/>
        <w:kinsoku/>
        <w:wordWrap/>
        <w:overflowPunct/>
        <w:topLinePunct w:val="0"/>
        <w:autoSpaceDE/>
        <w:autoSpaceDN/>
        <w:bidi w:val="0"/>
        <w:adjustRightInd/>
        <w:spacing w:line="520" w:lineRule="exact"/>
        <w:textAlignment w:val="auto"/>
      </w:pPr>
      <w:r>
        <w:rPr>
          <w:rFonts w:hint="eastAsia"/>
        </w:rPr>
        <w:t>（一）存在的问题</w:t>
      </w:r>
    </w:p>
    <w:p>
      <w:pPr>
        <w:pageBreakBefore w:val="0"/>
        <w:kinsoku/>
        <w:wordWrap/>
        <w:overflowPunct/>
        <w:topLinePunct w:val="0"/>
        <w:autoSpaceDE/>
        <w:autoSpaceDN/>
        <w:bidi w:val="0"/>
        <w:adjustRightInd/>
        <w:spacing w:line="520" w:lineRule="exact"/>
        <w:textAlignment w:val="auto"/>
      </w:pPr>
      <w:r>
        <w:rPr>
          <w:rFonts w:hint="eastAsia"/>
        </w:rPr>
        <w:t>通过以上对我单位整体支出情况的概述及分析，反映出目前在整体支出的预算编制、执行和管理过程中，依然存在一些问题和不足，预算执行情况有待改进。</w:t>
      </w:r>
    </w:p>
    <w:p>
      <w:pPr>
        <w:pStyle w:val="6"/>
        <w:pageBreakBefore w:val="0"/>
        <w:kinsoku/>
        <w:wordWrap/>
        <w:overflowPunct/>
        <w:topLinePunct w:val="0"/>
        <w:autoSpaceDE/>
        <w:autoSpaceDN/>
        <w:bidi w:val="0"/>
        <w:adjustRightInd/>
        <w:spacing w:line="520" w:lineRule="exact"/>
        <w:textAlignment w:val="auto"/>
        <w:rPr>
          <w:rFonts w:asciiTheme="minorEastAsia" w:hAnsiTheme="minorEastAsia" w:cstheme="minorEastAsia"/>
          <w:szCs w:val="30"/>
        </w:rPr>
      </w:pPr>
      <w:r>
        <w:rPr>
          <w:rFonts w:hint="eastAsia"/>
        </w:rPr>
        <w:t>（二）改进的措施和有关建议</w:t>
      </w:r>
    </w:p>
    <w:p>
      <w:pPr>
        <w:pageBreakBefore w:val="0"/>
        <w:kinsoku/>
        <w:wordWrap/>
        <w:overflowPunct/>
        <w:topLinePunct w:val="0"/>
        <w:autoSpaceDE/>
        <w:autoSpaceDN/>
        <w:bidi w:val="0"/>
        <w:adjustRightInd/>
        <w:spacing w:line="520" w:lineRule="exact"/>
        <w:textAlignment w:val="auto"/>
      </w:pPr>
      <w:r>
        <w:rPr>
          <w:rFonts w:hint="eastAsia"/>
        </w:rPr>
        <w:t>1、科学合理编制预算。按照《中华人民共和国预算法》的规定及本部门规划，结合上年度预算执行情况和本年度预算收支变化因素，科学、合理的编制预算，避免出现预算与实际执行出校较大偏差情况，进一步提高单位预算执行力度。</w:t>
      </w:r>
    </w:p>
    <w:p>
      <w:pPr>
        <w:pageBreakBefore w:val="0"/>
        <w:kinsoku/>
        <w:wordWrap/>
        <w:overflowPunct/>
        <w:topLinePunct w:val="0"/>
        <w:autoSpaceDE/>
        <w:autoSpaceDN/>
        <w:bidi w:val="0"/>
        <w:adjustRightInd/>
        <w:spacing w:line="520" w:lineRule="exact"/>
        <w:textAlignment w:val="auto"/>
        <w:rPr>
          <w:rFonts w:hint="eastAsia"/>
        </w:rPr>
      </w:pPr>
      <w:r>
        <w:rPr>
          <w:rFonts w:hint="eastAsia"/>
        </w:rPr>
        <w:t>2、加强财务管理，严格财务审核。在费用报账支付时，按照预算规定的费用项目和用途进行资金使用审核，财务核算，专款专用，杜绝超支、挪用等现象的发生。</w:t>
      </w:r>
    </w:p>
    <w:p>
      <w:pPr>
        <w:pStyle w:val="5"/>
        <w:pageBreakBefore w:val="0"/>
        <w:kinsoku/>
        <w:wordWrap/>
        <w:overflowPunct/>
        <w:topLinePunct w:val="0"/>
        <w:autoSpaceDE/>
        <w:autoSpaceDN/>
        <w:bidi w:val="0"/>
        <w:adjustRightInd/>
        <w:spacing w:line="520" w:lineRule="exact"/>
        <w:ind w:firstLine="640" w:firstLineChars="200"/>
        <w:jc w:val="both"/>
        <w:textAlignment w:val="auto"/>
        <w:rPr>
          <w:rFonts w:hint="eastAsia"/>
          <w:lang w:val="en-US" w:eastAsia="zh-CN"/>
        </w:rPr>
      </w:pPr>
      <w:r>
        <w:rPr>
          <w:rFonts w:hint="eastAsia"/>
          <w:lang w:val="en-US" w:eastAsia="zh-CN"/>
        </w:rPr>
        <w:t>六、其他需要说明的问题</w:t>
      </w:r>
    </w:p>
    <w:p>
      <w:pPr>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根据《中华人民共和国预算法》和中共邢台市委、邢台市人民政府《关于全面落实预算绩效管理的实施意见》（邢发〔2019〕17号）相关规定。按照《邢台市市级部门绩效自评办法》（邢市财预〔2019〕75号）、《邢台市市级部门整体预算绩效评价暂行办法》（邢市财预[2019]65号）相关要求，我部门及时安排部署并组织专人对部门 2021年度开展的所有工作活动及对应的预算项目资金进行绩效自评。各单位积极组织和实施绩效自评工作，明确专人负责，认真收集整理评价基础数据资料，严格自评材料审核，确保自评材料全面真实；认真设计反映人社特点和项目特征的个性绩效指标，提高绩效目标实现程度的全面性；认真撰写自评报告，严格按统一格式和要求，完整、清晰、具体地反映项目、项目实施及绩效情况。</w:t>
      </w:r>
    </w:p>
    <w:p>
      <w:pPr>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通过项目绩效自评结果总的来看，我部门不断强化依法理财、科学理财的意识，以预算绩效管理为导向，预算支出管理较为规范，能按照有关规章制度开展工作；重大支出项目立项规范，资金到位及时，资金使用较合理规范，项目质量达标，实现了部门职责绩效目标，自评结果为优秀。</w:t>
      </w:r>
    </w:p>
    <w:p>
      <w:pPr>
        <w:pStyle w:val="12"/>
        <w:pageBreakBefore w:val="0"/>
        <w:kinsoku/>
        <w:wordWrap/>
        <w:overflowPunct/>
        <w:topLinePunct w:val="0"/>
        <w:autoSpaceDE/>
        <w:autoSpaceDN/>
        <w:bidi w:val="0"/>
        <w:adjustRightInd/>
        <w:spacing w:line="520" w:lineRule="exact"/>
        <w:textAlignment w:val="auto"/>
        <w:rPr>
          <w:rFonts w:hint="eastAsia"/>
          <w:lang w:val="en-US" w:eastAsia="zh-CN"/>
        </w:rPr>
      </w:pPr>
    </w:p>
    <w:p>
      <w:pPr>
        <w:pStyle w:val="2"/>
        <w:pageBreakBefore w:val="0"/>
        <w:numPr>
          <w:ilvl w:val="0"/>
          <w:numId w:val="0"/>
        </w:numPr>
        <w:kinsoku/>
        <w:wordWrap/>
        <w:overflowPunct/>
        <w:topLinePunct w:val="0"/>
        <w:autoSpaceDE/>
        <w:autoSpaceDN/>
        <w:bidi w:val="0"/>
        <w:adjustRightIn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 xml:space="preserve"> </w:t>
      </w:r>
    </w:p>
    <w:p>
      <w:pPr>
        <w:pageBreakBefore w:val="0"/>
        <w:widowControl/>
        <w:kinsoku/>
        <w:wordWrap/>
        <w:overflowPunct/>
        <w:topLinePunct w:val="0"/>
        <w:autoSpaceDE/>
        <w:autoSpaceDN/>
        <w:bidi w:val="0"/>
        <w:adjustRightInd/>
        <w:spacing w:line="520" w:lineRule="exact"/>
        <w:ind w:firstLine="640" w:firstLineChars="200"/>
        <w:jc w:val="both"/>
        <w:textAlignment w:val="auto"/>
        <w:rPr>
          <w:rFonts w:hint="eastAsia" w:ascii="宋体" w:hAnsi="宋体"/>
          <w:b/>
          <w:sz w:val="44"/>
          <w:szCs w:val="44"/>
          <w:lang w:val="en-US" w:eastAsia="zh-CN"/>
        </w:rPr>
      </w:pPr>
      <w:r>
        <w:rPr>
          <w:rFonts w:hint="eastAsia" w:ascii="仿宋" w:hAnsi="仿宋" w:eastAsia="仿宋" w:cs="仿宋"/>
          <w:kern w:val="0"/>
          <w:sz w:val="32"/>
          <w:szCs w:val="32"/>
          <w:shd w:val="clear" w:color="auto" w:fill="FFFFFF"/>
          <w:lang w:bidi="ar"/>
        </w:rPr>
        <w:t> </w:t>
      </w:r>
    </w:p>
    <w:p>
      <w:pPr>
        <w:pStyle w:val="12"/>
        <w:pageBreakBefore w:val="0"/>
        <w:kinsoku/>
        <w:wordWrap/>
        <w:overflowPunct/>
        <w:topLinePunct w:val="0"/>
        <w:autoSpaceDE/>
        <w:autoSpaceDN/>
        <w:bidi w:val="0"/>
        <w:adjustRightInd/>
        <w:spacing w:line="520" w:lineRule="exact"/>
        <w:ind w:firstLine="883" w:firstLineChars="200"/>
        <w:jc w:val="both"/>
        <w:textAlignment w:val="auto"/>
        <w:rPr>
          <w:rFonts w:hint="eastAsia" w:ascii="宋体" w:hAnsi="宋体"/>
          <w:b/>
          <w:sz w:val="44"/>
          <w:szCs w:val="44"/>
          <w:lang w:val="en-US" w:eastAsia="zh-CN"/>
        </w:rPr>
      </w:pPr>
    </w:p>
    <w:p>
      <w:pPr>
        <w:pStyle w:val="12"/>
        <w:pageBreakBefore w:val="0"/>
        <w:kinsoku/>
        <w:wordWrap/>
        <w:overflowPunct/>
        <w:topLinePunct w:val="0"/>
        <w:autoSpaceDE/>
        <w:autoSpaceDN/>
        <w:bidi w:val="0"/>
        <w:adjustRightInd/>
        <w:spacing w:line="520" w:lineRule="exact"/>
        <w:ind w:firstLine="883" w:firstLineChars="200"/>
        <w:jc w:val="both"/>
        <w:textAlignment w:val="auto"/>
        <w:rPr>
          <w:rFonts w:hint="eastAsia" w:ascii="宋体" w:hAnsi="宋体"/>
          <w:b/>
          <w:sz w:val="44"/>
          <w:szCs w:val="44"/>
          <w:lang w:val="en-US" w:eastAsia="zh-CN"/>
        </w:rPr>
      </w:pPr>
    </w:p>
    <w:sectPr>
      <w:footerReference r:id="rId5" w:type="default"/>
      <w:footerReference r:id="rId6" w:type="even"/>
      <w:pgSz w:w="11906" w:h="16838"/>
      <w:pgMar w:top="1985" w:right="1418" w:bottom="1985" w:left="1418" w:header="851" w:footer="1701" w:gutter="0"/>
      <w:cols w:space="425" w:num="1"/>
      <w:docGrid w:type="lines" w:linePitch="31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6"/>
        <w:rFonts w:ascii="宋体" w:hAnsi="宋体" w:eastAsia="宋体"/>
        <w:sz w:val="28"/>
        <w:szCs w:val="28"/>
      </w:rPr>
    </w:pPr>
    <w:r>
      <w:rPr>
        <w:rStyle w:val="16"/>
        <w:rFonts w:hint="eastAsia" w:ascii="宋体" w:hAnsi="宋体" w:eastAsia="宋体"/>
        <w:sz w:val="28"/>
        <w:szCs w:val="28"/>
      </w:rPr>
      <w:t>-</w:t>
    </w:r>
    <w:r>
      <w:rPr>
        <w:rStyle w:val="16"/>
        <w:rFonts w:ascii="宋体" w:hAnsi="宋体" w:eastAsia="宋体"/>
        <w:sz w:val="28"/>
        <w:szCs w:val="28"/>
      </w:rPr>
      <w:fldChar w:fldCharType="begin"/>
    </w:r>
    <w:r>
      <w:rPr>
        <w:rStyle w:val="16"/>
        <w:rFonts w:ascii="宋体" w:hAnsi="宋体" w:eastAsia="宋体"/>
        <w:sz w:val="28"/>
        <w:szCs w:val="28"/>
      </w:rPr>
      <w:instrText xml:space="preserve">PAGE  </w:instrText>
    </w:r>
    <w:r>
      <w:rPr>
        <w:rStyle w:val="16"/>
        <w:rFonts w:ascii="宋体" w:hAnsi="宋体" w:eastAsia="宋体"/>
        <w:sz w:val="28"/>
        <w:szCs w:val="28"/>
      </w:rPr>
      <w:fldChar w:fldCharType="separate"/>
    </w:r>
    <w:r>
      <w:rPr>
        <w:rStyle w:val="16"/>
        <w:rFonts w:ascii="宋体" w:hAnsi="宋体" w:eastAsia="宋体"/>
        <w:sz w:val="28"/>
        <w:szCs w:val="28"/>
      </w:rPr>
      <w:t>6</w:t>
    </w:r>
    <w:r>
      <w:rPr>
        <w:rStyle w:val="16"/>
        <w:rFonts w:ascii="宋体" w:hAnsi="宋体" w:eastAsia="宋体"/>
        <w:sz w:val="28"/>
        <w:szCs w:val="28"/>
      </w:rPr>
      <w:fldChar w:fldCharType="end"/>
    </w:r>
    <w:r>
      <w:rPr>
        <w:rStyle w:val="16"/>
        <w:rFonts w:hint="eastAsia" w:ascii="宋体" w:hAnsi="宋体" w:eastAsia="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DCDD8"/>
    <w:multiLevelType w:val="singleLevel"/>
    <w:tmpl w:val="CBEDCDD8"/>
    <w:lvl w:ilvl="0" w:tentative="0">
      <w:start w:val="1"/>
      <w:numFmt w:val="chineseCounting"/>
      <w:suff w:val="nothing"/>
      <w:lvlText w:val="（%1）"/>
      <w:lvlJc w:val="left"/>
      <w:rPr>
        <w:rFonts w:hint="eastAsia"/>
      </w:rPr>
    </w:lvl>
  </w:abstractNum>
  <w:abstractNum w:abstractNumId="1">
    <w:nsid w:val="623D1AD5"/>
    <w:multiLevelType w:val="singleLevel"/>
    <w:tmpl w:val="623D1AD5"/>
    <w:lvl w:ilvl="0" w:tentative="0">
      <w:start w:val="3"/>
      <w:numFmt w:val="chineseCounting"/>
      <w:suff w:val="nothing"/>
      <w:lvlText w:val="（%1）"/>
      <w:lvlJc w:val="left"/>
    </w:lvl>
  </w:abstractNum>
  <w:abstractNum w:abstractNumId="2">
    <w:nsid w:val="623D1AED"/>
    <w:multiLevelType w:val="singleLevel"/>
    <w:tmpl w:val="623D1AED"/>
    <w:lvl w:ilvl="0" w:tentative="0">
      <w:start w:val="1"/>
      <w:numFmt w:val="decimal"/>
      <w:suff w:val="nothing"/>
      <w:lvlText w:val="%1、"/>
      <w:lvlJc w:val="left"/>
    </w:lvl>
  </w:abstractNum>
  <w:abstractNum w:abstractNumId="3">
    <w:nsid w:val="623D310D"/>
    <w:multiLevelType w:val="singleLevel"/>
    <w:tmpl w:val="623D310D"/>
    <w:lvl w:ilvl="0" w:tentative="0">
      <w:start w:val="7"/>
      <w:numFmt w:val="chineseCounting"/>
      <w:suff w:val="nothing"/>
      <w:lvlText w:val="（%1）"/>
      <w:lvlJc w:val="left"/>
    </w:lvl>
  </w:abstractNum>
  <w:abstractNum w:abstractNumId="4">
    <w:nsid w:val="623D342F"/>
    <w:multiLevelType w:val="singleLevel"/>
    <w:tmpl w:val="623D342F"/>
    <w:lvl w:ilvl="0" w:tentative="0">
      <w:start w:val="3"/>
      <w:numFmt w:val="chineseCounting"/>
      <w:suff w:val="nothing"/>
      <w:lvlText w:val="%1、"/>
      <w:lvlJc w:val="left"/>
    </w:lvl>
  </w:abstractNum>
  <w:abstractNum w:abstractNumId="5">
    <w:nsid w:val="623D34D5"/>
    <w:multiLevelType w:val="singleLevel"/>
    <w:tmpl w:val="623D34D5"/>
    <w:lvl w:ilvl="0" w:tentative="0">
      <w:start w:val="4"/>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1ZTAwZTA5ZGI3MTQxYWI0MWNmNjdmNGY0NTEyMjE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3822CFE"/>
    <w:rsid w:val="05374814"/>
    <w:rsid w:val="07CD1808"/>
    <w:rsid w:val="0AC7050C"/>
    <w:rsid w:val="0AEF0599"/>
    <w:rsid w:val="0C8F0285"/>
    <w:rsid w:val="0F8F6BFC"/>
    <w:rsid w:val="0FBF45B5"/>
    <w:rsid w:val="107166F3"/>
    <w:rsid w:val="10812F89"/>
    <w:rsid w:val="12BC165D"/>
    <w:rsid w:val="137F4B64"/>
    <w:rsid w:val="14FA521B"/>
    <w:rsid w:val="151B32C2"/>
    <w:rsid w:val="1B7570B0"/>
    <w:rsid w:val="1B782CC9"/>
    <w:rsid w:val="1C841DE7"/>
    <w:rsid w:val="1D271CC5"/>
    <w:rsid w:val="24BF2737"/>
    <w:rsid w:val="26061115"/>
    <w:rsid w:val="26837924"/>
    <w:rsid w:val="299678FA"/>
    <w:rsid w:val="2A56717C"/>
    <w:rsid w:val="2A756869"/>
    <w:rsid w:val="2B6C3CCB"/>
    <w:rsid w:val="2C870F4B"/>
    <w:rsid w:val="2DF950BB"/>
    <w:rsid w:val="35746DEC"/>
    <w:rsid w:val="3791647A"/>
    <w:rsid w:val="41BE4B4A"/>
    <w:rsid w:val="43F65275"/>
    <w:rsid w:val="455969D8"/>
    <w:rsid w:val="464D00E3"/>
    <w:rsid w:val="4763451B"/>
    <w:rsid w:val="48725571"/>
    <w:rsid w:val="4BDB04ED"/>
    <w:rsid w:val="4E4621E1"/>
    <w:rsid w:val="4E7B61B8"/>
    <w:rsid w:val="50466F32"/>
    <w:rsid w:val="526A3656"/>
    <w:rsid w:val="53CD5365"/>
    <w:rsid w:val="590D45A1"/>
    <w:rsid w:val="596604E0"/>
    <w:rsid w:val="5C26120C"/>
    <w:rsid w:val="5D643D56"/>
    <w:rsid w:val="5EC23E15"/>
    <w:rsid w:val="60F47850"/>
    <w:rsid w:val="63636E2C"/>
    <w:rsid w:val="64283056"/>
    <w:rsid w:val="69BD0A47"/>
    <w:rsid w:val="6DDB2E76"/>
    <w:rsid w:val="70C94743"/>
    <w:rsid w:val="71A911C9"/>
    <w:rsid w:val="757570E0"/>
    <w:rsid w:val="7793669D"/>
    <w:rsid w:val="783F6394"/>
    <w:rsid w:val="7CCC213E"/>
    <w:rsid w:val="7D722A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eastAsia="仿宋_GB2312" w:asciiTheme="minorAscii" w:hAnsiTheme="minorAscii" w:cstheme="minorBidi"/>
      <w:kern w:val="2"/>
      <w:sz w:val="32"/>
      <w:szCs w:val="22"/>
      <w:lang w:val="en-US" w:eastAsia="zh-CN" w:bidi="ar-SA"/>
    </w:rPr>
  </w:style>
  <w:style w:type="paragraph" w:styleId="3">
    <w:name w:val="heading 1"/>
    <w:basedOn w:val="4"/>
    <w:next w:val="1"/>
    <w:link w:val="17"/>
    <w:autoRedefine/>
    <w:qFormat/>
    <w:uiPriority w:val="9"/>
    <w:pPr>
      <w:spacing w:beforeAutospacing="1" w:afterAutospacing="1" w:line="560" w:lineRule="exact"/>
      <w:jc w:val="center"/>
      <w:outlineLvl w:val="0"/>
    </w:pPr>
    <w:rPr>
      <w:rFonts w:hint="eastAsia" w:ascii="宋体" w:hAnsi="宋体" w:eastAsia="方正小标宋简体" w:cs="宋体"/>
      <w:b w:val="0"/>
      <w:kern w:val="44"/>
      <w:sz w:val="44"/>
      <w:szCs w:val="48"/>
    </w:rPr>
  </w:style>
  <w:style w:type="paragraph" w:styleId="5">
    <w:name w:val="heading 2"/>
    <w:basedOn w:val="1"/>
    <w:next w:val="1"/>
    <w:autoRedefine/>
    <w:unhideWhenUsed/>
    <w:qFormat/>
    <w:uiPriority w:val="9"/>
    <w:pPr>
      <w:keepNext/>
      <w:keepLines/>
      <w:spacing w:beforeLines="0" w:beforeAutospacing="0" w:afterLines="0" w:afterAutospacing="0" w:line="560" w:lineRule="exact"/>
      <w:ind w:firstLine="883" w:firstLineChars="200"/>
      <w:outlineLvl w:val="1"/>
    </w:pPr>
    <w:rPr>
      <w:rFonts w:ascii="Arial" w:hAnsi="Arial" w:eastAsia="黑体"/>
    </w:rPr>
  </w:style>
  <w:style w:type="paragraph" w:styleId="6">
    <w:name w:val="heading 3"/>
    <w:basedOn w:val="1"/>
    <w:next w:val="1"/>
    <w:autoRedefine/>
    <w:unhideWhenUsed/>
    <w:qFormat/>
    <w:uiPriority w:val="9"/>
    <w:pPr>
      <w:keepNext/>
      <w:keepLines/>
      <w:spacing w:beforeLines="0" w:beforeAutospacing="0" w:afterLines="0" w:afterAutospacing="0" w:line="560" w:lineRule="exact"/>
      <w:ind w:firstLine="883" w:firstLineChars="200"/>
      <w:outlineLvl w:val="2"/>
    </w:pPr>
    <w:rPr>
      <w:rFonts w:eastAsia="楷体_GB2312"/>
      <w:b/>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footer"/>
    <w:basedOn w:val="1"/>
    <w:link w:val="19"/>
    <w:autoRedefine/>
    <w:unhideWhenUsed/>
    <w:qFormat/>
    <w:uiPriority w:val="99"/>
    <w:pPr>
      <w:tabs>
        <w:tab w:val="center" w:pos="4153"/>
        <w:tab w:val="right" w:pos="8306"/>
      </w:tabs>
      <w:snapToGrid w:val="0"/>
      <w:jc w:val="left"/>
    </w:pPr>
    <w:rPr>
      <w:sz w:val="18"/>
      <w:szCs w:val="18"/>
    </w:rPr>
  </w:style>
  <w:style w:type="paragraph" w:styleId="4">
    <w:name w:val="Title"/>
    <w:basedOn w:val="1"/>
    <w:autoRedefine/>
    <w:qFormat/>
    <w:uiPriority w:val="10"/>
    <w:pPr>
      <w:spacing w:before="240" w:beforeLines="0" w:beforeAutospacing="0" w:after="60" w:afterLines="0" w:afterAutospacing="0"/>
      <w:jc w:val="center"/>
      <w:outlineLvl w:val="0"/>
    </w:pPr>
    <w:rPr>
      <w:rFonts w:ascii="Arial" w:hAnsi="Arial"/>
      <w:b/>
      <w:sz w:val="32"/>
    </w:rPr>
  </w:style>
  <w:style w:type="paragraph" w:styleId="7">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8">
    <w:name w:val="Body Text Indent"/>
    <w:basedOn w:val="1"/>
    <w:unhideWhenUsed/>
    <w:qFormat/>
    <w:uiPriority w:val="99"/>
    <w:pPr>
      <w:spacing w:after="120"/>
      <w:ind w:left="420" w:leftChars="200"/>
    </w:pPr>
  </w:style>
  <w:style w:type="paragraph" w:styleId="9">
    <w:name w:val="Plain Text"/>
    <w:basedOn w:val="1"/>
    <w:link w:val="20"/>
    <w:autoRedefine/>
    <w:qFormat/>
    <w:uiPriority w:val="0"/>
    <w:rPr>
      <w:rFonts w:ascii="宋体" w:hAnsi="Courier New" w:eastAsia="宋体" w:cs="Courier New"/>
      <w:szCs w:val="21"/>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8"/>
    <w:unhideWhenUsed/>
    <w:qFormat/>
    <w:uiPriority w:val="99"/>
    <w:pPr>
      <w:ind w:firstLine="420" w:firstLineChars="200"/>
    </w:pPr>
  </w:style>
  <w:style w:type="character" w:styleId="15">
    <w:name w:val="Strong"/>
    <w:basedOn w:val="14"/>
    <w:qFormat/>
    <w:uiPriority w:val="22"/>
    <w:rPr>
      <w:b/>
      <w:bCs/>
    </w:rPr>
  </w:style>
  <w:style w:type="character" w:styleId="16">
    <w:name w:val="page number"/>
    <w:basedOn w:val="14"/>
    <w:unhideWhenUsed/>
    <w:qFormat/>
    <w:uiPriority w:val="99"/>
  </w:style>
  <w:style w:type="character" w:customStyle="1" w:styleId="17">
    <w:name w:val="标题 1 Char"/>
    <w:basedOn w:val="14"/>
    <w:link w:val="3"/>
    <w:autoRedefine/>
    <w:qFormat/>
    <w:uiPriority w:val="9"/>
    <w:rPr>
      <w:rFonts w:ascii="宋体" w:hAnsi="宋体" w:eastAsia="方正小标宋简体" w:cs="宋体"/>
      <w:kern w:val="44"/>
      <w:sz w:val="44"/>
      <w:szCs w:val="48"/>
    </w:rPr>
  </w:style>
  <w:style w:type="character" w:customStyle="1" w:styleId="18">
    <w:name w:val="页眉 Char"/>
    <w:basedOn w:val="14"/>
    <w:link w:val="10"/>
    <w:qFormat/>
    <w:uiPriority w:val="99"/>
    <w:rPr>
      <w:sz w:val="18"/>
      <w:szCs w:val="18"/>
    </w:rPr>
  </w:style>
  <w:style w:type="character" w:customStyle="1" w:styleId="19">
    <w:name w:val="页脚 Char"/>
    <w:basedOn w:val="14"/>
    <w:link w:val="2"/>
    <w:qFormat/>
    <w:uiPriority w:val="99"/>
    <w:rPr>
      <w:sz w:val="18"/>
      <w:szCs w:val="18"/>
    </w:rPr>
  </w:style>
  <w:style w:type="character" w:customStyle="1" w:styleId="20">
    <w:name w:val="纯文本 Char"/>
    <w:basedOn w:val="14"/>
    <w:link w:val="9"/>
    <w:autoRedefine/>
    <w:qFormat/>
    <w:uiPriority w:val="0"/>
    <w:rPr>
      <w:rFonts w:ascii="宋体" w:hAnsi="Courier New" w:eastAsia="宋体" w:cs="Courier New"/>
      <w:szCs w:val="21"/>
    </w:rPr>
  </w:style>
  <w:style w:type="character" w:customStyle="1" w:styleId="21">
    <w:name w:val="font31"/>
    <w:basedOn w:val="14"/>
    <w:autoRedefine/>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7914</Words>
  <Characters>8813</Characters>
  <Lines>37</Lines>
  <Paragraphs>10</Paragraphs>
  <TotalTime>0</TotalTime>
  <ScaleCrop>false</ScaleCrop>
  <LinksUpToDate>false</LinksUpToDate>
  <CharactersWithSpaces>8821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梦入人生</cp:lastModifiedBy>
  <cp:lastPrinted>2022-03-25T03:49:00Z</cp:lastPrinted>
  <dcterms:modified xsi:type="dcterms:W3CDTF">2024-02-01T08:18:10Z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DAE473A007264CB0BC1C22D230E91291</vt:lpwstr>
  </property>
</Properties>
</file>