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沙河市乡镇和街道行政处罚事项清单</w:t>
      </w:r>
    </w:p>
    <w:tbl>
      <w:tblPr>
        <w:tblStyle w:val="4"/>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44"/>
        <w:gridCol w:w="1140"/>
        <w:gridCol w:w="1766"/>
        <w:gridCol w:w="1444"/>
        <w:gridCol w:w="1256"/>
        <w:gridCol w:w="1230"/>
        <w:gridCol w:w="96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35"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序号</w:t>
            </w:r>
          </w:p>
        </w:tc>
        <w:tc>
          <w:tcPr>
            <w:tcW w:w="644"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所属</w:t>
            </w:r>
            <w:r>
              <w:rPr>
                <w:rFonts w:hint="eastAsia" w:ascii="黑体" w:hAnsi="黑体" w:eastAsia="黑体" w:cs="黑体"/>
                <w:i w:val="0"/>
                <w:color w:val="000000"/>
                <w:kern w:val="0"/>
                <w:sz w:val="21"/>
                <w:szCs w:val="21"/>
                <w:u w:val="none"/>
                <w:lang w:val="en-US" w:eastAsia="zh-CN" w:bidi="ar"/>
              </w:rPr>
              <w:br w:type="textWrapping"/>
            </w:r>
            <w:r>
              <w:rPr>
                <w:rFonts w:hint="eastAsia" w:ascii="黑体" w:hAnsi="黑体" w:eastAsia="黑体" w:cs="黑体"/>
                <w:i w:val="0"/>
                <w:color w:val="000000"/>
                <w:kern w:val="0"/>
                <w:sz w:val="21"/>
                <w:szCs w:val="21"/>
                <w:u w:val="none"/>
                <w:lang w:val="en-US" w:eastAsia="zh-CN" w:bidi="ar"/>
              </w:rPr>
              <w:t>领域</w:t>
            </w:r>
          </w:p>
        </w:tc>
        <w:tc>
          <w:tcPr>
            <w:tcW w:w="1140" w:type="dxa"/>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事项</w:t>
            </w:r>
          </w:p>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名称</w:t>
            </w:r>
          </w:p>
        </w:tc>
        <w:tc>
          <w:tcPr>
            <w:tcW w:w="1766"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设定依据</w:t>
            </w:r>
          </w:p>
        </w:tc>
        <w:tc>
          <w:tcPr>
            <w:tcW w:w="1444" w:type="dxa"/>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承办</w:t>
            </w:r>
          </w:p>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机构</w:t>
            </w:r>
          </w:p>
        </w:tc>
        <w:tc>
          <w:tcPr>
            <w:tcW w:w="1256"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责任主体</w:t>
            </w:r>
          </w:p>
        </w:tc>
        <w:tc>
          <w:tcPr>
            <w:tcW w:w="1230"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下放方式</w:t>
            </w:r>
          </w:p>
        </w:tc>
        <w:tc>
          <w:tcPr>
            <w:tcW w:w="964"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原实施单位</w:t>
            </w:r>
          </w:p>
        </w:tc>
        <w:tc>
          <w:tcPr>
            <w:tcW w:w="1229" w:type="dxa"/>
            <w:noWrap w:val="0"/>
            <w:vAlign w:val="center"/>
          </w:tcPr>
          <w:p>
            <w:pPr>
              <w:keepNext w:val="0"/>
              <w:keepLines w:val="0"/>
              <w:widowControl/>
              <w:suppressLineNumbers w:val="0"/>
              <w:jc w:val="center"/>
              <w:textAlignment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城乡</w:t>
            </w:r>
          </w:p>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建设</w:t>
            </w: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对农村居民未经批准或者违反规划的规定建住宅的处罚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《河北省城乡规划条例》(2016年5月25日修订)第八十二条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综合行政执法队（综合指挥和信息化网络中心、社会治安综合治理中心）</w:t>
            </w:r>
          </w:p>
        </w:tc>
        <w:tc>
          <w:tcPr>
            <w:tcW w:w="1256" w:type="dxa"/>
            <w:noWrap w:val="0"/>
            <w:vAlign w:val="center"/>
          </w:tcPr>
          <w:p>
            <w:pPr>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30" w:type="dxa"/>
            <w:noWrap w:val="0"/>
            <w:vAlign w:val="center"/>
          </w:tcPr>
          <w:p>
            <w:pPr>
              <w:jc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乡镇原有</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2</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对损坏村庄和集镇的房屋、公共设施,破坏村容镇貌和环境卫生的处罚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《河北省城乡规划条例》(2016年5月25日修订)第八十二条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《河北省乡村环境保护和治理条例D2016年10月1日起施行)第四十四条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综合行政执法队（综合指挥和信息化网络中心、社会治安综合治理中心）</w:t>
            </w:r>
          </w:p>
        </w:tc>
        <w:tc>
          <w:tcPr>
            <w:tcW w:w="1256" w:type="dxa"/>
            <w:noWrap w:val="0"/>
            <w:vAlign w:val="center"/>
          </w:tcPr>
          <w:p>
            <w:pPr>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30" w:type="dxa"/>
            <w:noWrap w:val="0"/>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乡镇原有</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3</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对擅自在村庄、集镇规划区内的街道、广场、市场和车站等场所修建临时建筑物、构筑物和其他设施的处罚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《河北省城乡规划条例》(2016年5月25日修订)第八十一条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综合行政执法队（综合指挥和信息化网络中心、社会治安综合治理中心）</w:t>
            </w:r>
          </w:p>
        </w:tc>
        <w:tc>
          <w:tcPr>
            <w:tcW w:w="1256" w:type="dxa"/>
            <w:noWrap w:val="0"/>
            <w:vAlign w:val="center"/>
          </w:tcPr>
          <w:p>
            <w:pPr>
              <w:jc w:val="left"/>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30" w:type="dxa"/>
            <w:noWrap w:val="0"/>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乡镇原有</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4</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center"/>
              <w:rPr>
                <w:rFonts w:hint="eastAsia" w:ascii="仿宋_GB2312" w:hAnsi="仿宋_GB2312" w:eastAsia="仿宋_GB2312" w:cs="仿宋_GB2312"/>
                <w:sz w:val="21"/>
                <w:szCs w:val="21"/>
                <w:vertAlign w:val="baseline"/>
                <w:lang w:eastAsia="zh-CN"/>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《中华人民共和国大气污染防治法》（2018年10月26日修正）第一百一十九条第二款、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《河北省大气污染防治条例》(2016年1月13日修订)第八十九条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5</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对在人口集中地区对树木、花草喷酒剧毒、高毒农药,或者露天焚烧秸秆、落叶等产生烟尘污染的物质的处罚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《中华人民共和国大气污染防治法》（2018年10月26日修正）第一百一十九条第一款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《河北省大气污染防治条例》(2016年1月13日修订)第八十七条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邢台市生态环境局沙河分局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6</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lang w:eastAsia="zh-CN"/>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对在城市人民政府禁止的时段和区域内燃放烟花爆竹的处罚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《中华人民共和国大气污染防治法》(2018年10月26日修正)第一百一十九条第三款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《河北省大气污染防治条例》(2016年1月13日修订)第八十七条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邢台市生态环境局沙河分局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7</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center"/>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color w:val="000000"/>
                <w:kern w:val="0"/>
                <w:sz w:val="21"/>
                <w:szCs w:val="21"/>
                <w:lang w:bidi="ar"/>
              </w:rPr>
              <w:t>对未经批准进行临时建设的;未按照批准内容进行临时建设的;临时建筑物、构筑物超过批准期限不自行拆除的处罚</w:t>
            </w:r>
          </w:p>
        </w:tc>
        <w:tc>
          <w:tcPr>
            <w:tcW w:w="1766" w:type="dxa"/>
            <w:noWrap w:val="0"/>
            <w:vAlign w:val="center"/>
          </w:tcPr>
          <w:p>
            <w:pPr>
              <w:widowControl/>
              <w:textAlignment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color w:val="000000"/>
                <w:kern w:val="0"/>
                <w:sz w:val="21"/>
                <w:szCs w:val="21"/>
                <w:lang w:bidi="ar"/>
              </w:rPr>
              <w:t>《中华人民共和国城乡规划法》(2019年4月23日修正)第六十六条</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《河北省城乡规划条例》(2016年5月25日修订)第八十一条第三款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highlight w:val="none"/>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i w:val="0"/>
                <w:color w:val="000000"/>
                <w:kern w:val="0"/>
                <w:sz w:val="21"/>
                <w:szCs w:val="21"/>
                <w:highlight w:val="none"/>
                <w:u w:val="none"/>
                <w:lang w:val="en-US" w:eastAsia="zh-CN" w:bidi="ar"/>
              </w:rPr>
              <w:t>沙河市自然资源和规划局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8</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对栽培、整修或其他作业遗留的渣土、枝叶等杂物,管理单位或个人不及时清除,责令</w:t>
            </w:r>
            <w:r>
              <w:rPr>
                <w:rFonts w:hint="eastAsia" w:ascii="仿宋_GB2312" w:hAnsi="仿宋_GB2312" w:eastAsia="仿宋_GB2312" w:cs="仿宋_GB2312"/>
                <w:color w:val="000000"/>
                <w:kern w:val="0"/>
                <w:sz w:val="21"/>
                <w:szCs w:val="21"/>
                <w:lang w:eastAsia="zh-CN" w:bidi="ar"/>
              </w:rPr>
              <w:t>限期</w:t>
            </w:r>
            <w:r>
              <w:rPr>
                <w:rFonts w:hint="eastAsia" w:ascii="仿宋_GB2312" w:hAnsi="仿宋_GB2312" w:eastAsia="仿宋_GB2312" w:cs="仿宋_GB2312"/>
                <w:color w:val="000000"/>
                <w:kern w:val="0"/>
                <w:sz w:val="21"/>
                <w:szCs w:val="21"/>
                <w:lang w:bidi="ar"/>
              </w:rPr>
              <w:t>清除逾期未清除的处罚</w:t>
            </w:r>
          </w:p>
        </w:tc>
        <w:tc>
          <w:tcPr>
            <w:tcW w:w="1766"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《河北省城市市容和环境卫生条例》( 2017年9月28日修正)第十五条第二款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9</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对在城市建筑物、构筑物、地面和其他设施以及树木上涂写、刻画、喷涂或者粘贴小广告等影响市容的处罚;对在道路及其他公共场所吊挂、晾晒物品,责令改正拒不改正的处罚</w:t>
            </w:r>
          </w:p>
        </w:tc>
        <w:tc>
          <w:tcPr>
            <w:tcW w:w="1766"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《河北省城市市容和环境卫生条例》(2017年9月28日修正)第十七条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10</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center"/>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对未</w:t>
            </w:r>
            <w:r>
              <w:rPr>
                <w:rFonts w:hint="eastAsia" w:ascii="仿宋_GB2312" w:hAnsi="仿宋_GB2312" w:eastAsia="仿宋_GB2312" w:cs="仿宋_GB2312"/>
                <w:color w:val="000000"/>
                <w:kern w:val="0"/>
                <w:sz w:val="21"/>
                <w:szCs w:val="21"/>
                <w:lang w:eastAsia="zh-CN" w:bidi="ar"/>
              </w:rPr>
              <w:t>按规定利用</w:t>
            </w:r>
            <w:r>
              <w:rPr>
                <w:rFonts w:hint="eastAsia" w:ascii="仿宋_GB2312" w:hAnsi="仿宋_GB2312" w:eastAsia="仿宋_GB2312" w:cs="仿宋_GB2312"/>
                <w:color w:val="000000"/>
                <w:kern w:val="0"/>
                <w:sz w:val="21"/>
                <w:szCs w:val="21"/>
                <w:lang w:bidi="ar"/>
              </w:rPr>
              <w:t>悬挂物、充气装置、实物造型等载体</w:t>
            </w:r>
            <w:r>
              <w:rPr>
                <w:rFonts w:hint="eastAsia" w:ascii="仿宋_GB2312" w:hAnsi="仿宋_GB2312" w:eastAsia="仿宋_GB2312" w:cs="仿宋_GB2312"/>
                <w:color w:val="000000"/>
                <w:kern w:val="0"/>
                <w:sz w:val="21"/>
                <w:szCs w:val="21"/>
                <w:lang w:eastAsia="zh-CN" w:bidi="ar"/>
              </w:rPr>
              <w:t>设置</w:t>
            </w:r>
            <w:r>
              <w:rPr>
                <w:rFonts w:hint="eastAsia" w:ascii="仿宋_GB2312" w:hAnsi="仿宋_GB2312" w:eastAsia="仿宋_GB2312" w:cs="仿宋_GB2312"/>
                <w:color w:val="000000"/>
                <w:kern w:val="0"/>
                <w:sz w:val="21"/>
                <w:szCs w:val="21"/>
                <w:lang w:bidi="ar"/>
              </w:rPr>
              <w:t>广告或期满后未及时撤除,或者不及时整修、清洗、更换影响市容的户外广告牌或不予加固、拆除有安全</w:t>
            </w:r>
            <w:r>
              <w:rPr>
                <w:rFonts w:hint="eastAsia" w:ascii="仿宋_GB2312" w:hAnsi="仿宋_GB2312" w:eastAsia="仿宋_GB2312" w:cs="仿宋_GB2312"/>
                <w:color w:val="000000"/>
                <w:kern w:val="0"/>
                <w:sz w:val="21"/>
                <w:szCs w:val="21"/>
                <w:lang w:eastAsia="zh-CN" w:bidi="ar"/>
              </w:rPr>
              <w:t>隐患</w:t>
            </w:r>
            <w:r>
              <w:rPr>
                <w:rFonts w:hint="eastAsia" w:ascii="仿宋_GB2312" w:hAnsi="仿宋_GB2312" w:eastAsia="仿宋_GB2312" w:cs="仿宋_GB2312"/>
                <w:color w:val="000000"/>
                <w:kern w:val="0"/>
                <w:sz w:val="21"/>
                <w:szCs w:val="21"/>
                <w:lang w:bidi="ar"/>
              </w:rPr>
              <w:t>的广告牌、招牌,责令改正拒不改正的处罚</w:t>
            </w:r>
          </w:p>
        </w:tc>
        <w:tc>
          <w:tcPr>
            <w:tcW w:w="1766"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《河北省城市市容和环境卫生条例》</w:t>
            </w:r>
            <w:r>
              <w:rPr>
                <w:rFonts w:hint="eastAsia"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2017年9月28日修正)第十八条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11</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对未经市容和环境卫生行政主管部门同意,擅自设置大型户外广告的处罚</w:t>
            </w:r>
          </w:p>
        </w:tc>
        <w:tc>
          <w:tcPr>
            <w:tcW w:w="1766" w:type="dxa"/>
            <w:noWrap w:val="0"/>
            <w:vAlign w:val="center"/>
          </w:tcPr>
          <w:p>
            <w:pPr>
              <w:widowControl/>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《河北省城市市容和环境卫生条例》</w:t>
            </w:r>
            <w:r>
              <w:rPr>
                <w:rFonts w:hint="eastAsia"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2017年9月28日修正)第十九条第二款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12</w:t>
            </w:r>
          </w:p>
        </w:tc>
        <w:tc>
          <w:tcPr>
            <w:tcW w:w="644" w:type="dxa"/>
            <w:vMerge w:val="continue"/>
            <w:noWrap w:val="0"/>
            <w:vAlign w:val="top"/>
          </w:tcPr>
          <w:p>
            <w:pPr>
              <w:jc w:val="both"/>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对未经批准(或未按规定的期限和地点)张贴、张挂宣传品,责令改正拒不改正的处罚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《河北省城市市容和环境卫生条例》(2017年9月28日修正)第二十条第一款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13</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color w:val="FF0000"/>
                <w:sz w:val="21"/>
                <w:szCs w:val="21"/>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城乡建设</w:t>
            </w: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对未经批准,擅自在城市道路两侧和公共场地堆放物料,责令改正拒不改正的处罚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《河北省城市市容和环境卫生条例》(2017年9月28日修正)第二十二条第二款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14</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lang w:eastAsia="zh-CN"/>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bidi="ar"/>
              </w:rPr>
              <w:t>对擅自在城市道路两侧和公共场地摆设摊点,或者未按批准的时间、地点和范围从事有关经营活动,</w:t>
            </w:r>
            <w:r>
              <w:rPr>
                <w:rFonts w:hint="eastAsia" w:ascii="仿宋_GB2312" w:hAnsi="仿宋_GB2312" w:eastAsia="仿宋_GB2312" w:cs="仿宋_GB2312"/>
                <w:color w:val="000000"/>
                <w:kern w:val="0"/>
                <w:sz w:val="21"/>
                <w:szCs w:val="21"/>
                <w:lang w:eastAsia="zh-CN" w:bidi="ar"/>
              </w:rPr>
              <w:t>责令停止经营</w:t>
            </w:r>
            <w:r>
              <w:rPr>
                <w:rFonts w:hint="eastAsia" w:ascii="仿宋_GB2312" w:hAnsi="仿宋_GB2312" w:eastAsia="仿宋_GB2312" w:cs="仿宋_GB2312"/>
                <w:color w:val="000000"/>
                <w:kern w:val="0"/>
                <w:sz w:val="21"/>
                <w:szCs w:val="21"/>
                <w:lang w:bidi="ar"/>
              </w:rPr>
              <w:t>拒不停止经营的处罚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《河北省城市市容和环境卫生条例》（2017年9月28日修正)第二十四条第三款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w:t>
            </w:r>
          </w:p>
        </w:tc>
        <w:tc>
          <w:tcPr>
            <w:tcW w:w="644" w:type="dxa"/>
            <w:vMerge w:val="continue"/>
            <w:noWrap w:val="0"/>
            <w:vAlign w:val="center"/>
          </w:tcPr>
          <w:p>
            <w:pPr>
              <w:jc w:val="center"/>
              <w:rPr>
                <w:rFonts w:hint="eastAsia" w:ascii="仿宋_GB2312" w:hAnsi="仿宋_GB2312" w:eastAsia="仿宋_GB2312" w:cs="仿宋_GB2312"/>
                <w:color w:val="FF0000"/>
                <w:sz w:val="21"/>
                <w:szCs w:val="21"/>
                <w:vertAlign w:val="baseline"/>
                <w:lang w:eastAsia="zh-CN"/>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对违反施工现场作业规范行为的处罚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w w:val="80"/>
                <w:kern w:val="0"/>
                <w:sz w:val="21"/>
                <w:szCs w:val="21"/>
                <w:u w:val="none"/>
                <w:lang w:val="en-US" w:eastAsia="zh-CN" w:bidi="ar"/>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w:t>
            </w:r>
            <w:r>
              <w:rPr>
                <w:rFonts w:hint="eastAsia" w:ascii="仿宋_GB2312" w:hAnsi="仿宋_GB2312" w:eastAsia="仿宋_GB2312" w:cs="仿宋_GB2312"/>
                <w:color w:val="auto"/>
                <w:w w:val="80"/>
                <w:sz w:val="21"/>
                <w:szCs w:val="21"/>
                <w:vertAlign w:val="baseline"/>
              </w:rPr>
              <w:t>﹝</w:t>
            </w:r>
            <w:r>
              <w:rPr>
                <w:rFonts w:hint="eastAsia" w:ascii="仿宋_GB2312" w:hAnsi="仿宋_GB2312" w:eastAsia="仿宋_GB2312" w:cs="仿宋_GB2312"/>
                <w:i w:val="0"/>
                <w:color w:val="auto"/>
                <w:w w:val="80"/>
                <w:kern w:val="0"/>
                <w:sz w:val="21"/>
                <w:szCs w:val="21"/>
                <w:u w:val="none"/>
                <w:lang w:val="en-US" w:eastAsia="zh-CN" w:bidi="ar"/>
              </w:rPr>
              <w:t>2020</w:t>
            </w:r>
            <w:r>
              <w:rPr>
                <w:rFonts w:hint="eastAsia" w:ascii="仿宋_GB2312" w:hAnsi="仿宋_GB2312" w:eastAsia="仿宋_GB2312" w:cs="仿宋_GB2312"/>
                <w:color w:val="auto"/>
                <w:w w:val="80"/>
                <w:sz w:val="21"/>
                <w:szCs w:val="21"/>
                <w:vertAlign w:val="baseline"/>
              </w:rPr>
              <w:t>﹞</w:t>
            </w:r>
            <w:r>
              <w:rPr>
                <w:rFonts w:hint="eastAsia" w:ascii="仿宋_GB2312" w:hAnsi="仿宋_GB2312" w:eastAsia="仿宋_GB2312" w:cs="仿宋_GB2312"/>
                <w:i w:val="0"/>
                <w:color w:val="auto"/>
                <w:w w:val="80"/>
                <w:kern w:val="0"/>
                <w:sz w:val="21"/>
                <w:szCs w:val="21"/>
                <w:u w:val="none"/>
                <w:lang w:val="en-US" w:eastAsia="zh-CN" w:bidi="ar"/>
              </w:rPr>
              <w:t>第1号)第四十条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color w:val="auto"/>
                <w:sz w:val="21"/>
                <w:szCs w:val="21"/>
                <w:vertAlign w:val="baseline"/>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沙河市住房和城乡建设局和</w:t>
            </w: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16</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对不按照规定清理垃圾、粪便、积雪的处罚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《河北省城市市容和环境卫生条例》（2017年9月28日修正)第三十二条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17</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对从事车辆清洗、维修经营活动,未在室内进行、占用道路、绿地、公共场所等的处罚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《河北省城市市容和环境卫生条例》（2017年9月28日修正)第三十八条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644" w:type="dxa"/>
            <w:vMerge w:val="continue"/>
            <w:noWrap w:val="0"/>
            <w:vAlign w:val="center"/>
          </w:tcPr>
          <w:p>
            <w:pPr>
              <w:jc w:val="center"/>
              <w:rPr>
                <w:rFonts w:hint="eastAsia" w:ascii="仿宋_GB2312" w:hAnsi="仿宋_GB2312" w:eastAsia="仿宋_GB2312" w:cs="仿宋_GB2312"/>
                <w:color w:val="FF0000"/>
                <w:sz w:val="21"/>
                <w:szCs w:val="21"/>
                <w:vertAlign w:val="baseline"/>
                <w:lang w:eastAsia="zh-CN"/>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对影响环境卫生行为的处罚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《河北省城市市容和环境卫生条例》（2017年9月28日修正)第四十条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FF0000"/>
                <w:sz w:val="21"/>
                <w:szCs w:val="21"/>
                <w:vertAlign w:val="baseline"/>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color w:val="FF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19</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对占用、损毁环境卫生设施的;对擅自拆除、迁移、改建、停用环卫设施和改变环卫设施用途的处罚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《河北省城市市容和环境卫生条例》（2017年9月28日修正)第四十一条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i w:val="0"/>
                <w:color w:val="000000"/>
                <w:kern w:val="0"/>
                <w:sz w:val="21"/>
                <w:szCs w:val="21"/>
                <w:u w:val="none"/>
                <w:lang w:val="en-US" w:eastAsia="zh-CN" w:bidi="ar"/>
              </w:rPr>
              <w:t>20</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对违反规定实施影响城市照明设施正常运行的行为的处罚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《城市照明管理规定》(2010年住建部令第4号)第三十二条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435"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对将建筑垃圾混入生活垃圾的；将危险废物混入建筑垃圾的;擅自设立弃置场接纳建筑垃圾的处罚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《城市建筑垃圾管理规定》(2005年建设部令第139号)第二十条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35"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jc w:val="both"/>
              <w:rPr>
                <w:rFonts w:hint="eastAsia" w:ascii="仿宋_GB2312" w:hAnsi="仿宋_GB2312" w:eastAsia="仿宋_GB2312" w:cs="仿宋_GB2312"/>
                <w:sz w:val="21"/>
                <w:szCs w:val="21"/>
                <w:vertAlign w:val="baseline"/>
              </w:rPr>
            </w:pPr>
          </w:p>
          <w:p>
            <w:pPr>
              <w:jc w:val="center"/>
              <w:rPr>
                <w:rFonts w:hint="eastAsia" w:ascii="仿宋_GB2312" w:hAnsi="仿宋_GB2312" w:eastAsia="仿宋_GB2312" w:cs="仿宋_GB2312"/>
                <w:sz w:val="21"/>
                <w:szCs w:val="21"/>
                <w:vertAlign w:val="baseline"/>
              </w:rPr>
            </w:pPr>
          </w:p>
          <w:p>
            <w:pPr>
              <w:jc w:val="center"/>
              <w:rPr>
                <w:rFonts w:hint="eastAsia" w:ascii="仿宋_GB2312" w:hAnsi="仿宋_GB2312" w:eastAsia="仿宋_GB2312" w:cs="仿宋_GB2312"/>
                <w:sz w:val="21"/>
                <w:szCs w:val="21"/>
                <w:vertAlign w:val="baseline"/>
              </w:rPr>
            </w:pPr>
          </w:p>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对单位和个人随意倾倒、抛撒或者堆放建筑垃圾的处罚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《城市建筑垃圾管理规定》(2005年建设部令第139号)第二十六条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435"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23 </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对未经批准擅自关闭、闲置或者拆除城市生活垃圾处置设施、场所的处罚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val="en-US" w:eastAsia="zh-CN" w:bidi="ar"/>
              </w:rPr>
              <w:t>《中华人民共和国固体废物污染环境防治法》第七十四条第二项、《城市生活垃圾管理办法》(2015年住房和城乡建设部令第24号)第四十一条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435" w:type="dxa"/>
            <w:noWrap w:val="0"/>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w:t>
            </w:r>
          </w:p>
        </w:tc>
        <w:tc>
          <w:tcPr>
            <w:tcW w:w="644" w:type="dxa"/>
            <w:vMerge w:val="continue"/>
            <w:noWrap w:val="0"/>
            <w:vAlign w:val="center"/>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对随意倾倒、抛酒、堆放生活垃圾的处罚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val="en-US" w:eastAsia="zh-CN" w:bidi="ar"/>
              </w:rPr>
              <w:t>《中华人民共和国固体废物污染环境防治法》第七十四条第一项、《城市生活垃圾管理办法》(2015年住房和城乡建设部令第24号)第四十二条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25</w:t>
            </w:r>
          </w:p>
        </w:tc>
        <w:tc>
          <w:tcPr>
            <w:tcW w:w="644" w:type="dxa"/>
            <w:vMerge w:val="restart"/>
            <w:noWrap w:val="0"/>
            <w:vAlign w:val="top"/>
          </w:tcPr>
          <w:p>
            <w:pPr>
              <w:jc w:val="center"/>
              <w:rPr>
                <w:rFonts w:hint="eastAsia" w:ascii="仿宋_GB2312" w:hAnsi="仿宋_GB2312" w:eastAsia="仿宋_GB2312" w:cs="仿宋_GB2312"/>
                <w:sz w:val="21"/>
                <w:szCs w:val="21"/>
                <w:vertAlign w:val="baseline"/>
              </w:rPr>
            </w:pPr>
          </w:p>
          <w:p>
            <w:pPr>
              <w:bidi w:val="0"/>
              <w:rPr>
                <w:rFonts w:hint="eastAsia" w:ascii="仿宋_GB2312" w:hAnsi="仿宋_GB2312" w:eastAsia="仿宋_GB2312" w:cs="仿宋_GB2312"/>
                <w:kern w:val="2"/>
                <w:sz w:val="21"/>
                <w:szCs w:val="21"/>
                <w:lang w:val="en-US" w:eastAsia="zh-CN" w:bidi="ar-SA"/>
              </w:rPr>
            </w:pPr>
          </w:p>
          <w:p>
            <w:pPr>
              <w:bidi w:val="0"/>
              <w:rPr>
                <w:rFonts w:hint="eastAsia" w:ascii="仿宋_GB2312" w:hAnsi="仿宋_GB2312" w:eastAsia="仿宋_GB2312" w:cs="仿宋_GB2312"/>
                <w:sz w:val="21"/>
                <w:szCs w:val="21"/>
                <w:lang w:val="en-US" w:eastAsia="zh-CN"/>
              </w:rPr>
            </w:pPr>
          </w:p>
          <w:p>
            <w:pPr>
              <w:bidi w:val="0"/>
              <w:rPr>
                <w:rFonts w:hint="eastAsia" w:ascii="仿宋_GB2312" w:hAnsi="仿宋_GB2312" w:eastAsia="仿宋_GB2312" w:cs="仿宋_GB2312"/>
                <w:sz w:val="21"/>
                <w:szCs w:val="21"/>
                <w:lang w:val="en-US" w:eastAsia="zh-CN"/>
              </w:rPr>
            </w:pPr>
          </w:p>
          <w:p>
            <w:pPr>
              <w:bidi w:val="0"/>
              <w:rPr>
                <w:rFonts w:hint="eastAsia" w:ascii="仿宋_GB2312" w:hAnsi="仿宋_GB2312" w:eastAsia="仿宋_GB2312" w:cs="仿宋_GB2312"/>
                <w:sz w:val="21"/>
                <w:szCs w:val="21"/>
                <w:lang w:val="en-US" w:eastAsia="zh-CN"/>
              </w:rPr>
            </w:pPr>
          </w:p>
          <w:p>
            <w:pPr>
              <w:bidi w:val="0"/>
              <w:rPr>
                <w:rFonts w:hint="eastAsia" w:ascii="仿宋_GB2312" w:hAnsi="仿宋_GB2312" w:eastAsia="仿宋_GB2312" w:cs="仿宋_GB2312"/>
                <w:sz w:val="21"/>
                <w:szCs w:val="21"/>
                <w:lang w:val="en-US" w:eastAsia="zh-CN"/>
              </w:rPr>
            </w:pPr>
          </w:p>
          <w:p>
            <w:pPr>
              <w:bidi w:val="0"/>
              <w:rPr>
                <w:rFonts w:hint="eastAsia" w:ascii="仿宋_GB2312" w:hAnsi="仿宋_GB2312" w:eastAsia="仿宋_GB2312" w:cs="仿宋_GB2312"/>
                <w:sz w:val="21"/>
                <w:szCs w:val="21"/>
                <w:lang w:val="en-US" w:eastAsia="zh-CN"/>
              </w:rPr>
            </w:pPr>
          </w:p>
          <w:p>
            <w:pPr>
              <w:bidi w:val="0"/>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bidi w:val="0"/>
              <w:ind w:firstLine="255" w:firstLineChars="0"/>
              <w:jc w:val="left"/>
              <w:rPr>
                <w:rFonts w:hint="eastAsia" w:ascii="仿宋_GB2312" w:hAnsi="仿宋_GB2312" w:eastAsia="仿宋_GB2312" w:cs="仿宋_GB2312"/>
                <w:sz w:val="21"/>
                <w:szCs w:val="21"/>
                <w:lang w:val="en-US" w:eastAsia="zh-CN"/>
              </w:rPr>
            </w:pP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对从事城市生活垃圾经营性清扫、收集、运输的企业不履行义务的处罚</w:t>
            </w:r>
          </w:p>
        </w:tc>
        <w:tc>
          <w:tcPr>
            <w:tcW w:w="17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《城市生活垃圾管理办法》(2015年住房和城乡建设部令第24号)第四十五条、四十六条</w:t>
            </w:r>
          </w:p>
        </w:tc>
        <w:tc>
          <w:tcPr>
            <w:tcW w:w="14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w:t>
            </w:r>
          </w:p>
        </w:tc>
        <w:tc>
          <w:tcPr>
            <w:tcW w:w="644" w:type="dxa"/>
            <w:vMerge w:val="continue"/>
            <w:noWrap w:val="0"/>
            <w:vAlign w:val="top"/>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bidi="ar"/>
              </w:rPr>
              <w:t>对在树木上设置广告牌、标语牌或者牵拉绳索、架设电线</w:t>
            </w:r>
            <w:r>
              <w:rPr>
                <w:rFonts w:hint="eastAsia" w:ascii="仿宋_GB2312" w:hAnsi="仿宋_GB2312" w:eastAsia="仿宋_GB2312" w:cs="仿宋_GB2312"/>
                <w:color w:val="000000"/>
                <w:kern w:val="0"/>
                <w:sz w:val="21"/>
                <w:szCs w:val="21"/>
                <w:lang w:eastAsia="zh-CN" w:bidi="ar"/>
              </w:rPr>
              <w:t>，以树承重；</w:t>
            </w:r>
            <w:r>
              <w:rPr>
                <w:rFonts w:hint="eastAsia" w:ascii="仿宋_GB2312" w:hAnsi="仿宋_GB2312" w:eastAsia="仿宋_GB2312" w:cs="仿宋_GB2312"/>
                <w:color w:val="000000"/>
                <w:kern w:val="0"/>
                <w:sz w:val="21"/>
                <w:szCs w:val="21"/>
                <w:lang w:bidi="ar"/>
              </w:rPr>
              <w:t>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bidi="ar"/>
              </w:rPr>
              <w:t>《河北省城市园林绿化管理办法》(2017年修改)第五十</w:t>
            </w:r>
            <w:r>
              <w:rPr>
                <w:rFonts w:hint="eastAsia" w:ascii="仿宋_GB2312" w:hAnsi="仿宋_GB2312" w:eastAsia="仿宋_GB2312" w:cs="仿宋_GB2312"/>
                <w:color w:val="000000"/>
                <w:kern w:val="0"/>
                <w:sz w:val="21"/>
                <w:szCs w:val="21"/>
                <w:lang w:eastAsia="zh-CN" w:bidi="ar"/>
              </w:rPr>
              <w:t>一</w:t>
            </w:r>
            <w:r>
              <w:rPr>
                <w:rFonts w:hint="eastAsia" w:ascii="仿宋_GB2312" w:hAnsi="仿宋_GB2312" w:eastAsia="仿宋_GB2312" w:cs="仿宋_GB2312"/>
                <w:color w:val="000000"/>
                <w:kern w:val="0"/>
                <w:sz w:val="21"/>
                <w:szCs w:val="21"/>
                <w:lang w:bidi="ar"/>
              </w:rPr>
              <w:t>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c>
          <w:tcPr>
            <w:tcW w:w="644" w:type="dxa"/>
            <w:vMerge w:val="continue"/>
            <w:noWrap w:val="0"/>
            <w:vAlign w:val="top"/>
          </w:tcPr>
          <w:p>
            <w:pPr>
              <w:bidi w:val="0"/>
              <w:ind w:firstLine="255" w:firstLineChars="0"/>
              <w:jc w:val="left"/>
              <w:rPr>
                <w:rFonts w:hint="eastAsia" w:ascii="仿宋_GB2312" w:hAnsi="仿宋_GB2312" w:eastAsia="仿宋_GB2312" w:cs="仿宋_GB2312"/>
                <w:sz w:val="21"/>
                <w:szCs w:val="21"/>
                <w:lang w:val="en-US" w:eastAsia="zh-CN"/>
              </w:rPr>
            </w:pP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对擅自砍伐或者移植城市树木的处罚</w:t>
            </w:r>
          </w:p>
        </w:tc>
        <w:tc>
          <w:tcPr>
            <w:tcW w:w="17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《河北省绿化条例》(2017年)第六十六条</w:t>
            </w:r>
          </w:p>
        </w:tc>
        <w:tc>
          <w:tcPr>
            <w:tcW w:w="14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center"/>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w:t>
            </w:r>
          </w:p>
        </w:tc>
        <w:tc>
          <w:tcPr>
            <w:tcW w:w="644" w:type="dxa"/>
            <w:vMerge w:val="restart"/>
            <w:noWrap w:val="0"/>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bidi="ar-SA"/>
              </w:rPr>
            </w:pPr>
          </w:p>
        </w:tc>
        <w:tc>
          <w:tcPr>
            <w:tcW w:w="1140" w:type="dxa"/>
            <w:noWrap w:val="0"/>
            <w:vAlign w:val="center"/>
          </w:tcPr>
          <w:p>
            <w:pPr>
              <w:widowControl/>
              <w:tabs>
                <w:tab w:val="left" w:pos="1332"/>
              </w:tabs>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eastAsia="zh-CN" w:bidi="ar"/>
              </w:rPr>
              <w:t>建设单位未取得施工许可证或者开工报告未经批准擅自施工的处罚</w:t>
            </w:r>
          </w:p>
        </w:tc>
        <w:tc>
          <w:tcPr>
            <w:tcW w:w="1766" w:type="dxa"/>
            <w:noWrap w:val="0"/>
            <w:vAlign w:val="center"/>
          </w:tcPr>
          <w:p>
            <w:pPr>
              <w:widowControl/>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《建设工程质量管理条例》(2019年国务院令第714号)第五十七条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w:t>
            </w:r>
          </w:p>
        </w:tc>
        <w:tc>
          <w:tcPr>
            <w:tcW w:w="644" w:type="dxa"/>
            <w:vMerge w:val="continue"/>
            <w:noWrap w:val="0"/>
            <w:vAlign w:val="top"/>
          </w:tcPr>
          <w:p>
            <w:pPr>
              <w:jc w:val="center"/>
              <w:rPr>
                <w:rFonts w:hint="eastAsia" w:ascii="仿宋_GB2312" w:hAnsi="仿宋_GB2312" w:eastAsia="仿宋_GB2312" w:cs="仿宋_GB2312"/>
                <w:sz w:val="21"/>
                <w:szCs w:val="21"/>
                <w:vertAlign w:val="baseline"/>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建设单位未组织竣工验收或者验收不合格擅自交付使用的处罚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《建设工程质量管理条例》(2019年国务院令第714号)第五十八条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p>
          <w:p>
            <w:pPr>
              <w:jc w:val="both"/>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bidi="ar-SA"/>
              </w:rPr>
            </w:pPr>
          </w:p>
        </w:tc>
        <w:tc>
          <w:tcPr>
            <w:tcW w:w="1140" w:type="dxa"/>
            <w:noWrap w:val="0"/>
            <w:vAlign w:val="center"/>
          </w:tcPr>
          <w:p>
            <w:pPr>
              <w:widowControl/>
              <w:tabs>
                <w:tab w:val="left" w:pos="717"/>
              </w:tabs>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eastAsia="zh-CN" w:bidi="ar"/>
              </w:rPr>
              <w:t>对城镇排水与污水处理设施覆盖范围内的排水单位和个人，未按照国家有关规定将污水排入城镇排水设施，或在雨水、污水分流地区将污水排入雨水管网的处罚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《城镇排水与污水处理条例》(2013年国务院令第641号)第四十九条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0"/>
            <w:vAlign w:val="top"/>
          </w:tcPr>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p>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31</w:t>
            </w:r>
          </w:p>
        </w:tc>
        <w:tc>
          <w:tcPr>
            <w:tcW w:w="644" w:type="dxa"/>
            <w:vMerge w:val="restart"/>
            <w:noWrap w:val="0"/>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城乡建设</w:t>
            </w:r>
          </w:p>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bidi="ar-SA"/>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对违反燃气经营者相关规定行为的处罚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《城镇燃气管理条例》(2016年国务院令第66</w:t>
            </w:r>
            <w:r>
              <w:rPr>
                <w:rFonts w:hint="eastAsia" w:ascii="仿宋_GB2312" w:hAnsi="仿宋_GB2312" w:eastAsia="仿宋_GB2312" w:cs="仿宋_GB2312"/>
                <w:color w:val="000000"/>
                <w:kern w:val="0"/>
                <w:sz w:val="21"/>
                <w:szCs w:val="21"/>
                <w:highlight w:val="none"/>
                <w:lang w:val="en-US" w:eastAsia="zh-CN" w:bidi="ar"/>
              </w:rPr>
              <w:t>6</w:t>
            </w:r>
            <w:r>
              <w:rPr>
                <w:rFonts w:hint="eastAsia" w:ascii="仿宋_GB2312" w:hAnsi="仿宋_GB2312" w:eastAsia="仿宋_GB2312" w:cs="仿宋_GB2312"/>
                <w:color w:val="000000"/>
                <w:kern w:val="0"/>
                <w:sz w:val="21"/>
                <w:szCs w:val="21"/>
                <w:highlight w:val="none"/>
                <w:lang w:bidi="ar"/>
              </w:rPr>
              <w:t>号)第四十六条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jc w:val="left"/>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32</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bidi="ar-SA"/>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对未取得燃气经营许可证从事燃气经营活动;燃气经营者不按照燃气经营许可证的规定从事燃气经营活动的处罚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eastAsia="zh-CN" w:bidi="ar"/>
              </w:rPr>
              <w:t>《</w:t>
            </w:r>
            <w:r>
              <w:rPr>
                <w:rFonts w:hint="eastAsia" w:ascii="仿宋_GB2312" w:hAnsi="仿宋_GB2312" w:eastAsia="仿宋_GB2312" w:cs="仿宋_GB2312"/>
                <w:color w:val="000000"/>
                <w:kern w:val="0"/>
                <w:sz w:val="21"/>
                <w:szCs w:val="21"/>
                <w:highlight w:val="none"/>
                <w:lang w:bidi="ar"/>
              </w:rPr>
              <w:t>城</w:t>
            </w:r>
            <w:r>
              <w:rPr>
                <w:rFonts w:hint="eastAsia" w:ascii="仿宋_GB2312" w:hAnsi="仿宋_GB2312" w:eastAsia="仿宋_GB2312" w:cs="仿宋_GB2312"/>
                <w:color w:val="000000"/>
                <w:kern w:val="0"/>
                <w:sz w:val="21"/>
                <w:szCs w:val="21"/>
                <w:highlight w:val="none"/>
                <w:lang w:eastAsia="zh-CN" w:bidi="ar"/>
              </w:rPr>
              <w:t>镇</w:t>
            </w:r>
            <w:r>
              <w:rPr>
                <w:rFonts w:hint="eastAsia" w:ascii="仿宋_GB2312" w:hAnsi="仿宋_GB2312" w:eastAsia="仿宋_GB2312" w:cs="仿宋_GB2312"/>
                <w:color w:val="000000"/>
                <w:kern w:val="0"/>
                <w:sz w:val="21"/>
                <w:szCs w:val="21"/>
                <w:highlight w:val="none"/>
                <w:lang w:bidi="ar"/>
              </w:rPr>
              <w:t>燃气管理条例》(2016年国务院令第</w:t>
            </w:r>
            <w:r>
              <w:rPr>
                <w:rFonts w:hint="eastAsia" w:ascii="仿宋_GB2312" w:hAnsi="仿宋_GB2312" w:eastAsia="仿宋_GB2312" w:cs="仿宋_GB2312"/>
                <w:color w:val="000000"/>
                <w:kern w:val="0"/>
                <w:sz w:val="21"/>
                <w:szCs w:val="21"/>
                <w:highlight w:val="none"/>
                <w:lang w:val="en-US" w:eastAsia="zh-CN" w:bidi="ar"/>
              </w:rPr>
              <w:t>5</w:t>
            </w:r>
            <w:r>
              <w:rPr>
                <w:rFonts w:hint="eastAsia" w:ascii="仿宋_GB2312" w:hAnsi="仿宋_GB2312" w:eastAsia="仿宋_GB2312" w:cs="仿宋_GB2312"/>
                <w:color w:val="000000"/>
                <w:kern w:val="0"/>
                <w:sz w:val="21"/>
                <w:szCs w:val="21"/>
                <w:highlight w:val="none"/>
                <w:lang w:bidi="ar"/>
              </w:rPr>
              <w:t>83号)第四十五条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沙河市城市管理综合行政执法局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w:t>
            </w:r>
          </w:p>
        </w:tc>
        <w:tc>
          <w:tcPr>
            <w:tcW w:w="6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文化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市场</w:t>
            </w: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对擅自安装、使用卫星地面接收设施和违反广播电视设施保护规定行为的处罚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《广播电视设施保护条例》(2000年国务院令第295号)第二十二条、第二十三条，《卫星电视广播地面接收设施管理规定》（2018年国务院令第703号）第十条第三款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noWrap w:val="0"/>
            <w:vAlign w:val="center"/>
          </w:tcPr>
          <w:p>
            <w:pPr>
              <w:widowControl/>
              <w:jc w:val="both"/>
              <w:textAlignment w:val="center"/>
              <w:rPr>
                <w:rFonts w:hint="eastAsia" w:ascii="仿宋_GB2312" w:hAnsi="仿宋_GB2312" w:eastAsia="仿宋_GB2312" w:cs="仿宋_GB2312"/>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34</w:t>
            </w:r>
          </w:p>
        </w:tc>
        <w:tc>
          <w:tcPr>
            <w:tcW w:w="644" w:type="dxa"/>
            <w:vMerge w:val="restart"/>
            <w:noWrap w:val="0"/>
            <w:vAlign w:val="top"/>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市场</w:t>
            </w: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对擅自从事出版物发行业务和擅自设立从事出版物印刷经营活动的企业或者擅自从事印刷经营活动的处罚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《出版物市场管理规定》(2016年)第三十</w:t>
            </w:r>
            <w:r>
              <w:rPr>
                <w:rFonts w:hint="eastAsia" w:ascii="仿宋_GB2312" w:hAnsi="仿宋_GB2312" w:eastAsia="仿宋_GB2312" w:cs="仿宋_GB2312"/>
                <w:color w:val="000000"/>
                <w:kern w:val="0"/>
                <w:sz w:val="21"/>
                <w:szCs w:val="21"/>
                <w:highlight w:val="none"/>
                <w:lang w:eastAsia="zh-CN" w:bidi="ar"/>
              </w:rPr>
              <w:t>一</w:t>
            </w:r>
            <w:r>
              <w:rPr>
                <w:rFonts w:hint="eastAsia" w:ascii="仿宋_GB2312" w:hAnsi="仿宋_GB2312" w:eastAsia="仿宋_GB2312" w:cs="仿宋_GB2312"/>
                <w:color w:val="000000"/>
                <w:kern w:val="0"/>
                <w:sz w:val="21"/>
                <w:szCs w:val="21"/>
                <w:highlight w:val="none"/>
                <w:lang w:bidi="ar"/>
              </w:rPr>
              <w:t>条、《印刷业管理条例》(2017年国务院令第676号)第三十六条、《出版管理条例》(2016年国务院令第666号)第六十一条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restart"/>
            <w:noWrap w:val="0"/>
            <w:vAlign w:val="center"/>
          </w:tcPr>
          <w:p>
            <w:pPr>
              <w:widowControl/>
              <w:jc w:val="both"/>
              <w:textAlignment w:val="center"/>
              <w:rPr>
                <w:rFonts w:hint="eastAsia" w:ascii="仿宋_GB2312" w:hAnsi="仿宋_GB2312" w:eastAsia="仿宋_GB2312" w:cs="仿宋_GB2312"/>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35" w:type="dxa"/>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对擅自从事营业性演出经营活动和非演出场所经营单位擅自举办演出的处罚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《营业性演出管理条例》(2016年国务院令第666号)第四十三条、《营业性演出管理条例实施细则》(2017年文化部修订)第四十六条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continue"/>
            <w:noWrap w:val="0"/>
            <w:vAlign w:val="top"/>
          </w:tcPr>
          <w:p>
            <w:pPr>
              <w:widowControl/>
              <w:jc w:val="center"/>
              <w:textAlignment w:val="center"/>
              <w:rPr>
                <w:rFonts w:hint="eastAsia" w:ascii="仿宋_GB2312" w:hAnsi="仿宋_GB2312" w:eastAsia="仿宋_GB2312" w:cs="仿宋_GB2312"/>
                <w:kern w:val="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435" w:type="dxa"/>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w:t>
            </w:r>
            <w:r>
              <w:rPr>
                <w:rFonts w:hint="eastAsia" w:ascii="仿宋_GB2312" w:hAnsi="仿宋_GB2312" w:eastAsia="仿宋_GB2312" w:cs="仿宋_GB2312"/>
                <w:color w:val="000000"/>
                <w:kern w:val="0"/>
                <w:sz w:val="21"/>
                <w:szCs w:val="21"/>
                <w:lang w:eastAsia="zh-CN" w:bidi="ar"/>
              </w:rPr>
              <w:t>擅</w:t>
            </w:r>
            <w:r>
              <w:rPr>
                <w:rFonts w:hint="eastAsia" w:ascii="仿宋_GB2312" w:hAnsi="仿宋_GB2312" w:eastAsia="仿宋_GB2312" w:cs="仿宋_GB2312"/>
                <w:color w:val="000000"/>
                <w:kern w:val="0"/>
                <w:sz w:val="21"/>
                <w:szCs w:val="21"/>
                <w:lang w:bidi="ar"/>
              </w:rPr>
              <w:t>自举办</w:t>
            </w:r>
            <w:r>
              <w:rPr>
                <w:rFonts w:hint="eastAsia" w:ascii="仿宋_GB2312" w:hAnsi="仿宋_GB2312" w:eastAsia="仿宋_GB2312" w:cs="仿宋_GB2312"/>
                <w:color w:val="000000"/>
                <w:kern w:val="0"/>
                <w:sz w:val="21"/>
                <w:szCs w:val="21"/>
                <w:lang w:eastAsia="zh-CN" w:bidi="ar"/>
              </w:rPr>
              <w:t>募捐义演</w:t>
            </w:r>
            <w:r>
              <w:rPr>
                <w:rFonts w:hint="eastAsia" w:ascii="仿宋_GB2312" w:hAnsi="仿宋_GB2312" w:eastAsia="仿宋_GB2312" w:cs="仿宋_GB2312"/>
                <w:color w:val="000000"/>
                <w:kern w:val="0"/>
                <w:sz w:val="21"/>
                <w:szCs w:val="21"/>
                <w:lang w:bidi="ar"/>
              </w:rPr>
              <w:t>或者其他公益性</w:t>
            </w:r>
            <w:r>
              <w:rPr>
                <w:rFonts w:hint="eastAsia" w:ascii="仿宋_GB2312" w:hAnsi="仿宋_GB2312" w:eastAsia="仿宋_GB2312" w:cs="仿宋_GB2312"/>
                <w:color w:val="000000"/>
                <w:kern w:val="0"/>
                <w:sz w:val="21"/>
                <w:szCs w:val="21"/>
                <w:lang w:eastAsia="zh-CN" w:bidi="ar"/>
              </w:rPr>
              <w:t>演</w:t>
            </w:r>
            <w:r>
              <w:rPr>
                <w:rFonts w:hint="eastAsia" w:ascii="仿宋_GB2312" w:hAnsi="仿宋_GB2312" w:eastAsia="仿宋_GB2312" w:cs="仿宋_GB2312"/>
                <w:color w:val="000000"/>
                <w:kern w:val="0"/>
                <w:sz w:val="21"/>
                <w:szCs w:val="21"/>
                <w:lang w:bidi="ar"/>
              </w:rPr>
              <w:t>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《营业性演出管理条实施细则》(2017年文化部修订)第四十九条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37</w:t>
            </w:r>
          </w:p>
        </w:tc>
        <w:tc>
          <w:tcPr>
            <w:tcW w:w="644" w:type="dxa"/>
            <w:vMerge w:val="restart"/>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 </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市场</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对擅自从事互联网上网服务经营活动和互联网上网服务营业场所经营单位违反相关规定的处罚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《互联网上网服务营业场所管理条例》(2019年国务院令第710号)第二十七条、第三十</w:t>
            </w:r>
            <w:r>
              <w:rPr>
                <w:rFonts w:hint="eastAsia" w:ascii="仿宋_GB2312" w:hAnsi="仿宋_GB2312" w:eastAsia="仿宋_GB2312" w:cs="仿宋_GB2312"/>
                <w:color w:val="000000"/>
                <w:kern w:val="0"/>
                <w:sz w:val="21"/>
                <w:szCs w:val="21"/>
                <w:lang w:eastAsia="zh-CN" w:bidi="ar"/>
              </w:rPr>
              <w:t>一</w:t>
            </w:r>
            <w:r>
              <w:rPr>
                <w:rFonts w:hint="eastAsia" w:ascii="仿宋_GB2312" w:hAnsi="仿宋_GB2312" w:eastAsia="仿宋_GB2312" w:cs="仿宋_GB2312"/>
                <w:color w:val="000000"/>
                <w:kern w:val="0"/>
                <w:sz w:val="21"/>
                <w:szCs w:val="21"/>
                <w:lang w:bidi="ar"/>
              </w:rPr>
              <w:t>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restart"/>
            <w:noWrap w:val="0"/>
            <w:vAlign w:val="center"/>
          </w:tcPr>
          <w:p>
            <w:pPr>
              <w:widowControl/>
              <w:jc w:val="both"/>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38</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对违反文物保护管理规定的处罚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《中华人民共和国文物保护法》(2017年修正)第六十六条、第七十一条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continue"/>
            <w:noWrap w:val="0"/>
            <w:vAlign w:val="center"/>
          </w:tcPr>
          <w:p>
            <w:pPr>
              <w:widowControl/>
              <w:jc w:val="both"/>
              <w:textAlignment w:val="center"/>
              <w:rPr>
                <w:rFonts w:hint="eastAsia" w:ascii="仿宋_GB2312" w:hAnsi="仿宋_GB2312" w:eastAsia="仿宋_GB2312" w:cs="仿宋_GB2312"/>
                <w:kern w:val="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39</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对擅自从事娱乐场所经营活动和歌舞娱乐场所、游艺娱乐场、娱乐场所违反规定的处罚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《娱乐场所管理办法》(2017修正)第二十八条、第二十九条、第三十条，《娱乐场所管理条例》(2016年修正)第四十一条、第四十八条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vMerge w:val="continue"/>
            <w:noWrap w:val="0"/>
            <w:vAlign w:val="center"/>
          </w:tcPr>
          <w:p>
            <w:pPr>
              <w:widowControl/>
              <w:jc w:val="both"/>
              <w:textAlignment w:val="center"/>
              <w:rPr>
                <w:rFonts w:hint="eastAsia" w:ascii="仿宋_GB2312" w:hAnsi="仿宋_GB2312" w:eastAsia="仿宋_GB2312" w:cs="仿宋_GB2312"/>
                <w:kern w:val="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40</w:t>
            </w:r>
          </w:p>
        </w:tc>
        <w:tc>
          <w:tcPr>
            <w:tcW w:w="644" w:type="dxa"/>
            <w:noWrap w:val="0"/>
            <w:vAlign w:val="top"/>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市场</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abs>
                <w:tab w:val="left" w:pos="822"/>
              </w:tabs>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对擅自从事电影放映经营活动的处罚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《中华人民共和国电影产业促进法》(2016年)第四十七条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yellow"/>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沙河市文化广电体育和旅游局</w:t>
            </w:r>
          </w:p>
        </w:tc>
        <w:tc>
          <w:tcPr>
            <w:tcW w:w="1229" w:type="dxa"/>
            <w:noWrap w:val="0"/>
            <w:vAlign w:val="center"/>
          </w:tcPr>
          <w:p>
            <w:pPr>
              <w:widowControl/>
              <w:jc w:val="both"/>
              <w:textAlignment w:val="center"/>
              <w:rPr>
                <w:rFonts w:hint="eastAsia" w:ascii="仿宋_GB2312" w:hAnsi="仿宋_GB2312" w:eastAsia="仿宋_GB2312" w:cs="仿宋_GB2312"/>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41</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对非法转让</w:t>
            </w:r>
            <w:r>
              <w:rPr>
                <w:rFonts w:hint="eastAsia" w:ascii="仿宋_GB2312" w:hAnsi="仿宋_GB2312" w:eastAsia="仿宋_GB2312" w:cs="仿宋_GB2312"/>
                <w:color w:val="000000"/>
                <w:kern w:val="0"/>
                <w:sz w:val="21"/>
                <w:szCs w:val="21"/>
                <w:lang w:eastAsia="zh-CN" w:bidi="ar"/>
              </w:rPr>
              <w:t>宅</w:t>
            </w:r>
            <w:r>
              <w:rPr>
                <w:rFonts w:hint="eastAsia" w:ascii="仿宋_GB2312" w:hAnsi="仿宋_GB2312" w:eastAsia="仿宋_GB2312" w:cs="仿宋_GB2312"/>
                <w:color w:val="000000"/>
                <w:kern w:val="0"/>
                <w:sz w:val="21"/>
                <w:szCs w:val="21"/>
                <w:lang w:bidi="ar"/>
              </w:rPr>
              <w:t>基地行为的处</w:t>
            </w:r>
            <w:r>
              <w:rPr>
                <w:rFonts w:hint="eastAsia" w:ascii="仿宋_GB2312" w:hAnsi="仿宋_GB2312" w:eastAsia="仿宋_GB2312" w:cs="仿宋_GB2312"/>
                <w:color w:val="000000"/>
                <w:kern w:val="0"/>
                <w:sz w:val="21"/>
                <w:szCs w:val="21"/>
                <w:lang w:eastAsia="zh-CN" w:bidi="ar"/>
              </w:rPr>
              <w:t>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《河北省农村宅基地管理办法》(2002年)第二十条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沙河市农业农村局</w:t>
            </w:r>
          </w:p>
        </w:tc>
        <w:tc>
          <w:tcPr>
            <w:tcW w:w="1229" w:type="dxa"/>
            <w:noWrap w:val="0"/>
            <w:vAlign w:val="top"/>
          </w:tcPr>
          <w:p>
            <w:pPr>
              <w:widowControl/>
              <w:jc w:val="center"/>
              <w:textAlignment w:val="center"/>
              <w:rPr>
                <w:rFonts w:hint="eastAsia" w:ascii="仿宋_GB2312" w:hAnsi="仿宋_GB2312" w:eastAsia="仿宋_GB2312" w:cs="仿宋_GB2312"/>
                <w:kern w:val="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435" w:type="dxa"/>
            <w:tcBorders>
              <w:top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42</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tcBorders>
              <w:top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对未取得动物防疫条件合格证，兴办动物</w:t>
            </w:r>
            <w:r>
              <w:rPr>
                <w:rFonts w:hint="eastAsia" w:ascii="仿宋_GB2312" w:hAnsi="仿宋_GB2312" w:eastAsia="仿宋_GB2312" w:cs="仿宋_GB2312"/>
                <w:color w:val="000000"/>
                <w:kern w:val="0"/>
                <w:sz w:val="21"/>
                <w:szCs w:val="21"/>
                <w:lang w:eastAsia="zh-CN" w:bidi="ar"/>
              </w:rPr>
              <w:t>饲</w:t>
            </w:r>
            <w:r>
              <w:rPr>
                <w:rFonts w:hint="eastAsia" w:ascii="仿宋_GB2312" w:hAnsi="仿宋_GB2312" w:eastAsia="仿宋_GB2312" w:cs="仿宋_GB2312"/>
                <w:color w:val="000000"/>
                <w:kern w:val="0"/>
                <w:sz w:val="21"/>
                <w:szCs w:val="21"/>
                <w:lang w:bidi="ar"/>
              </w:rPr>
              <w:t>养场(养殖小区)和隔离场所，动物屠宰加工场所，以及动物和动物产品无害化处理场所的处罚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《中华人民共和国动物防疫法》(2015年修正)第七十七条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沙河市农业农村局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43</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对未依法取得种子生产经营许可证或者未按照种子生产经营许可证的规定生产经营种子，或者伪造、变造、买卖、租借种子生产经营许可证的处罚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《中华人民共和国种子法》(2015年修正)第七十七条、《河北省种子管理条例》(2018年)第四十四条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沙河市农业农村局</w:t>
            </w:r>
          </w:p>
        </w:tc>
        <w:tc>
          <w:tcPr>
            <w:tcW w:w="1229" w:type="dxa"/>
            <w:noWrap w:val="0"/>
            <w:vAlign w:val="center"/>
          </w:tcPr>
          <w:p>
            <w:pPr>
              <w:widowControl/>
              <w:jc w:val="both"/>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44</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对农药经营者经营劣质农药的处罚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《农药管理条例》(2017年修正)第五十六条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沙河市农业农村局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45</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对农村村民未经批准或者采取欺骗手段骗取批准非法占用土地建住宅的处罚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《中华人民共和国土地管理法》(2019年修正)第七十八条、《河北省土地管理条例》(2014年修正)第六十六条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沙河市农业农村局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46</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安全生产</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对未按规定设置机构或者配备人员、主要负责人和安全管理人员未经考核合格、未按规定培训教育、未按规定制定预案或演练、特种作业人员未经培训并取得资格上岗作业的处罚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《中华人民共和国安全生产法》(2014年修改)第九十四条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47</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对生产经营单位违规发包、出租的处罚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《中华人民共和国安全生产法》(2014年修改)第一百条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48</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对未签订安全生产管理协议或者未指定专职安全生产管理人员进行安全检查与协调的处罚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《中华人民共和国安全生产法》(2014年修改)第一百零一条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49</w:t>
            </w:r>
          </w:p>
        </w:tc>
        <w:tc>
          <w:tcPr>
            <w:tcW w:w="644" w:type="dxa"/>
            <w:vMerge w:val="restart"/>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安全生产</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安全生产</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安全生产</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对“二合一”或距离不符合安全要求、生产经营场所和员工宿舍出口不符合要求的处罚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《中华人民共和国安全生产法》(2014年修改)第一百零二条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对订立免除或减轻责任协议的处罚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《中华人民共和国安全生产法》(2014年修改)第一百零三条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51</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《河北省安全生产条例》(2017年修正)第七十三条、《河北省安全生产风险管控与隐患治理规定》(省政府令〔2018〕第2号)第二十四条、第二十五条、第二十六条、第二十七条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52</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对生产经营单位未采取措施消除事故隐患的处罚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《中华人民共和国安全生产法》(2014年修正)第九十九条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53</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对生产经营单位违反规定，拒绝、阻碍负有安全生产监督管理职责的部门依法实施监督检查的处罚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《中华人民共和国安全生产法》(2014年修正)第一百零五条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54</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对生产经营单位的主要负责人未履行法定的安全生产管理职责的处罚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《中华人民共和国安全生产法》(2014年修正)第九十一条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55</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对违反安全生产事故隐患排查治理规定行为的处罚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《安全生产事故隐患排查治理暂行规定》(2007年国家安全生产监督管理总局令第16号)第二十六条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56</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对生产经营单位未履行安全生产管理职责行为的处罚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《中华人民共和国安全生产法》(2014年修正)第九十六条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57</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对烟花爆竹经营单位出租、出借、转让、买卖烟花爆竹经营许可证的处罚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《烟花爆竹经营许可实施办法》(2013年国家安全生产管理总局令第65号)第三十六条、第三十九条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58</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15"/>
                <w:szCs w:val="15"/>
                <w:lang w:val="en-US" w:eastAsia="zh-CN" w:bidi="ar"/>
              </w:rPr>
              <w:t>对烟花爆竹零售经营者变更零售点名称、主要负责人或者经营场所，未重新办理零售许可证；或者存放的烟花爆竹数量超过零售许可证载明范围的处罚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《烟花爆竹经营许可实施办法》(2013年国家安全生产管理总局令第65号)第三十五条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59</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对烟花爆竹零售经营者销售非法生产、经营的烟花爆竹的处罚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《烟花爆竹安全管理条例》(2016年修改)第三十八条、《烟花爆竹经营许可实施办法》(2013年国家安全生产管理总局令第65号)第三十四条、第三十九条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沙河市应急管理局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w:t>
            </w:r>
          </w:p>
        </w:tc>
        <w:tc>
          <w:tcPr>
            <w:tcW w:w="6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民族事务</w:t>
            </w: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对未按照要求生产、经营清真食品的处罚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《河北省清真食品管理条例》(1999年)第十七条第(一)(二) (三) (四) (六)(七) (八)项</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61</w:t>
            </w:r>
          </w:p>
        </w:tc>
        <w:tc>
          <w:tcPr>
            <w:tcW w:w="6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140" w:type="dxa"/>
            <w:noWrap w:val="0"/>
            <w:vAlign w:val="center"/>
          </w:tcPr>
          <w:p>
            <w:pPr>
              <w:keepNext w:val="0"/>
              <w:keepLines w:val="0"/>
              <w:widowControl/>
              <w:suppressLineNumbers w:val="0"/>
              <w:jc w:val="both"/>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对农业经营主体因未妥善采取综合利用措施,对农产品采收后的秸秆及树叶、荒草予以处理,致使露天焚烧的处罚</w:t>
            </w:r>
          </w:p>
        </w:tc>
        <w:tc>
          <w:tcPr>
            <w:tcW w:w="176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《河北省人民代表大会常务委员会关于促进农作物特杆综合利用和禁止露天焚烧的决定》(2018年7月27日)第二十五条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赋权下放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邢台市生态环境局沙河分局</w:t>
            </w:r>
          </w:p>
        </w:tc>
        <w:tc>
          <w:tcPr>
            <w:tcW w:w="1229" w:type="dxa"/>
            <w:noWrap w:val="0"/>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批准下放后实施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62</w:t>
            </w:r>
          </w:p>
        </w:tc>
        <w:tc>
          <w:tcPr>
            <w:tcW w:w="644" w:type="dxa"/>
            <w:vMerge w:val="restart"/>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交通运输</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对未经许可擅自进行涉路施工活动的处罚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《公路安全保护条例》(2011年国务院令第593号)第六十二条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我市县道：赵辛线2.2KM、武新线3.4KM、皇褡17.4KM、固坡12.8KM、刘西线5.9KM。我市重要乡道：十孔线12.5KM、孔渡线9.6KM、刘左线8.4KM、御通线16KM、庙柴线17KM、纬三路14KM、新庙柴13KM、南环西延9.3KM、钢铁路南延11.5KM。依照相关的法律法规，以上县道和重要乡道保留沙河市交通运输局所有。我市其它乡道和各村道路路政管理职责可以下放。</w:t>
            </w:r>
          </w:p>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63</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对违反规定实施危及或者可能危及公路安全行为的处罚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《中华人民共和国公路法》(2017年修正)第七十六条第(三)(四)(六)项</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64</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对损坏、污染公路路面及影响公路畅通，或者将公路作为试车场地的违法行为的处罚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《中华人民共和国公路法》(2017年修正)第七十七条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65</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对在公路用地范围内设置公路标志以外的其他标志的处罚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《中华人民共和国公路法》(2017年修正)第七十九条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66</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对在公路建筑控制区内违反规定行为的处罚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《公路安全保护条例》(2011年国务院令第593号)第五十六条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67</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yellow"/>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对车辆装载物触地拖行，掉落、遗洒或者飘散，造成公路路面损坏、污染的处罚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《公路安全保护条例》(2011年国务院令第593号)第六十九条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vMerge w:val="continue"/>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68</w:t>
            </w:r>
          </w:p>
        </w:tc>
        <w:tc>
          <w:tcPr>
            <w:tcW w:w="6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商务</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对再生资源回收经营者未按规定期限备案的处罚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《河北省再生资源回收管理规定》(2012年)第二十条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沙河市商务局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69</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水务</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对未经批准擅自取水；未依照批准的取水许可规定条件取水的处罚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《中华人民共和国水法》(2016年修正)第六十九条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沙河市水务局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70</w:t>
            </w:r>
          </w:p>
        </w:tc>
        <w:tc>
          <w:tcPr>
            <w:tcW w:w="644" w:type="dxa"/>
            <w:vMerge w:val="restart"/>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水务</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对在堤防安全保护区内进行打井、钻探、爆破、挖筑鱼塘、采石、取土等危害堤防安全的活动；非管理人员操作河道上的涵闸闸门或者干扰河道管理单位正常工作的处罚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《中华人民共和国河道管理条例》(2018年国务院令第698号)第四十五条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沙河市水务局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71</w:t>
            </w:r>
          </w:p>
        </w:tc>
        <w:tc>
          <w:tcPr>
            <w:tcW w:w="644"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对违反河道管理行为的处罚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《中华人民共和国河道管理条例》(2018年国务院令第698号)第四十四条、《中华人民共和国防洪法》(2016年修正)第五十五条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乡镇人民政府（街道办事处）</w:t>
            </w:r>
          </w:p>
        </w:tc>
        <w:tc>
          <w:tcPr>
            <w:tcW w:w="123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赋权下放</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6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沙河市水务局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72</w:t>
            </w:r>
          </w:p>
        </w:tc>
        <w:tc>
          <w:tcPr>
            <w:tcW w:w="6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对盗伐、滥伐林木行为的处罚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《中华人民共和国森林法》(2019年修正)第七十六条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i w:val="0"/>
                <w:color w:val="000000"/>
                <w:kern w:val="0"/>
                <w:sz w:val="21"/>
                <w:szCs w:val="21"/>
                <w:highlight w:val="none"/>
                <w:u w:val="none"/>
                <w:lang w:val="en-US" w:eastAsia="zh-CN" w:bidi="ar"/>
              </w:rPr>
              <w:t>乡镇人民政府（街道办事处）</w:t>
            </w:r>
          </w:p>
        </w:tc>
        <w:tc>
          <w:tcPr>
            <w:tcW w:w="1230"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赋权下放</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沙河市自然资源和规划局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08" w:type="dxa"/>
            <w:gridSpan w:val="9"/>
            <w:noWrap w:val="0"/>
            <w:vAlign w:val="center"/>
          </w:tcPr>
          <w:p>
            <w:pPr>
              <w:widowControl/>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二、委托实施的行政处罚事项(9项)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73</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宗教管理</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对临时活动地点的活动违反相关规定的处罚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《宗教事务条例》(2017年国务院令第686号)第六十六条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w w:val="80"/>
                <w:sz w:val="18"/>
                <w:szCs w:val="18"/>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p>
            <w:pPr>
              <w:widowControl/>
              <w:jc w:val="left"/>
              <w:textAlignment w:val="center"/>
              <w:rPr>
                <w:rFonts w:hint="eastAsia" w:ascii="仿宋_GB2312" w:hAnsi="仿宋_GB2312" w:eastAsia="仿宋_GB2312" w:cs="仿宋_GB2312"/>
                <w:kern w:val="0"/>
                <w:sz w:val="21"/>
                <w:szCs w:val="21"/>
                <w:lang w:val="en-US" w:eastAsia="zh-CN" w:bidi="ar-SA"/>
              </w:rPr>
            </w:pPr>
          </w:p>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74</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对为违法宗教活动提供条件的处罚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《宗教事务条例》(2017年国务院令第686号)第七十一条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75</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对大型宗教活动过程中发生危害国家安全、公共安全或者严重破坏社会秩序情况的处罚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《宗教事务条例》(2017年国务院令第686号)第六十四条第一款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76</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宗教管理</w:t>
            </w: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对擅自举行大型宗教活动的处罚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《宗教事务条例》(2017年国务院令第686号)第六十四条第二款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77</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对非宗教团体、非宗教院校、非宗教活动场所、非指定的临时活动地点组织，举行宗教活动，接受宗教性捐赠的处罚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《宗教事务条例》(2017年国务院令第686号)第六十九条第二款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78</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对在宗教院校以外的学校及其他教育机构传教、举行宗教活动、成立宗教组织、设立宗教活动场所的处罚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《宗教事务条例》(2017年国务院令第686号)第七十条第二款</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43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79</w:t>
            </w:r>
          </w:p>
        </w:tc>
        <w:tc>
          <w:tcPr>
            <w:tcW w:w="644"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宗教管理</w:t>
            </w:r>
          </w:p>
        </w:tc>
        <w:tc>
          <w:tcPr>
            <w:tcW w:w="1140"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13"/>
                <w:szCs w:val="13"/>
                <w:lang w:val="en-US" w:eastAsia="zh-CN" w:bidi="ar"/>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766"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  《宗教事务条例》（2017年国务院令第686号）第七十三条</w:t>
            </w:r>
          </w:p>
        </w:tc>
        <w:tc>
          <w:tcPr>
            <w:tcW w:w="1444"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综合行政执法队（综合指挥和信息化网络中心、社会治安综合治理中心）</w:t>
            </w:r>
          </w:p>
        </w:tc>
        <w:tc>
          <w:tcPr>
            <w:tcW w:w="1256"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沙河市民族宗教事务局</w:t>
            </w:r>
          </w:p>
        </w:tc>
        <w:tc>
          <w:tcPr>
            <w:tcW w:w="1230"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委托下放</w:t>
            </w:r>
          </w:p>
        </w:tc>
        <w:tc>
          <w:tcPr>
            <w:tcW w:w="964"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435"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w:t>
            </w:r>
          </w:p>
        </w:tc>
        <w:tc>
          <w:tcPr>
            <w:tcW w:w="644"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40"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对假冒宗教教职人员进行宗教活动或者骗取钱财等违法活动的处罚</w:t>
            </w:r>
          </w:p>
        </w:tc>
        <w:tc>
          <w:tcPr>
            <w:tcW w:w="1766"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《宗教事务条例》（2017年国务院令第686号）第七十四条</w:t>
            </w:r>
          </w:p>
        </w:tc>
        <w:tc>
          <w:tcPr>
            <w:tcW w:w="1444"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综合行政执法队（综合指挥和信息化网络中心、社会治安综合治理中心）</w:t>
            </w:r>
          </w:p>
        </w:tc>
        <w:tc>
          <w:tcPr>
            <w:tcW w:w="1256"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沙河市民族宗教事务局</w:t>
            </w:r>
          </w:p>
        </w:tc>
        <w:tc>
          <w:tcPr>
            <w:tcW w:w="1230"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委托下放</w:t>
            </w:r>
          </w:p>
        </w:tc>
        <w:tc>
          <w:tcPr>
            <w:tcW w:w="964"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沙河市民族宗教事务局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35"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w:t>
            </w:r>
          </w:p>
        </w:tc>
        <w:tc>
          <w:tcPr>
            <w:tcW w:w="644"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 输</w:t>
            </w:r>
          </w:p>
        </w:tc>
        <w:tc>
          <w:tcPr>
            <w:tcW w:w="1140" w:type="dxa"/>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对机动车维修经营者使用假冒伪劣配件维修机动车，承修巳报废的机动车或者擅自改装机动车的处罚</w:t>
            </w:r>
          </w:p>
        </w:tc>
        <w:tc>
          <w:tcPr>
            <w:tcW w:w="1766" w:type="dxa"/>
            <w:noWrap w:val="0"/>
            <w:vAlign w:val="center"/>
          </w:tcPr>
          <w:p>
            <w:pPr>
              <w:widowControl/>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《中华人民共和国道路运输条例》(2019年国务院令第709号)七十二条、《机动车维修管理规定》(2019年交通运输部令第20号)第五十一条</w:t>
            </w:r>
          </w:p>
        </w:tc>
        <w:tc>
          <w:tcPr>
            <w:tcW w:w="1444"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eastAsia="zh-CN"/>
              </w:rPr>
              <w:t>综合行政执法队（综合指挥和信息化网络中心、社会治安综合治理中心）</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交通运输局</w:t>
            </w:r>
          </w:p>
        </w:tc>
        <w:tc>
          <w:tcPr>
            <w:tcW w:w="123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委托下放</w:t>
            </w:r>
          </w:p>
        </w:tc>
        <w:tc>
          <w:tcPr>
            <w:tcW w:w="96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沙河市交通运输局</w:t>
            </w:r>
          </w:p>
        </w:tc>
        <w:tc>
          <w:tcPr>
            <w:tcW w:w="1229" w:type="dxa"/>
            <w:noWrap w:val="0"/>
            <w:vAlign w:val="top"/>
          </w:tcPr>
          <w:p>
            <w:pPr>
              <w:widowControl/>
              <w:jc w:val="left"/>
              <w:textAlignment w:val="center"/>
              <w:rPr>
                <w:rFonts w:hint="eastAsia" w:ascii="仿宋_GB2312" w:hAnsi="仿宋_GB2312" w:eastAsia="仿宋_GB2312" w:cs="仿宋_GB2312"/>
                <w:kern w:val="0"/>
                <w:sz w:val="21"/>
                <w:szCs w:val="21"/>
                <w:lang w:val="en-US" w:eastAsia="zh-CN" w:bidi="ar-SA"/>
              </w:rPr>
            </w:pPr>
          </w:p>
        </w:tc>
      </w:tr>
    </w:tbl>
    <w:p>
      <w:pPr>
        <w:jc w:val="both"/>
        <w:rPr>
          <w:rFonts w:hint="eastAsia" w:ascii="仿宋_GB2312" w:hAnsi="仿宋_GB2312" w:eastAsia="仿宋_GB2312" w:cs="仿宋_GB231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10E31"/>
    <w:rsid w:val="1DA12DA3"/>
    <w:rsid w:val="3BF5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不二臣</cp:lastModifiedBy>
  <dcterms:modified xsi:type="dcterms:W3CDTF">2025-04-11T08:19:16Z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021B1DD7063A4265B32C42C4BD62C115</vt:lpwstr>
  </property>
</Properties>
</file>