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drawing>
          <wp:anchor distT="0" distB="0" distL="114300" distR="114300" simplePos="0" relativeHeight="251665408" behindDoc="0" locked="0" layoutInCell="1" allowOverlap="1">
            <wp:simplePos x="0" y="0"/>
            <wp:positionH relativeFrom="column">
              <wp:posOffset>-406400</wp:posOffset>
            </wp:positionH>
            <wp:positionV relativeFrom="paragraph">
              <wp:posOffset>2153920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9"/>
                    <a:stretch>
                      <a:fillRect/>
                    </a:stretch>
                  </pic:blipFill>
                  <pic:spPr>
                    <a:xfrm>
                      <a:off x="0" y="0"/>
                      <a:ext cx="2159000" cy="131064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1800860</wp:posOffset>
            </wp:positionH>
            <wp:positionV relativeFrom="paragraph">
              <wp:posOffset>2153920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0"/>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4027805</wp:posOffset>
            </wp:positionH>
            <wp:positionV relativeFrom="paragraph">
              <wp:posOffset>2141220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1"/>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-2783205</wp:posOffset>
                </wp:positionH>
                <wp:positionV relativeFrom="paragraph">
                  <wp:posOffset>2138680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219.15pt;margin-top:168.4pt;height:113.95pt;width:712.85pt;z-index:251662336;mso-width-relative:page;mso-height-relative:page;" coordorigin="-3504,4387" coordsize="19200,2716" o:gfxdata="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FgAAAGRycy9QSwECFAAUAAAACACHTuJA6dSH190AAAAMAQAADwAAAAAAAAABACAAAAA4&#10;AAAAZHJzL2Rvd25yZXYueG1sUEsBAhQAFAAAAAgAh07iQHg9uwy3AwAAgQwAAA4AAAAAAAAAAQAg&#10;AAAAQgEAAGRycy9lMm9Eb2MueG1sUEsFBgAAAAAGAAYAWQEAAGsHAAAAAA==&#10;">
                <o:lock v:ext="edit" aspectratio="f"/>
                <v:rect id="矩形 19" o:spid="_x0000_s1026" o:spt="1" style="position:absolute;left:-381;top:4387;height:2457;width:1834;v-text-anchor:middle;" fillcolor="#0176AB" filled="t" stroked="f" coordsize="21600,21600" o:gfxdata="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3/j978AAAADdAAAADwAAAAAAAAABACAAAAA4AAAAZHJzL2Rvd25y&#10;ZXYueG1sUEsBAhQAFAAAAAgAh07iQDMvBZ47AAAAOQAAABAAAAAAAAAAAQAgAAAAJQEAAGRycy9z&#10;aGFwZXhtbC54bWxQSwUGAAAAAAYABgBbAQAAzwMAAAAA&#10;">
                  <v:fill on="t" focussize="0,0"/>
                  <v:stroke on="f"/>
                  <v:imagedata o:title=""/>
                  <o:lock v:ext="edit" aspectratio="f"/>
                </v:rect>
                <v:shape id="矩形 24" o:spid="_x0000_s1026" o:spt="100" style="position:absolute;left:-3504;top:6953;height:150;width:11815;" fillcolor="#E5AA57" filled="t" stroked="f" coordsize="7501732,94593" o:gfxdata="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fHV+jsAAAADdAAAADwAAAAAAAAABACAAAAA4AAAAZHJzL2Rvd25y&#10;ZXYueG1sUEsBAhQAFAAAAAgAh07iQDMvBZ47AAAAOQAAABAAAAAAAAAAAQAgAAAAJQEAAGRycy9z&#10;aGFwZXhtbC54bWxQSwUGAAAAAAYABgBbAQAAzwM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&#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fRoQduQAAAN0AAAAPAAAAAAAAAAEAIAAAADgAAABkcnMvZG93bnJldi54bWxQ&#10;SwECFAAUAAAACACHTuJAMy8FnjsAAAA5AAAAEAAAAAAAAAABACAAAAAeAQAAZHJzL3NoYXBleG1s&#10;LnhtbFBLBQYAAAAABgAGAFsBAADIAw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59264" behindDoc="1" locked="0" layoutInCell="1" allowOverlap="1">
            <wp:simplePos x="0" y="0"/>
            <wp:positionH relativeFrom="margin">
              <wp:posOffset>-2950210</wp:posOffset>
            </wp:positionH>
            <wp:positionV relativeFrom="margin">
              <wp:posOffset>653415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mc:AlternateContent>
          <mc:Choice Requires="wpg">
            <w:drawing>
              <wp:anchor distT="0" distB="0" distL="114300" distR="114300" simplePos="0" relativeHeight="251661312"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1312;mso-width-relative:page;mso-height-relative:page;" coordorigin="12098,1831" coordsize="9377,2969" o:gfxdata="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W&#10;AAAAZHJzL1BLAQIUABQAAAAIAIdO4kCVBwvF2wAAAAsBAAAPAAAAAAAAAAEAIAAAADgAAABkcnMv&#10;ZG93bnJldi54bWxQSwECFAAUAAAACACHTuJA80AkykADAABECQAADgAAAAAAAAABACAAAABAAQAA&#10;ZHJzL2Uyb0RvYy54bWxQSwUGAAAAAAYABgBZAQAA8gYAAAAA&#10;">
                <o:lock v:ext="edit" aspectratio="f"/>
                <v:shape id="文本框 32" o:spid="_x0000_s1026" o:spt="202" type="#_x0000_t202" style="position:absolute;left:13325;top:1831;height:1348;width:4462;" filled="f" stroked="f" coordsize="21600,21600" o:gfxdata="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qDuuy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Qg1wy9AAAA2gAAAA8AAAAAAAAAAQAg&#10;AAAAOAAAAGRycy9kb3ducmV2LnhtbFBLAQIUABQAAAAIAIdO4kAzLwWeOwAAADkAAAAVAAAAAAAA&#10;AAEAIAAAACIBAABkcnMvZ3JvdXBzaGFwZXhtbC54bWxQSwUGAAAAAAYABgBgAQAA3wMAAAAA&#10;">
                  <o:lock v:ext="edit" aspectratio="f"/>
                  <v:shape id="文本框 32" o:spid="_x0000_s1026" o:spt="202" type="#_x0000_t202" style="position:absolute;left:6119;top:2843;height:1421;width:9377;" filled="f" stroked="f" coordsize="21600,21600" o:gfxdata="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sIDe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决算公开文本</w:t>
                          </w:r>
                        </w:p>
                      </w:txbxContent>
                    </v:textbox>
                  </v:shape>
                  <v:line id="_x0000_s1026" o:spid="_x0000_s1026" o:spt="20" style="position:absolute;left:6226;top:4450;height:0;width:8700;" filled="f" stroked="t" coordsize="21600,21600" o:gfxdata="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tPjOe+AAAA2gAAAA8AAAAAAAAAAQAgAAAAOAAAAGRycy9kb3ducmV2&#10;LnhtbFBLAQIUABQAAAAIAIdO4kAzLwWeOwAAADkAAAAQAAAAAAAAAAEAIAAAACMBAABkcnMvc2hh&#10;cGV4bWwueG1sUEsFBgAAAAAGAAYAWwEAAM0DAAAAAA==&#10;">
                    <v:fill on="f" focussize="0,0"/>
                    <v:stroke weight="2.25pt" color="#325395 [3204]" miterlimit="8" joinstyle="miter" dashstyle="1 1"/>
                    <v:imagedata o:title=""/>
                    <o:lock v:ext="edit" aspectratio="f"/>
                  </v:line>
                </v:group>
              </v:group>
            </w:pict>
          </mc:Fallback>
        </mc:AlternateContent>
      </w:r>
      <w:r>
        <w:drawing>
          <wp:anchor distT="0" distB="0" distL="114300" distR="114300" simplePos="0" relativeHeight="251663360"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FmpZa/YAAAACwEAAA8AAAAAAAAAAQAgAAAA&#10;OAAAAGRycy9kb3ducmV2LnhtbFBLAQIUABQAAAAIAIdO4kBbvW5XvAEAAF8DAAAOAAAAAAAAAAEA&#10;IAAAAD0BAABkcnMvZTJvRG9jLnhtbFBLBQYAAAAABgAGAFkBAABrBQ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hint="eastAsia"/>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135006</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：沙河市朱庄南灌区事务中心</w:t>
      </w:r>
    </w:p>
    <w:p>
      <w:pPr>
        <w:spacing w:line="600" w:lineRule="auto"/>
        <w:jc w:val="left"/>
        <w:rPr>
          <w:rFonts w:hint="default" w:ascii="楷体_GB2312" w:hAnsi="楷体_GB2312" w:eastAsia="楷体_GB2312" w:cs="楷体_GB2312"/>
          <w:color w:val="000000"/>
          <w:sz w:val="40"/>
          <w:szCs w:val="40"/>
          <w:lang w:val="en-US" w:eastAsia="zh-CN"/>
        </w:rPr>
      </w:pPr>
    </w:p>
    <w:p>
      <w:pPr>
        <w:spacing w:line="600" w:lineRule="auto"/>
        <w:jc w:val="center"/>
        <w:rPr>
          <w:rFonts w:hint="eastAsia" w:ascii="楷体_GB2312" w:hAnsi="楷体_GB2312" w:eastAsia="楷体_GB2312" w:cs="楷体_GB2312"/>
          <w:color w:val="000000"/>
          <w:sz w:val="40"/>
          <w:szCs w:val="40"/>
        </w:rPr>
      </w:pPr>
    </w:p>
    <w:p>
      <w:pPr>
        <w:spacing w:line="600" w:lineRule="auto"/>
        <w:jc w:val="center"/>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center"/>
        <w:rPr>
          <w:rFonts w:ascii="黑体" w:hAnsi="黑体" w:eastAsia="黑体" w:cs="黑体"/>
          <w:b/>
          <w:bCs/>
          <w:sz w:val="72"/>
          <w:szCs w:val="96"/>
        </w:rPr>
      </w:pPr>
      <w:r>
        <w:rPr>
          <w:rFonts w:hint="eastAsia" w:ascii="楷体_GB2312" w:hAnsi="楷体_GB2312" w:eastAsia="楷体_GB2312" w:cs="楷体_GB2312"/>
          <w:color w:val="000000"/>
          <w:sz w:val="40"/>
          <w:szCs w:val="40"/>
        </w:rPr>
        <w:t>二〇二四年</w:t>
      </w:r>
      <w:r>
        <w:rPr>
          <w:rFonts w:hint="eastAsia" w:ascii="楷体_GB2312" w:hAnsi="楷体_GB2312" w:eastAsia="楷体_GB2312" w:cs="楷体_GB2312"/>
          <w:color w:val="000000"/>
          <w:sz w:val="40"/>
          <w:szCs w:val="40"/>
          <w:lang w:eastAsia="zh-CN"/>
        </w:rPr>
        <w:t>十</w:t>
      </w:r>
      <w:r>
        <w:rPr>
          <w:rFonts w:hint="eastAsia" w:ascii="楷体_GB2312" w:hAnsi="楷体_GB2312" w:eastAsia="楷体_GB2312" w:cs="楷体_GB2312"/>
          <w:color w:val="000000"/>
          <w:sz w:val="40"/>
          <w:szCs w:val="40"/>
        </w:rPr>
        <w:t>月</w:t>
      </w:r>
    </w:p>
    <w:p>
      <w:pPr>
        <w:rPr>
          <w:rFonts w:ascii="黑体" w:hAnsi="黑体" w:eastAsia="黑体" w:cs="黑体"/>
          <w:b/>
          <w:bCs/>
          <w:sz w:val="72"/>
          <w:szCs w:val="96"/>
        </w:r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rPr>
          <w:rFonts w:hint="default" w:ascii="Arial" w:hAnsi="Arial" w:eastAsia="Arial" w:cs="Arial"/>
          <w:i w:val="0"/>
          <w:iCs w:val="0"/>
          <w:caps w:val="0"/>
          <w:color w:val="000000"/>
          <w:spacing w:val="0"/>
          <w:sz w:val="18"/>
          <w:szCs w:val="18"/>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r>
        <w:rPr>
          <w:rFonts w:hint="eastAsia" w:ascii="黑体" w:hAnsi="宋体" w:eastAsia="黑体" w:cs="黑体"/>
          <w:i w:val="0"/>
          <w:iCs w:val="0"/>
          <w:caps w:val="0"/>
          <w:color w:val="000000"/>
          <w:spacing w:val="0"/>
          <w:sz w:val="72"/>
          <w:szCs w:val="72"/>
          <w:highlight w:val="none"/>
          <w:shd w:val="clear" w:fill="FFFFFF"/>
        </w:rPr>
        <w:t xml:space="preserve">第一部分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60" w:firstLineChars="300"/>
        <w:jc w:val="both"/>
        <w:rPr>
          <w:rFonts w:hint="default" w:ascii="Arial" w:hAnsi="Arial" w:eastAsia="Arial" w:cs="Arial"/>
          <w:i w:val="0"/>
          <w:iCs w:val="0"/>
          <w:caps w:val="0"/>
          <w:color w:val="000000"/>
          <w:spacing w:val="0"/>
          <w:sz w:val="18"/>
          <w:szCs w:val="18"/>
          <w:highlight w:val="none"/>
        </w:rPr>
      </w:pPr>
      <w:r>
        <w:rPr>
          <w:rFonts w:hint="eastAsia" w:ascii="黑体" w:hAnsi="宋体" w:eastAsia="黑体" w:cs="黑体"/>
          <w:i w:val="0"/>
          <w:iCs w:val="0"/>
          <w:caps w:val="0"/>
          <w:color w:val="000000"/>
          <w:spacing w:val="0"/>
          <w:sz w:val="72"/>
          <w:szCs w:val="72"/>
          <w:highlight w:val="none"/>
          <w:shd w:val="clear" w:fill="FFFFFF"/>
          <w:lang w:eastAsia="zh-CN"/>
        </w:rPr>
        <w:t>单位</w:t>
      </w:r>
      <w:r>
        <w:rPr>
          <w:rFonts w:hint="eastAsia" w:ascii="黑体" w:hAnsi="宋体" w:eastAsia="黑体" w:cs="黑体"/>
          <w:i w:val="0"/>
          <w:iCs w:val="0"/>
          <w:caps w:val="0"/>
          <w:color w:val="000000"/>
          <w:spacing w:val="0"/>
          <w:sz w:val="72"/>
          <w:szCs w:val="72"/>
          <w:highlight w:val="none"/>
          <w:shd w:val="clear" w:fill="FFFFFF"/>
        </w:rPr>
        <w:t>概况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rPr>
          <w:rFonts w:hint="eastAsia" w:ascii="黑体" w:hAnsi="宋体" w:eastAsia="黑体" w:cs="黑体"/>
          <w:i w:val="0"/>
          <w:iCs w:val="0"/>
          <w:caps w:val="0"/>
          <w:color w:val="000000"/>
          <w:spacing w:val="0"/>
          <w:sz w:val="33"/>
          <w:szCs w:val="33"/>
          <w:highlight w:val="none"/>
          <w:shd w:val="clear" w:fill="FFFFFF"/>
        </w:rPr>
      </w:pPr>
      <w:r>
        <w:rPr>
          <w:rFonts w:hint="eastAsia" w:ascii="黑体" w:hAnsi="宋体" w:eastAsia="黑体" w:cs="黑体"/>
          <w:i w:val="0"/>
          <w:iCs w:val="0"/>
          <w:caps w:val="0"/>
          <w:color w:val="000000"/>
          <w:spacing w:val="0"/>
          <w:sz w:val="33"/>
          <w:szCs w:val="33"/>
          <w:highlight w:val="none"/>
          <w:shd w:val="clear" w:fill="FFFFFF"/>
        </w:rPr>
        <w:br w:type="page"/>
      </w:r>
    </w:p>
    <w:p>
      <w:pPr>
        <w:pStyle w:val="10"/>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1"/>
        <w:rPr>
          <w:rFonts w:hint="eastAsia" w:ascii="黑体" w:hAnsi="宋体" w:eastAsia="黑体" w:cs="黑体"/>
          <w:i w:val="0"/>
          <w:iCs w:val="0"/>
          <w:caps w:val="0"/>
          <w:color w:val="000000"/>
          <w:spacing w:val="0"/>
          <w:sz w:val="32"/>
          <w:szCs w:val="32"/>
          <w:highlight w:val="none"/>
          <w:shd w:val="clear" w:fill="FFFFFF"/>
        </w:rPr>
      </w:pPr>
      <w:r>
        <w:rPr>
          <w:rFonts w:hint="eastAsia" w:ascii="黑体" w:hAnsi="宋体" w:eastAsia="黑体" w:cs="黑体"/>
          <w:i w:val="0"/>
          <w:iCs w:val="0"/>
          <w:caps w:val="0"/>
          <w:color w:val="000000"/>
          <w:spacing w:val="0"/>
          <w:sz w:val="32"/>
          <w:szCs w:val="32"/>
          <w:highlight w:val="none"/>
          <w:shd w:val="clear" w:fill="FFFFFF"/>
          <w:lang w:eastAsia="zh-CN"/>
        </w:rPr>
        <w:t>单位</w:t>
      </w:r>
      <w:r>
        <w:rPr>
          <w:rFonts w:hint="eastAsia" w:ascii="黑体" w:hAnsi="宋体" w:eastAsia="黑体" w:cs="黑体"/>
          <w:i w:val="0"/>
          <w:iCs w:val="0"/>
          <w:caps w:val="0"/>
          <w:color w:val="000000"/>
          <w:spacing w:val="0"/>
          <w:sz w:val="32"/>
          <w:szCs w:val="32"/>
          <w:highlight w:val="none"/>
          <w:shd w:val="clear" w:fill="FFFFFF"/>
        </w:rPr>
        <w:t>职责</w:t>
      </w:r>
    </w:p>
    <w:p>
      <w:pPr>
        <w:pStyle w:val="1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outlineLvl w:val="1"/>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黑体" w:hAnsi="宋体" w:eastAsia="黑体" w:cs="黑体"/>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承担灌区防洪、防汛工作。</w:t>
      </w:r>
    </w:p>
    <w:p>
      <w:pPr>
        <w:pStyle w:val="1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outlineLvl w:val="1"/>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、负责灌区渠道维护工作。</w:t>
      </w:r>
    </w:p>
    <w:p>
      <w:pPr>
        <w:pStyle w:val="1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outlineLvl w:val="1"/>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、开展水质检测工作，负责周边区域的灌溉任务及人畜饮水工作。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1"/>
        <w:rPr>
          <w:rFonts w:hint="default" w:ascii="Arial" w:hAnsi="Arial" w:eastAsia="Arial" w:cs="Arial"/>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shd w:val="clear" w:fill="FFFFFF"/>
        </w:rPr>
        <w:t>二、机构设置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仿宋_GB2312" w:hAnsi="仿宋_GB2312" w:eastAsia="仿宋_GB2312" w:cs="仿宋_GB2312"/>
          <w:i w:val="0"/>
          <w:iCs w:val="0"/>
          <w:caps w:val="0"/>
          <w:color w:val="auto"/>
          <w:spacing w:val="0"/>
          <w:sz w:val="32"/>
          <w:szCs w:val="32"/>
          <w:highlight w:val="none"/>
          <w:shd w:val="clear" w:fill="FFFFFF"/>
        </w:rPr>
      </w:pPr>
      <w:r>
        <w:rPr>
          <w:rFonts w:hint="default" w:ascii="仿宋_GB2312" w:hAnsi="仿宋_GB2312" w:eastAsia="仿宋_GB2312" w:cs="仿宋_GB2312"/>
          <w:i w:val="0"/>
          <w:iCs w:val="0"/>
          <w:caps w:val="0"/>
          <w:color w:val="auto"/>
          <w:spacing w:val="0"/>
          <w:sz w:val="32"/>
          <w:szCs w:val="32"/>
          <w:highlight w:val="none"/>
          <w:shd w:val="clear" w:fill="FFFFFF"/>
        </w:rPr>
        <w:t>从决算编报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fill="FFFFFF"/>
        </w:rPr>
        <w:t>构成看，纳入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2023</w:t>
      </w:r>
      <w:r>
        <w:rPr>
          <w:rFonts w:hint="default" w:ascii="仿宋_GB2312" w:hAnsi="仿宋_GB2312" w:eastAsia="仿宋_GB2312" w:cs="仿宋_GB2312"/>
          <w:i w:val="0"/>
          <w:iCs w:val="0"/>
          <w:caps w:val="0"/>
          <w:color w:val="auto"/>
          <w:spacing w:val="0"/>
          <w:sz w:val="32"/>
          <w:szCs w:val="32"/>
          <w:highlight w:val="none"/>
          <w:shd w:val="clear" w:fill="FFFFFF"/>
        </w:rPr>
        <w:t>年度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本单位</w:t>
      </w:r>
      <w:r>
        <w:rPr>
          <w:rFonts w:hint="default" w:ascii="仿宋_GB2312" w:hAnsi="仿宋_GB2312" w:eastAsia="仿宋_GB2312" w:cs="仿宋_GB2312"/>
          <w:i w:val="0"/>
          <w:iCs w:val="0"/>
          <w:caps w:val="0"/>
          <w:color w:val="auto"/>
          <w:spacing w:val="0"/>
          <w:sz w:val="32"/>
          <w:szCs w:val="32"/>
          <w:highlight w:val="none"/>
          <w:shd w:val="clear" w:fill="FFFFFF"/>
        </w:rPr>
        <w:t>决算汇编范围的独立核算</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fill="FFFFFF"/>
        </w:rPr>
        <w:t>（以下简称“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单位</w:t>
      </w:r>
      <w:r>
        <w:rPr>
          <w:rFonts w:hint="default" w:ascii="仿宋_GB2312" w:hAnsi="仿宋_GB2312" w:eastAsia="仿宋_GB2312" w:cs="仿宋_GB2312"/>
          <w:i w:val="0"/>
          <w:iCs w:val="0"/>
          <w:caps w:val="0"/>
          <w:color w:val="auto"/>
          <w:spacing w:val="0"/>
          <w:sz w:val="32"/>
          <w:szCs w:val="32"/>
          <w:highlight w:val="none"/>
          <w:shd w:val="clear" w:fill="FFFFFF"/>
        </w:rPr>
        <w:t xml:space="preserve">”）共 </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default" w:ascii="仿宋_GB2312" w:hAnsi="仿宋_GB2312" w:eastAsia="仿宋_GB2312" w:cs="仿宋_GB2312"/>
          <w:i w:val="0"/>
          <w:iCs w:val="0"/>
          <w:caps w:val="0"/>
          <w:color w:val="auto"/>
          <w:spacing w:val="0"/>
          <w:sz w:val="32"/>
          <w:szCs w:val="32"/>
          <w:highlight w:val="none"/>
          <w:shd w:val="clear" w:fill="FFFFFF"/>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615"/>
        <w:gridCol w:w="2470"/>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3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61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7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0"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615" w:type="dxa"/>
          </w:tcPr>
          <w:p>
            <w:pPr>
              <w:spacing w:line="560" w:lineRule="exact"/>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沙河市朱庄南灌区事务中心</w:t>
            </w:r>
          </w:p>
        </w:tc>
        <w:tc>
          <w:tcPr>
            <w:tcW w:w="2470"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财政补助事业单位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财政性资金零补助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eastAsia="宋体" w:cs="Arial"/>
          <w:i w:val="0"/>
          <w:iCs w:val="0"/>
          <w:caps w:val="0"/>
          <w:color w:val="000000"/>
          <w:spacing w:val="0"/>
          <w:sz w:val="18"/>
          <w:szCs w:val="18"/>
          <w:highlight w:val="none"/>
          <w:lang w:eastAsia="zh-CN"/>
        </w:rPr>
      </w:pPr>
    </w:p>
    <w:p>
      <w:pPr>
        <w:widowControl/>
        <w:spacing w:after="160" w:line="580" w:lineRule="exact"/>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after="160" w:line="580" w:lineRule="exact"/>
        <w:ind w:firstLine="640" w:firstLineChars="200"/>
        <w:rPr>
          <w:rFonts w:hint="eastAsia" w:ascii="Times New Roman" w:hAnsi="Times New Roman" w:eastAsia="黑体" w:cs="Times New Roman"/>
          <w:sz w:val="32"/>
          <w:szCs w:val="32"/>
          <w:highlight w:val="yellow"/>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kern w:val="0"/>
          <w:sz w:val="18"/>
          <w:szCs w:val="18"/>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highlight w:val="none"/>
        </w:rPr>
      </w:pPr>
      <w:r>
        <w:rPr>
          <w:rFonts w:hint="default" w:ascii="Arial" w:hAnsi="Arial" w:eastAsia="Arial" w:cs="Arial"/>
          <w:i w:val="0"/>
          <w:iCs w:val="0"/>
          <w:caps w:val="0"/>
          <w:color w:val="000000"/>
          <w:spacing w:val="0"/>
          <w:kern w:val="0"/>
          <w:sz w:val="18"/>
          <w:szCs w:val="18"/>
          <w:highlight w:val="none"/>
          <w:shd w:val="clear" w:fill="FFFFFF"/>
          <w:lang w:val="en-US" w:eastAsia="zh-CN" w:bidi="ar"/>
        </w:rPr>
        <w:t> </w:t>
      </w: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第二部分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lang w:val="en-US" w:eastAsia="zh-CN"/>
        </w:rPr>
        <w:t>2023</w:t>
      </w:r>
      <w:r>
        <w:rPr>
          <w:rFonts w:hint="eastAsia" w:ascii="黑体" w:hAnsi="宋体" w:eastAsia="黑体" w:cs="黑体"/>
          <w:i w:val="0"/>
          <w:iCs w:val="0"/>
          <w:caps w:val="0"/>
          <w:color w:val="000000"/>
          <w:spacing w:val="0"/>
          <w:sz w:val="72"/>
          <w:szCs w:val="72"/>
          <w:highlight w:val="none"/>
          <w:shd w:val="clear" w:fill="FFFFFF"/>
        </w:rPr>
        <w:t>年</w:t>
      </w:r>
      <w:r>
        <w:rPr>
          <w:rFonts w:hint="eastAsia" w:ascii="黑体" w:hAnsi="宋体" w:eastAsia="黑体" w:cs="黑体"/>
          <w:i w:val="0"/>
          <w:iCs w:val="0"/>
          <w:caps w:val="0"/>
          <w:color w:val="000000"/>
          <w:spacing w:val="0"/>
          <w:sz w:val="72"/>
          <w:szCs w:val="72"/>
          <w:highlight w:val="none"/>
          <w:shd w:val="clear" w:fill="FFFFFF"/>
          <w:lang w:val="en-US" w:eastAsia="zh-CN"/>
        </w:rPr>
        <w:t>度</w:t>
      </w:r>
      <w:r>
        <w:rPr>
          <w:rFonts w:hint="eastAsia" w:ascii="黑体" w:hAnsi="宋体" w:eastAsia="黑体" w:cs="黑体"/>
          <w:i w:val="0"/>
          <w:iCs w:val="0"/>
          <w:caps w:val="0"/>
          <w:color w:val="000000"/>
          <w:spacing w:val="0"/>
          <w:sz w:val="72"/>
          <w:szCs w:val="72"/>
          <w:highlight w:val="none"/>
          <w:shd w:val="clear" w:fill="FFFFFF"/>
          <w:lang w:eastAsia="zh-CN"/>
        </w:rPr>
        <w:t>单位</w:t>
      </w:r>
      <w:r>
        <w:rPr>
          <w:rFonts w:hint="eastAsia" w:ascii="黑体" w:hAnsi="宋体" w:eastAsia="黑体" w:cs="黑体"/>
          <w:i w:val="0"/>
          <w:iCs w:val="0"/>
          <w:caps w:val="0"/>
          <w:color w:val="000000"/>
          <w:spacing w:val="0"/>
          <w:sz w:val="72"/>
          <w:szCs w:val="72"/>
          <w:highlight w:val="none"/>
          <w:shd w:val="clear" w:fill="FFFFFF"/>
        </w:rPr>
        <w:t>决算报表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fill="FFFFFF"/>
        </w:rPr>
        <w:sectPr>
          <w:headerReference r:id="rId7"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tbl>
      <w:tblPr>
        <w:tblStyle w:val="11"/>
        <w:tblW w:w="7145" w:type="pct"/>
        <w:tblInd w:w="-1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7"/>
        <w:gridCol w:w="624"/>
        <w:gridCol w:w="611"/>
        <w:gridCol w:w="1317"/>
        <w:gridCol w:w="1628"/>
        <w:gridCol w:w="1547"/>
        <w:gridCol w:w="624"/>
        <w:gridCol w:w="1732"/>
        <w:gridCol w:w="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361" w:hRule="atLeast"/>
        </w:trPr>
        <w:tc>
          <w:tcPr>
            <w:tcW w:w="4899"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357" w:hRule="atLeast"/>
        </w:trPr>
        <w:tc>
          <w:tcPr>
            <w:tcW w:w="4899"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351" w:hRule="atLeast"/>
        </w:trPr>
        <w:tc>
          <w:tcPr>
            <w:tcW w:w="1919"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编制单位：沙河市朱庄南灌区事务中心</w:t>
            </w:r>
          </w:p>
        </w:tc>
        <w:tc>
          <w:tcPr>
            <w:tcW w:w="1281"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98"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544" w:hRule="atLeast"/>
        </w:trPr>
        <w:tc>
          <w:tcPr>
            <w:tcW w:w="2493"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0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308"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3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71"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3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71"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38"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71"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753"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3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7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3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7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3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7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3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7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3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7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3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7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7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38"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71"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753"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476"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0" w:type="pct"/>
          <w:trHeight w:val="308" w:hRule="atLeast"/>
        </w:trPr>
        <w:tc>
          <w:tcPr>
            <w:tcW w:w="138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3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138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7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7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黑体" w:hAnsi="黑体" w:eastAsia="黑体" w:cs="宋体"/>
          <w:bCs/>
          <w:kern w:val="0"/>
          <w:sz w:val="32"/>
          <w:szCs w:val="32"/>
          <w:highlight w:val="none"/>
        </w:rPr>
      </w:pP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编制单位：沙河市朱庄南灌区事务中心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136.43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136.43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其他行政事业单位医疗支出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农林水支出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130.51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130.51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水利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125.56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125.56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2130301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22.62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22.62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2130305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水利工程建设</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102.94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102.94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其他农林水支出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2139999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其他农林水支出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宋体" w:hAnsi="宋体" w:eastAsia="宋体" w:cs="宋体"/>
          <w:spacing w:val="-2"/>
          <w:sz w:val="20"/>
          <w:highlight w:val="none"/>
          <w:lang w:val="en-US" w:eastAsia="zh-CN"/>
        </w:rPr>
      </w:pP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编制单位：沙河市朱庄南灌区事务中心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28.54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107.89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其他行政事业单位医疗支出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农林水支出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130.51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22.62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107.89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125.56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22.62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2130301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22.62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22.62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2130305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水利工程建设</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其他农林水支出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2139999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其他农林水支出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99" w:type="pct"/>
        <w:tblInd w:w="-17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2"/>
        <w:gridCol w:w="624"/>
        <w:gridCol w:w="1427"/>
        <w:gridCol w:w="1659"/>
        <w:gridCol w:w="439"/>
        <w:gridCol w:w="624"/>
        <w:gridCol w:w="458"/>
        <w:gridCol w:w="837"/>
        <w:gridCol w:w="1219"/>
        <w:gridCol w:w="1219"/>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3"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编制单位：沙河市朱庄南灌区事务中心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66"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80"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6"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3"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8"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7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2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918"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7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67"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33"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33"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445"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7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5"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8"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7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67"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33"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33"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445"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73"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2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73"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6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3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3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5"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w:t>
            </w: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w:t>
            </w: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1.11</w:t>
            </w: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1.11</w:t>
            </w: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25"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73"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67"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130.51</w:t>
            </w:r>
          </w:p>
        </w:tc>
        <w:tc>
          <w:tcPr>
            <w:tcW w:w="533"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130.51</w:t>
            </w:r>
          </w:p>
        </w:tc>
        <w:tc>
          <w:tcPr>
            <w:tcW w:w="533"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2.17</w:t>
            </w: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2.17</w:t>
            </w: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6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3"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25"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73"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67"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18"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67"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8"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73"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25"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918"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73"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67"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533"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136.43</w:t>
            </w:r>
          </w:p>
          <w:p>
            <w:pPr>
              <w:jc w:val="right"/>
              <w:rPr>
                <w:rFonts w:hint="default" w:ascii="Times New Roman" w:hAnsi="Times New Roman" w:eastAsia="宋体" w:cs="Times New Roman"/>
                <w:i w:val="0"/>
                <w:iCs w:val="0"/>
                <w:color w:val="000000"/>
                <w:sz w:val="20"/>
                <w:szCs w:val="20"/>
                <w:highlight w:val="none"/>
                <w:u w:val="none"/>
              </w:rPr>
            </w:pPr>
          </w:p>
        </w:tc>
        <w:tc>
          <w:tcPr>
            <w:tcW w:w="533"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45"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pacing w:val="-2"/>
          <w:sz w:val="20"/>
          <w:highlight w:val="none"/>
          <w:lang w:val="en-US" w:eastAsia="zh-CN"/>
        </w:rPr>
      </w:pPr>
    </w:p>
    <w:tbl>
      <w:tblPr>
        <w:tblStyle w:val="11"/>
        <w:tblW w:w="5455"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3416"/>
        <w:gridCol w:w="338"/>
        <w:gridCol w:w="982"/>
        <w:gridCol w:w="1037"/>
        <w:gridCol w:w="383"/>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6"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编制单位：沙河市朱庄南灌区事务中心</w:t>
            </w:r>
          </w:p>
        </w:tc>
        <w:tc>
          <w:tcPr>
            <w:tcW w:w="155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1"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4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136.43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28.54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其他行政事业单位医疗支出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农林水支出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130.51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22.62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21303</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125.56</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22.62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2130301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22.62</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22.62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2130305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水利工程建设</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102.94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其他农林水支出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4.95</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2139999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其他农林水支出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4.95</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07"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07"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编制单位：沙河市朱庄南灌区事务中心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71"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2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85"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14"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5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24.32</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0.24</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9.73</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0.73</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2.40</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5.54</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2.64</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0.24</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1.11</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2.17</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3.99</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3.99</w:t>
            </w: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8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2"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8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8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8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8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80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3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5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28.30</w:t>
            </w:r>
          </w:p>
        </w:tc>
        <w:tc>
          <w:tcPr>
            <w:tcW w:w="2893"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2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color w:val="auto"/>
          <w:kern w:val="0"/>
          <w:sz w:val="32"/>
          <w:szCs w:val="32"/>
          <w:highlight w:val="none"/>
        </w:rPr>
      </w:pP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编制单位：沙河市朱庄南灌区事务中心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宋体" w:hAnsi="宋体" w:eastAsia="宋体" w:cs="宋体"/>
          <w:spacing w:val="-2"/>
          <w:sz w:val="20"/>
          <w:highlight w:val="none"/>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7"/>
        <w:gridCol w:w="731"/>
        <w:gridCol w:w="1296"/>
        <w:gridCol w:w="1332"/>
        <w:gridCol w:w="5"/>
        <w:gridCol w:w="47"/>
        <w:gridCol w:w="1281"/>
        <w:gridCol w:w="10"/>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8"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编制单位：沙河市朱庄南灌区事务中心</w:t>
            </w:r>
          </w:p>
        </w:tc>
        <w:tc>
          <w:tcPr>
            <w:tcW w:w="1666"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2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5"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484"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484"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2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831"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831"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821"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260"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31"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31"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21"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5"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828"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828"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82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82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28"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2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r>
              <w:rPr>
                <w:rFonts w:hint="eastAsia" w:ascii="方正仿宋_GB2312" w:hAnsi="方正仿宋_GB2312" w:eastAsia="方正仿宋_GB2312" w:cs="方正仿宋_GB2312"/>
                <w:color w:val="000000"/>
                <w:sz w:val="20"/>
                <w:szCs w:val="20"/>
              </w:rPr>
              <w:t>本</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本年度无相关收入（或支出、收支及结转结余等）情况，按要求空表列示。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393" w:tblpY="39"/>
        <w:tblOverlap w:val="never"/>
        <w:tblW w:w="68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
        <w:gridCol w:w="1226"/>
        <w:gridCol w:w="814"/>
        <w:gridCol w:w="946"/>
        <w:gridCol w:w="519"/>
        <w:gridCol w:w="544"/>
        <w:gridCol w:w="777"/>
        <w:gridCol w:w="845"/>
        <w:gridCol w:w="5"/>
        <w:gridCol w:w="1133"/>
        <w:gridCol w:w="640"/>
        <w:gridCol w:w="1027"/>
        <w:gridCol w:w="946"/>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77"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编制单位：沙河市朱庄南灌区事务中心</w:t>
            </w:r>
          </w:p>
        </w:tc>
        <w:tc>
          <w:tcPr>
            <w:tcW w:w="97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044"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74"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25"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39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53"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74"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50"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83"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79"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5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39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53"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7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50"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83"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6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5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39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5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7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83"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6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35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39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6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2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7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83"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6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2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color w:val="000000"/>
                <w:sz w:val="20"/>
                <w:szCs w:val="20"/>
              </w:rPr>
              <w:t>本</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本年度无相关收入（或支出、收支及结转结余等）情况，按要求空表列示。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lang w:eastAsia="zh-CN"/>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bookmarkStart w:id="0" w:name="_GoBack"/>
      <w:bookmarkEnd w:id="0"/>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第三部分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spacing w:val="-20"/>
          <w:highlight w:val="none"/>
        </w:rPr>
      </w:pPr>
      <w:r>
        <w:rPr>
          <w:rFonts w:hint="eastAsia" w:ascii="黑体" w:hAnsi="宋体" w:eastAsia="黑体" w:cs="黑体"/>
          <w:i w:val="0"/>
          <w:iCs w:val="0"/>
          <w:caps w:val="0"/>
          <w:color w:val="000000"/>
          <w:spacing w:val="-20"/>
          <w:sz w:val="72"/>
          <w:szCs w:val="72"/>
          <w:highlight w:val="none"/>
          <w:shd w:val="clear" w:fill="FFFFFF"/>
        </w:rPr>
        <w:t>202</w:t>
      </w:r>
      <w:r>
        <w:rPr>
          <w:rFonts w:hint="eastAsia" w:ascii="黑体" w:hAnsi="宋体" w:eastAsia="黑体" w:cs="黑体"/>
          <w:i w:val="0"/>
          <w:iCs w:val="0"/>
          <w:caps w:val="0"/>
          <w:color w:val="000000"/>
          <w:spacing w:val="-20"/>
          <w:sz w:val="72"/>
          <w:szCs w:val="72"/>
          <w:highlight w:val="none"/>
          <w:shd w:val="clear" w:fill="FFFFFF"/>
          <w:lang w:val="en-US" w:eastAsia="zh-CN"/>
        </w:rPr>
        <w:t>3</w:t>
      </w:r>
      <w:r>
        <w:rPr>
          <w:rFonts w:hint="eastAsia" w:ascii="黑体" w:hAnsi="宋体" w:eastAsia="黑体" w:cs="黑体"/>
          <w:i w:val="0"/>
          <w:iCs w:val="0"/>
          <w:caps w:val="0"/>
          <w:color w:val="000000"/>
          <w:spacing w:val="-20"/>
          <w:sz w:val="72"/>
          <w:szCs w:val="72"/>
          <w:highlight w:val="none"/>
          <w:shd w:val="clear" w:fill="FFFFFF"/>
        </w:rPr>
        <w:t>年</w:t>
      </w:r>
      <w:r>
        <w:rPr>
          <w:rFonts w:hint="eastAsia" w:ascii="黑体" w:hAnsi="宋体" w:eastAsia="黑体" w:cs="黑体"/>
          <w:i w:val="0"/>
          <w:iCs w:val="0"/>
          <w:caps w:val="0"/>
          <w:color w:val="000000"/>
          <w:spacing w:val="-20"/>
          <w:sz w:val="72"/>
          <w:szCs w:val="72"/>
          <w:highlight w:val="none"/>
          <w:shd w:val="clear" w:fill="FFFFFF"/>
          <w:lang w:val="en-US" w:eastAsia="zh-CN"/>
        </w:rPr>
        <w:t>度</w:t>
      </w:r>
      <w:r>
        <w:rPr>
          <w:rFonts w:hint="eastAsia" w:ascii="黑体" w:hAnsi="宋体" w:eastAsia="黑体" w:cs="黑体"/>
          <w:i w:val="0"/>
          <w:iCs w:val="0"/>
          <w:caps w:val="0"/>
          <w:color w:val="000000"/>
          <w:spacing w:val="-20"/>
          <w:sz w:val="72"/>
          <w:szCs w:val="72"/>
          <w:highlight w:val="none"/>
          <w:shd w:val="clear" w:fill="FFFFFF"/>
          <w:lang w:eastAsia="zh-CN"/>
        </w:rPr>
        <w:t>单位</w:t>
      </w:r>
      <w:r>
        <w:rPr>
          <w:rFonts w:hint="eastAsia" w:ascii="黑体" w:hAnsi="宋体" w:eastAsia="黑体" w:cs="黑体"/>
          <w:i w:val="0"/>
          <w:iCs w:val="0"/>
          <w:caps w:val="0"/>
          <w:color w:val="000000"/>
          <w:spacing w:val="-20"/>
          <w:sz w:val="72"/>
          <w:szCs w:val="72"/>
          <w:highlight w:val="none"/>
          <w:shd w:val="clear" w:fill="FFFFFF"/>
        </w:rPr>
        <w:t>决算情况说明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r>
        <w:rPr>
          <w:rFonts w:hint="default" w:ascii="Arial" w:hAnsi="Arial" w:eastAsia="Arial" w:cs="Arial"/>
          <w:i w:val="0"/>
          <w:iCs w:val="0"/>
          <w:caps w:val="0"/>
          <w:color w:val="000000"/>
          <w:spacing w:val="0"/>
          <w:sz w:val="18"/>
          <w:szCs w:val="18"/>
          <w:highlight w:val="none"/>
          <w:shd w:val="clear" w:fill="FFFFFF"/>
        </w:rPr>
        <w:t> </w:t>
      </w:r>
    </w:p>
    <w:p>
      <w:pPr>
        <w:rPr>
          <w:rFonts w:hint="default" w:ascii="Arial" w:hAnsi="Arial" w:eastAsia="Arial" w:cs="Arial"/>
          <w:i w:val="0"/>
          <w:iCs w:val="0"/>
          <w:caps w:val="0"/>
          <w:color w:val="000000"/>
          <w:spacing w:val="0"/>
          <w:sz w:val="18"/>
          <w:szCs w:val="18"/>
          <w:highlight w:val="none"/>
          <w:shd w:val="clear" w:fill="FFFFFF"/>
        </w:rPr>
      </w:pPr>
      <w:r>
        <w:rPr>
          <w:rFonts w:hint="default" w:ascii="Arial" w:hAnsi="Arial" w:eastAsia="Arial" w:cs="Arial"/>
          <w:i w:val="0"/>
          <w:iCs w:val="0"/>
          <w:caps w:val="0"/>
          <w:color w:val="000000"/>
          <w:spacing w:val="0"/>
          <w:sz w:val="18"/>
          <w:szCs w:val="18"/>
          <w:highlight w:val="none"/>
          <w:shd w:val="clear" w:fill="FFFFFF"/>
        </w:rPr>
        <w:br w:type="page"/>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黑体" w:hAnsi="Calibri" w:eastAsia="黑体" w:cs="Times New Roman"/>
          <w:kern w:val="2"/>
          <w:sz w:val="32"/>
          <w:szCs w:val="32"/>
          <w:lang w:val="en-US" w:eastAsia="zh-CN" w:bidi="ar-SA"/>
        </w:rPr>
      </w:pPr>
      <w:r>
        <w:rPr>
          <w:rFonts w:hint="eastAsia" w:ascii="黑体" w:hAnsi="Calibri" w:eastAsia="黑体" w:cs="Times New Roman"/>
          <w:kern w:val="2"/>
          <w:sz w:val="32"/>
          <w:szCs w:val="32"/>
          <w:lang w:val="en-US" w:eastAsia="zh-CN" w:bidi="ar-SA"/>
        </w:rPr>
        <w:t>一、收入支出决算总体情况说明</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eastAsia="zh-CN"/>
        </w:rPr>
        <w:t>本单位2023年度收、支总计（含结转和结余）</w:t>
      </w:r>
      <w:r>
        <w:rPr>
          <w:rFonts w:hint="default" w:ascii="Times New Roman" w:hAnsi="Times New Roman" w:eastAsia="仿宋_GB2312" w:cs="Times New Roman"/>
          <w:kern w:val="2"/>
          <w:sz w:val="32"/>
          <w:szCs w:val="32"/>
          <w:lang w:val="zh-CN" w:eastAsia="zh-CN"/>
        </w:rPr>
        <w:t>136.43</w:t>
      </w:r>
      <w:r>
        <w:rPr>
          <w:rFonts w:hint="default" w:ascii="Times New Roman" w:hAnsi="Times New Roman" w:eastAsia="仿宋_GB2312" w:cs="Times New Roman"/>
          <w:kern w:val="2"/>
          <w:sz w:val="32"/>
          <w:szCs w:val="32"/>
          <w:lang w:eastAsia="zh-CN"/>
        </w:rPr>
        <w:t>万元。与2022年度决算相比，收支各增加</w:t>
      </w:r>
      <w:r>
        <w:rPr>
          <w:rFonts w:hint="eastAsia" w:ascii="Times New Roman" w:hAnsi="Times New Roman" w:eastAsia="仿宋_GB2312" w:cs="Times New Roman"/>
          <w:kern w:val="2"/>
          <w:sz w:val="32"/>
          <w:szCs w:val="32"/>
          <w:lang w:val="en-US" w:eastAsia="zh-CN"/>
        </w:rPr>
        <w:t>16.12</w:t>
      </w:r>
      <w:r>
        <w:rPr>
          <w:rFonts w:hint="default" w:ascii="Times New Roman" w:hAnsi="Times New Roman" w:eastAsia="仿宋_GB2312" w:cs="Times New Roman"/>
          <w:kern w:val="2"/>
          <w:sz w:val="32"/>
          <w:szCs w:val="32"/>
          <w:lang w:eastAsia="zh-CN"/>
        </w:rPr>
        <w:t>万元，增长</w:t>
      </w:r>
      <w:r>
        <w:rPr>
          <w:rFonts w:hint="eastAsia" w:ascii="Times New Roman" w:hAnsi="Times New Roman" w:eastAsia="仿宋_GB2312" w:cs="Times New Roman"/>
          <w:kern w:val="2"/>
          <w:sz w:val="32"/>
          <w:szCs w:val="32"/>
          <w:lang w:val="en-US" w:eastAsia="zh-CN"/>
        </w:rPr>
        <w:t>11.8</w:t>
      </w:r>
      <w:r>
        <w:rPr>
          <w:rFonts w:hint="default" w:ascii="Times New Roman" w:hAnsi="Times New Roman" w:eastAsia="仿宋_GB2312" w:cs="Times New Roman"/>
          <w:kern w:val="2"/>
          <w:sz w:val="32"/>
          <w:szCs w:val="32"/>
          <w:lang w:eastAsia="zh-CN"/>
        </w:rPr>
        <w:t>%，主要原因是</w:t>
      </w:r>
      <w:r>
        <w:rPr>
          <w:rFonts w:hint="eastAsia" w:ascii="Times New Roman" w:hAnsi="Times New Roman" w:eastAsia="仿宋_GB2312" w:cs="Times New Roman"/>
          <w:kern w:val="2"/>
          <w:sz w:val="32"/>
          <w:szCs w:val="32"/>
          <w:lang w:eastAsia="zh-CN"/>
        </w:rPr>
        <w:t>增加退休人员月度生活补贴</w:t>
      </w:r>
      <w:r>
        <w:rPr>
          <w:rFonts w:hint="default" w:ascii="Times New Roman" w:hAnsi="Times New Roman" w:eastAsia="仿宋_GB2312" w:cs="Times New Roman"/>
          <w:kern w:val="2"/>
          <w:sz w:val="32"/>
          <w:szCs w:val="32"/>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二、收入决算情况说明</w:t>
      </w:r>
    </w:p>
    <w:p>
      <w:pPr>
        <w:autoSpaceDE w:val="0"/>
        <w:autoSpaceDN w:val="0"/>
        <w:adjustRightInd w:val="0"/>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年度本年收入合计</w:t>
      </w:r>
      <w:r>
        <w:rPr>
          <w:rFonts w:hint="default" w:ascii="Times New Roman" w:hAnsi="Times New Roman" w:eastAsia="仿宋_GB2312" w:cs="Times New Roman"/>
          <w:sz w:val="30"/>
          <w:szCs w:val="30"/>
          <w:highlight w:val="none"/>
          <w:lang w:eastAsia="zh-CN"/>
        </w:rPr>
        <w:t>136.43</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，其中：财政拨款收入136.43万元，占100%</w:t>
      </w:r>
      <w:r>
        <w:rPr>
          <w:rFonts w:hint="eastAsia" w:ascii="Times New Roman" w:hAnsi="Times New Roman" w:eastAsia="仿宋_GB2312" w:cs="Times New Roman"/>
          <w:kern w:val="2"/>
          <w:sz w:val="32"/>
          <w:szCs w:val="32"/>
          <w:lang w:val="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三、支出决算情况说明</w:t>
      </w:r>
    </w:p>
    <w:p>
      <w:pPr>
        <w:autoSpaceDE w:val="0"/>
        <w:autoSpaceDN w:val="0"/>
        <w:adjustRightInd w:val="0"/>
        <w:spacing w:line="580" w:lineRule="exact"/>
        <w:ind w:firstLine="6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年度本年支出合计</w:t>
      </w:r>
      <w:r>
        <w:rPr>
          <w:rFonts w:hint="default" w:ascii="Times New Roman" w:hAnsi="Times New Roman" w:eastAsia="仿宋_GB2312" w:cs="Times New Roman"/>
          <w:kern w:val="2"/>
          <w:sz w:val="32"/>
          <w:szCs w:val="32"/>
          <w:lang w:val="zh-CN" w:eastAsia="zh-CN"/>
        </w:rPr>
        <w:t>136.43万元</w:t>
      </w:r>
      <w:r>
        <w:rPr>
          <w:rFonts w:hint="default" w:ascii="Times New Roman" w:hAnsi="Times New Roman" w:eastAsia="仿宋_GB2312" w:cs="Times New Roman"/>
          <w:kern w:val="2"/>
          <w:sz w:val="32"/>
          <w:szCs w:val="32"/>
          <w:lang w:val="zh-CN"/>
        </w:rPr>
        <w:t>，其中：基本支出</w:t>
      </w:r>
      <w:r>
        <w:rPr>
          <w:rFonts w:hint="default" w:ascii="Times New Roman" w:hAnsi="Times New Roman" w:eastAsia="仿宋_GB2312" w:cs="Times New Roman"/>
          <w:kern w:val="2"/>
          <w:sz w:val="32"/>
          <w:szCs w:val="32"/>
          <w:lang w:val="zh-CN" w:eastAsia="zh-CN"/>
        </w:rPr>
        <w:t>28.54万元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占20.92%；</w:t>
      </w:r>
      <w:r>
        <w:rPr>
          <w:rFonts w:hint="default" w:ascii="Times New Roman" w:hAnsi="Times New Roman" w:eastAsia="仿宋_GB2312" w:cs="Times New Roman"/>
          <w:kern w:val="2"/>
          <w:sz w:val="32"/>
          <w:szCs w:val="32"/>
          <w:lang w:val="zh-CN"/>
        </w:rPr>
        <w:t>项目支出</w:t>
      </w:r>
      <w:r>
        <w:rPr>
          <w:rFonts w:hint="default" w:ascii="Times New Roman" w:hAnsi="Times New Roman" w:eastAsia="仿宋_GB2312" w:cs="Times New Roman"/>
          <w:kern w:val="2"/>
          <w:sz w:val="32"/>
          <w:szCs w:val="32"/>
          <w:lang w:val="zh-CN" w:eastAsia="zh-CN"/>
        </w:rPr>
        <w:t>107.89万元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占79.08%</w:t>
      </w:r>
      <w:r>
        <w:rPr>
          <w:rFonts w:hint="eastAsia" w:ascii="Times New Roman" w:hAnsi="Times New Roman" w:eastAsia="仿宋_GB2312" w:cs="Times New Roman"/>
          <w:kern w:val="2"/>
          <w:sz w:val="32"/>
          <w:szCs w:val="32"/>
          <w:lang w:val="zh-CN"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Arial" w:cs="Times New Roman"/>
          <w:highlight w:val="none"/>
        </w:rPr>
      </w:pPr>
      <w:r>
        <w:rPr>
          <w:rFonts w:hint="default" w:ascii="Times New Roman" w:hAnsi="Times New Roman" w:eastAsia="黑体" w:cs="Times New Roman"/>
          <w:kern w:val="2"/>
          <w:sz w:val="32"/>
          <w:szCs w:val="32"/>
          <w:lang w:val="en-US" w:eastAsia="zh-CN" w:bidi="ar-SA"/>
        </w:rPr>
        <w:t>四、财政拨款收入支出决算总体情况说明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（一）财政拨款收支与2022年度决算对比情况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年度财政拨款本年收入136.43</w:t>
      </w:r>
      <w:r>
        <w:rPr>
          <w:rFonts w:hint="default" w:ascii="Times New Roman" w:hAnsi="Times New Roman" w:eastAsia="仿宋_GB2312" w:cs="Times New Roman"/>
          <w:color w:val="auto"/>
          <w:kern w:val="2"/>
          <w:sz w:val="32"/>
          <w:szCs w:val="32"/>
          <w:lang w:val="en-US" w:eastAsia="zh-CN" w:bidi="ar-SA"/>
        </w:rPr>
        <w:t>万</w:t>
      </w:r>
      <w:r>
        <w:rPr>
          <w:rFonts w:hint="default" w:ascii="Times New Roman" w:hAnsi="Times New Roman" w:eastAsia="仿宋_GB2312" w:cs="Times New Roman"/>
          <w:color w:val="auto"/>
          <w:kern w:val="2"/>
          <w:sz w:val="32"/>
          <w:szCs w:val="32"/>
          <w:lang w:val="zh-CN" w:eastAsia="zh-CN" w:bidi="ar-SA"/>
        </w:rPr>
        <w:t>元,比上年增加</w:t>
      </w:r>
      <w:r>
        <w:rPr>
          <w:rFonts w:hint="eastAsia" w:ascii="Times New Roman" w:hAnsi="Times New Roman" w:eastAsia="仿宋_GB2312" w:cs="Times New Roman"/>
          <w:color w:val="auto"/>
          <w:kern w:val="2"/>
          <w:sz w:val="32"/>
          <w:szCs w:val="32"/>
          <w:lang w:val="en-US" w:eastAsia="zh-CN" w:bidi="ar-SA"/>
        </w:rPr>
        <w:t>16.12</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11.8</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35名</w:t>
      </w:r>
      <w:r>
        <w:rPr>
          <w:rFonts w:hint="eastAsia" w:ascii="Times New Roman" w:hAnsi="Times New Roman" w:eastAsia="仿宋_GB2312" w:cs="Times New Roman"/>
          <w:color w:val="auto"/>
          <w:kern w:val="2"/>
          <w:sz w:val="32"/>
          <w:szCs w:val="32"/>
          <w:lang w:val="zh-CN" w:eastAsia="zh-CN" w:bidi="ar-SA"/>
        </w:rPr>
        <w:t>退休人员月度生活补贴</w:t>
      </w:r>
      <w:r>
        <w:rPr>
          <w:rFonts w:hint="default" w:ascii="Times New Roman" w:hAnsi="Times New Roman" w:eastAsia="仿宋_GB2312" w:cs="Times New Roman"/>
          <w:color w:val="auto"/>
          <w:kern w:val="2"/>
          <w:sz w:val="32"/>
          <w:szCs w:val="32"/>
          <w:lang w:val="zh-CN" w:eastAsia="zh-CN" w:bidi="ar-SA"/>
        </w:rPr>
        <w:t>；本年支出 136.43万元，比上年增加</w:t>
      </w:r>
      <w:r>
        <w:rPr>
          <w:rFonts w:hint="eastAsia" w:ascii="Times New Roman" w:hAnsi="Times New Roman" w:eastAsia="仿宋_GB2312" w:cs="Times New Roman"/>
          <w:color w:val="auto"/>
          <w:kern w:val="2"/>
          <w:sz w:val="32"/>
          <w:szCs w:val="32"/>
          <w:lang w:val="en-US" w:eastAsia="zh-CN" w:bidi="ar-SA"/>
        </w:rPr>
        <w:t>11.8</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11.8</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35名</w:t>
      </w:r>
      <w:r>
        <w:rPr>
          <w:rFonts w:hint="eastAsia" w:ascii="Times New Roman" w:hAnsi="Times New Roman" w:eastAsia="仿宋_GB2312" w:cs="Times New Roman"/>
          <w:color w:val="auto"/>
          <w:kern w:val="2"/>
          <w:sz w:val="32"/>
          <w:szCs w:val="32"/>
          <w:lang w:val="zh-CN" w:eastAsia="zh-CN" w:bidi="ar-SA"/>
        </w:rPr>
        <w:t>退休人员月度生活补贴</w:t>
      </w:r>
      <w:r>
        <w:rPr>
          <w:rFonts w:hint="default" w:ascii="Times New Roman" w:hAnsi="Times New Roman" w:eastAsia="仿宋_GB2312" w:cs="Times New Roman"/>
          <w:color w:val="auto"/>
          <w:kern w:val="2"/>
          <w:sz w:val="32"/>
          <w:szCs w:val="32"/>
          <w:lang w:val="zh-CN" w:eastAsia="zh-CN" w:bidi="ar-SA"/>
        </w:rPr>
        <w:t>。具体情况如下：</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1. 一般公共预算财政拨款本年收入136.43</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,比上年增加</w:t>
      </w:r>
      <w:r>
        <w:rPr>
          <w:rFonts w:hint="eastAsia" w:ascii="Times New Roman" w:hAnsi="Times New Roman" w:eastAsia="仿宋_GB2312" w:cs="Times New Roman"/>
          <w:kern w:val="2"/>
          <w:sz w:val="32"/>
          <w:szCs w:val="32"/>
          <w:lang w:val="en-US" w:eastAsia="zh-CN"/>
        </w:rPr>
        <w:t>16.12</w:t>
      </w:r>
      <w:r>
        <w:rPr>
          <w:rFonts w:hint="default" w:ascii="Times New Roman" w:hAnsi="Times New Roman" w:eastAsia="仿宋_GB2312" w:cs="Times New Roman"/>
          <w:kern w:val="2"/>
          <w:sz w:val="32"/>
          <w:szCs w:val="32"/>
          <w:lang w:val="zh-CN"/>
        </w:rPr>
        <w:t>万元</w:t>
      </w:r>
      <w:r>
        <w:rPr>
          <w:rFonts w:hint="eastAsia"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35名</w:t>
      </w:r>
      <w:r>
        <w:rPr>
          <w:rFonts w:hint="eastAsia" w:ascii="Times New Roman" w:hAnsi="Times New Roman" w:eastAsia="仿宋_GB2312" w:cs="Times New Roman"/>
          <w:color w:val="auto"/>
          <w:kern w:val="2"/>
          <w:sz w:val="32"/>
          <w:szCs w:val="32"/>
          <w:lang w:val="zh-CN" w:eastAsia="zh-CN" w:bidi="ar-SA"/>
        </w:rPr>
        <w:t>退休人员月度生活补贴</w:t>
      </w:r>
      <w:r>
        <w:rPr>
          <w:rFonts w:hint="default" w:ascii="Times New Roman" w:hAnsi="Times New Roman" w:eastAsia="仿宋_GB2312" w:cs="Times New Roman"/>
          <w:kern w:val="2"/>
          <w:sz w:val="32"/>
          <w:szCs w:val="32"/>
          <w:lang w:val="zh-CN"/>
        </w:rPr>
        <w:t>；本年支出 136.43</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元，比上年增加</w:t>
      </w:r>
      <w:r>
        <w:rPr>
          <w:rFonts w:hint="eastAsia" w:ascii="Times New Roman" w:hAnsi="Times New Roman" w:eastAsia="仿宋_GB2312" w:cs="Times New Roman"/>
          <w:kern w:val="2"/>
          <w:sz w:val="32"/>
          <w:szCs w:val="32"/>
          <w:lang w:val="en-US" w:eastAsia="zh-CN"/>
        </w:rPr>
        <w:t>16.12</w:t>
      </w:r>
      <w:r>
        <w:rPr>
          <w:rFonts w:hint="default" w:ascii="Times New Roman" w:hAnsi="Times New Roman" w:eastAsia="仿宋_GB2312" w:cs="Times New Roman"/>
          <w:kern w:val="2"/>
          <w:sz w:val="32"/>
          <w:szCs w:val="32"/>
          <w:lang w:val="zh-CN"/>
        </w:rPr>
        <w:t>万元，增长</w:t>
      </w:r>
      <w:r>
        <w:rPr>
          <w:rFonts w:hint="eastAsia" w:ascii="Times New Roman" w:hAnsi="Times New Roman" w:eastAsia="仿宋_GB2312" w:cs="Times New Roman"/>
          <w:kern w:val="2"/>
          <w:sz w:val="32"/>
          <w:szCs w:val="32"/>
          <w:lang w:val="en-US" w:eastAsia="zh-CN"/>
        </w:rPr>
        <w:t>11.8</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35名</w:t>
      </w:r>
      <w:r>
        <w:rPr>
          <w:rFonts w:hint="eastAsia" w:ascii="Times New Roman" w:hAnsi="Times New Roman" w:eastAsia="仿宋_GB2312" w:cs="Times New Roman"/>
          <w:color w:val="auto"/>
          <w:kern w:val="2"/>
          <w:sz w:val="32"/>
          <w:szCs w:val="32"/>
          <w:lang w:val="zh-CN" w:eastAsia="zh-CN" w:bidi="ar-SA"/>
        </w:rPr>
        <w:t>退休人员月度生活补贴</w:t>
      </w:r>
      <w:r>
        <w:rPr>
          <w:rFonts w:hint="default" w:ascii="Times New Roman" w:hAnsi="Times New Roman" w:eastAsia="仿宋_GB2312" w:cs="Times New Roman"/>
          <w:kern w:val="2"/>
          <w:sz w:val="32"/>
          <w:szCs w:val="32"/>
          <w:lang w:val="zh-CN"/>
        </w:rPr>
        <w:t>。</w:t>
      </w:r>
    </w:p>
    <w:p>
      <w:pPr>
        <w:snapToGrid w:val="0"/>
        <w:spacing w:line="580" w:lineRule="exact"/>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（二）财政拨款收支与年初预算数对比情况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年度财政拨款本年收入136.43万元，完成年初预算的105.1%，比年初预算增加</w:t>
      </w:r>
      <w:r>
        <w:rPr>
          <w:rFonts w:hint="eastAsia" w:ascii="Times New Roman" w:hAnsi="Times New Roman" w:eastAsia="仿宋_GB2312" w:cs="Times New Roman"/>
          <w:color w:val="auto"/>
          <w:kern w:val="2"/>
          <w:sz w:val="32"/>
          <w:szCs w:val="32"/>
          <w:lang w:val="en-US" w:eastAsia="zh-CN" w:bidi="ar-SA"/>
        </w:rPr>
        <w:t>6.62</w:t>
      </w:r>
      <w:r>
        <w:rPr>
          <w:rFonts w:hint="default" w:ascii="Times New Roman" w:hAnsi="Times New Roman" w:eastAsia="仿宋_GB2312" w:cs="Times New Roman"/>
          <w:color w:val="auto"/>
          <w:kern w:val="2"/>
          <w:sz w:val="32"/>
          <w:szCs w:val="32"/>
          <w:lang w:val="zh-CN" w:eastAsia="zh-CN" w:bidi="ar-SA"/>
        </w:rPr>
        <w:t>万元，决算数大于预算数主要原因是</w:t>
      </w:r>
      <w:r>
        <w:rPr>
          <w:rFonts w:hint="eastAsia"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35名</w:t>
      </w:r>
      <w:r>
        <w:rPr>
          <w:rFonts w:hint="eastAsia" w:ascii="Times New Roman" w:hAnsi="Times New Roman" w:eastAsia="仿宋_GB2312" w:cs="Times New Roman"/>
          <w:color w:val="auto"/>
          <w:kern w:val="2"/>
          <w:sz w:val="32"/>
          <w:szCs w:val="32"/>
          <w:lang w:val="zh-CN" w:eastAsia="zh-CN" w:bidi="ar-SA"/>
        </w:rPr>
        <w:t>退休人员月度生活补贴</w:t>
      </w:r>
      <w:r>
        <w:rPr>
          <w:rFonts w:hint="default" w:ascii="Times New Roman" w:hAnsi="Times New Roman" w:eastAsia="仿宋_GB2312" w:cs="Times New Roman"/>
          <w:color w:val="auto"/>
          <w:kern w:val="2"/>
          <w:sz w:val="32"/>
          <w:szCs w:val="32"/>
          <w:lang w:val="zh-CN" w:eastAsia="zh-CN" w:bidi="ar-SA"/>
        </w:rPr>
        <w:t xml:space="preserve"> ；本年支出136.43万元，完成年初预算的105.1%，比年初预算增加</w:t>
      </w:r>
      <w:r>
        <w:rPr>
          <w:rFonts w:hint="eastAsia" w:ascii="Times New Roman" w:hAnsi="Times New Roman" w:eastAsia="仿宋_GB2312" w:cs="Times New Roman"/>
          <w:color w:val="auto"/>
          <w:kern w:val="2"/>
          <w:sz w:val="32"/>
          <w:szCs w:val="32"/>
          <w:lang w:val="en-US" w:eastAsia="zh-CN" w:bidi="ar-SA"/>
        </w:rPr>
        <w:t>6.62</w:t>
      </w:r>
      <w:r>
        <w:rPr>
          <w:rFonts w:hint="default" w:ascii="Times New Roman" w:hAnsi="Times New Roman" w:eastAsia="仿宋_GB2312" w:cs="Times New Roman"/>
          <w:color w:val="auto"/>
          <w:kern w:val="2"/>
          <w:sz w:val="32"/>
          <w:szCs w:val="32"/>
          <w:lang w:val="zh-CN" w:eastAsia="zh-CN" w:bidi="ar-SA"/>
        </w:rPr>
        <w:t>万元，决算数</w:t>
      </w:r>
      <w:r>
        <w:rPr>
          <w:rFonts w:hint="default" w:ascii="Times New Roman" w:hAnsi="Times New Roman" w:eastAsia="仿宋_GB2312" w:cs="Times New Roman"/>
          <w:kern w:val="2"/>
          <w:sz w:val="32"/>
          <w:szCs w:val="32"/>
          <w:lang w:val="zh-CN"/>
        </w:rPr>
        <w:t>大于预算数主要原因是</w:t>
      </w:r>
      <w:r>
        <w:rPr>
          <w:rFonts w:hint="eastAsia"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35名</w:t>
      </w:r>
      <w:r>
        <w:rPr>
          <w:rFonts w:hint="eastAsia" w:ascii="Times New Roman" w:hAnsi="Times New Roman" w:eastAsia="仿宋_GB2312" w:cs="Times New Roman"/>
          <w:color w:val="auto"/>
          <w:kern w:val="2"/>
          <w:sz w:val="32"/>
          <w:szCs w:val="32"/>
          <w:lang w:val="zh-CN" w:eastAsia="zh-CN" w:bidi="ar-SA"/>
        </w:rPr>
        <w:t>退休人员月度生活补贴</w:t>
      </w:r>
      <w:r>
        <w:rPr>
          <w:rFonts w:hint="default" w:ascii="Times New Roman" w:hAnsi="Times New Roman" w:eastAsia="仿宋_GB2312" w:cs="Times New Roman"/>
          <w:kern w:val="2"/>
          <w:sz w:val="32"/>
          <w:szCs w:val="32"/>
          <w:lang w:val="zh-CN"/>
        </w:rPr>
        <w:t>。具体情况如下：</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val="zh-CN"/>
        </w:rPr>
        <w:t>一般公共预算财政拨款</w:t>
      </w:r>
      <w:r>
        <w:rPr>
          <w:rFonts w:hint="default" w:ascii="Times New Roman" w:hAnsi="Times New Roman" w:eastAsia="仿宋_GB2312" w:cs="Times New Roman"/>
          <w:kern w:val="2"/>
          <w:sz w:val="32"/>
          <w:szCs w:val="32"/>
          <w:lang w:val="en-US" w:eastAsia="zh-CN"/>
        </w:rPr>
        <w:t>本年</w:t>
      </w:r>
      <w:r>
        <w:rPr>
          <w:rFonts w:hint="default" w:ascii="Times New Roman" w:hAnsi="Times New Roman" w:eastAsia="仿宋_GB2312" w:cs="Times New Roman"/>
          <w:kern w:val="2"/>
          <w:sz w:val="32"/>
          <w:szCs w:val="32"/>
          <w:lang w:val="zh-CN"/>
        </w:rPr>
        <w:t>收入136.43万元，完成年初预算的 105.1%，比年初预算增加</w:t>
      </w:r>
      <w:r>
        <w:rPr>
          <w:rFonts w:hint="eastAsia" w:ascii="Times New Roman" w:hAnsi="Times New Roman" w:eastAsia="仿宋_GB2312" w:cs="Times New Roman"/>
          <w:kern w:val="2"/>
          <w:sz w:val="32"/>
          <w:szCs w:val="32"/>
          <w:lang w:val="en-US" w:eastAsia="zh-CN"/>
        </w:rPr>
        <w:t>6.62</w:t>
      </w:r>
      <w:r>
        <w:rPr>
          <w:rFonts w:hint="default"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35名</w:t>
      </w:r>
      <w:r>
        <w:rPr>
          <w:rFonts w:hint="eastAsia" w:ascii="Times New Roman" w:hAnsi="Times New Roman" w:eastAsia="仿宋_GB2312" w:cs="Times New Roman"/>
          <w:color w:val="auto"/>
          <w:kern w:val="2"/>
          <w:sz w:val="32"/>
          <w:szCs w:val="32"/>
          <w:lang w:val="zh-CN" w:eastAsia="zh-CN" w:bidi="ar-SA"/>
        </w:rPr>
        <w:t>退休人员月度生活补贴</w:t>
      </w:r>
      <w:r>
        <w:rPr>
          <w:rFonts w:hint="default" w:ascii="Times New Roman" w:hAnsi="Times New Roman" w:eastAsia="仿宋_GB2312" w:cs="Times New Roman"/>
          <w:kern w:val="2"/>
          <w:sz w:val="32"/>
          <w:szCs w:val="32"/>
          <w:lang w:val="zh-CN"/>
        </w:rPr>
        <w:t>；本年支出136.43万元，完成年初预算的105.1%，比年初预算增加</w:t>
      </w:r>
      <w:r>
        <w:rPr>
          <w:rFonts w:hint="eastAsia" w:ascii="Times New Roman" w:hAnsi="Times New Roman" w:eastAsia="仿宋_GB2312" w:cs="Times New Roman"/>
          <w:kern w:val="2"/>
          <w:sz w:val="32"/>
          <w:szCs w:val="32"/>
          <w:lang w:val="en-US" w:eastAsia="zh-CN"/>
        </w:rPr>
        <w:t>6.62</w:t>
      </w:r>
      <w:r>
        <w:rPr>
          <w:rFonts w:hint="default"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35名</w:t>
      </w:r>
      <w:r>
        <w:rPr>
          <w:rFonts w:hint="eastAsia" w:ascii="Times New Roman" w:hAnsi="Times New Roman" w:eastAsia="仿宋_GB2312" w:cs="Times New Roman"/>
          <w:color w:val="auto"/>
          <w:kern w:val="2"/>
          <w:sz w:val="32"/>
          <w:szCs w:val="32"/>
          <w:lang w:val="zh-CN" w:eastAsia="zh-CN" w:bidi="ar-SA"/>
        </w:rPr>
        <w:t>退休人员月度生活补贴</w:t>
      </w:r>
      <w:r>
        <w:rPr>
          <w:rFonts w:hint="default" w:ascii="Times New Roman" w:hAnsi="Times New Roman" w:eastAsia="仿宋_GB2312" w:cs="Times New Roman"/>
          <w:kern w:val="2"/>
          <w:sz w:val="32"/>
          <w:szCs w:val="32"/>
          <w:lang w:val="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（三）财政拨款支出决算结构情况</w:t>
      </w:r>
    </w:p>
    <w:p>
      <w:pPr>
        <w:keepNext w:val="0"/>
        <w:keepLines w:val="0"/>
        <w:pageBreakBefore w:val="0"/>
        <w:kinsoku/>
        <w:wordWrap/>
        <w:overflowPunct/>
        <w:topLinePunct w:val="0"/>
        <w:autoSpaceDE/>
        <w:autoSpaceDN/>
        <w:bidi w:val="0"/>
        <w:adjustRightInd w:val="0"/>
        <w:snapToGrid w:val="0"/>
        <w:spacing w:line="580" w:lineRule="exact"/>
        <w:ind w:firstLine="66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000000"/>
          <w:spacing w:val="0"/>
          <w:sz w:val="33"/>
          <w:szCs w:val="33"/>
          <w:highlight w:val="none"/>
          <w:shd w:val="clear" w:fill="FFFFFF"/>
        </w:rPr>
        <w:t> </w:t>
      </w:r>
      <w:r>
        <w:rPr>
          <w:rFonts w:hint="default" w:ascii="Times New Roman" w:hAnsi="Times New Roman" w:eastAsia="仿宋_GB2312" w:cs="Times New Roman"/>
          <w:kern w:val="2"/>
          <w:sz w:val="32"/>
          <w:szCs w:val="32"/>
          <w:lang w:val="zh-CN"/>
        </w:rPr>
        <w:t> 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zh-CN"/>
        </w:rPr>
        <w:t>年度财政拨款支出136.43万元，主要用于以下方面：</w:t>
      </w:r>
      <w:r>
        <w:rPr>
          <w:rFonts w:hint="default" w:ascii="Times New Roman" w:hAnsi="Times New Roman" w:eastAsia="仿宋_GB2312" w:cs="Times New Roman"/>
          <w:color w:val="auto"/>
          <w:kern w:val="2"/>
          <w:sz w:val="32"/>
          <w:szCs w:val="32"/>
          <w:lang w:val="zh-CN" w:eastAsia="zh-CN" w:bidi="ar-SA"/>
        </w:rPr>
        <w:t>社会保障和就业 （类）支出2.64万元，占1.94</w:t>
      </w:r>
      <w:r>
        <w:rPr>
          <w:rFonts w:hint="eastAsia" w:ascii="Times New Roman" w:hAnsi="Times New Roman" w:eastAsia="仿宋_GB2312" w:cs="Times New Roman"/>
          <w:color w:val="auto"/>
          <w:kern w:val="2"/>
          <w:sz w:val="32"/>
          <w:szCs w:val="32"/>
          <w:lang w:val="en-US" w:eastAsia="zh-CN" w:bidi="ar-SA"/>
        </w:rPr>
        <w:t>%，主要用于单位全额供养人员的基本养老保险缴费支出；</w:t>
      </w:r>
      <w:r>
        <w:rPr>
          <w:rFonts w:hint="default" w:ascii="Times New Roman" w:hAnsi="Times New Roman" w:eastAsia="仿宋_GB2312" w:cs="Times New Roman"/>
          <w:color w:val="auto"/>
          <w:kern w:val="2"/>
          <w:sz w:val="32"/>
          <w:szCs w:val="32"/>
          <w:lang w:val="zh-CN" w:eastAsia="zh-CN" w:bidi="ar-SA"/>
        </w:rPr>
        <w:t>卫生健康（类）支出1.11万元，占0.81%</w:t>
      </w:r>
      <w:r>
        <w:rPr>
          <w:rFonts w:hint="eastAsia" w:ascii="Times New Roman" w:hAnsi="Times New Roman" w:eastAsia="仿宋_GB2312" w:cs="Times New Roman"/>
          <w:color w:val="auto"/>
          <w:kern w:val="2"/>
          <w:sz w:val="32"/>
          <w:szCs w:val="32"/>
          <w:lang w:val="zh-CN" w:eastAsia="zh-CN" w:bidi="ar-SA"/>
        </w:rPr>
        <w:t>，主要用于其他行政事业单位医疗支出</w:t>
      </w:r>
      <w:r>
        <w:rPr>
          <w:rFonts w:hint="default" w:ascii="Times New Roman" w:hAnsi="Times New Roman" w:eastAsia="仿宋_GB2312" w:cs="Times New Roman"/>
          <w:color w:val="auto"/>
          <w:kern w:val="2"/>
          <w:sz w:val="32"/>
          <w:szCs w:val="32"/>
          <w:lang w:val="zh-CN" w:eastAsia="zh-CN" w:bidi="ar-SA"/>
        </w:rPr>
        <w:t>；农林水（类）支出130.51万元，占95.66%</w:t>
      </w:r>
      <w:r>
        <w:rPr>
          <w:rFonts w:hint="eastAsia" w:ascii="Times New Roman" w:hAnsi="Times New Roman" w:eastAsia="仿宋_GB2312" w:cs="Times New Roman"/>
          <w:color w:val="auto"/>
          <w:kern w:val="2"/>
          <w:sz w:val="32"/>
          <w:szCs w:val="32"/>
          <w:lang w:val="zh-CN" w:eastAsia="zh-CN" w:bidi="ar-SA"/>
        </w:rPr>
        <w:t>，主要用于行政运行和水利工程建设支出</w:t>
      </w:r>
      <w:r>
        <w:rPr>
          <w:rFonts w:hint="default" w:ascii="Times New Roman" w:hAnsi="Times New Roman" w:eastAsia="仿宋_GB2312" w:cs="Times New Roman"/>
          <w:color w:val="auto"/>
          <w:kern w:val="2"/>
          <w:sz w:val="32"/>
          <w:szCs w:val="32"/>
          <w:lang w:val="zh-CN" w:eastAsia="zh-CN" w:bidi="ar-SA"/>
        </w:rPr>
        <w:t>；住房保障（类）支出2.17万元，占1.59%</w:t>
      </w:r>
      <w:r>
        <w:rPr>
          <w:rFonts w:hint="eastAsia" w:ascii="Times New Roman" w:hAnsi="Times New Roman" w:eastAsia="仿宋_GB2312" w:cs="Times New Roman"/>
          <w:color w:val="auto"/>
          <w:kern w:val="2"/>
          <w:sz w:val="32"/>
          <w:szCs w:val="32"/>
          <w:lang w:val="zh-CN" w:eastAsia="zh-CN" w:bidi="ar-SA"/>
        </w:rPr>
        <w:t>，主要是住房公积金支出。</w:t>
      </w:r>
    </w:p>
    <w:p>
      <w:pPr>
        <w:pStyle w:val="10"/>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pPr>
      <w:r>
        <w:rPr>
          <w:rFonts w:hint="default" w:ascii="Times New Roman" w:hAnsi="Times New Roman" w:eastAsia="楷体_GB2312" w:cs="Times New Roman"/>
          <w:b/>
          <w:bCs/>
          <w:kern w:val="2"/>
          <w:sz w:val="32"/>
          <w:szCs w:val="32"/>
          <w:lang w:val="en-US" w:eastAsia="zh-CN" w:bidi="ar-SA"/>
        </w:rPr>
        <w:t>一般公共预算基本支出决算情况说明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年度财政拨款基本支出28.54万元，其中：人员经费28.3万元，主要包括基本工资、绩效工资、机关事业</w:t>
      </w:r>
      <w:r>
        <w:rPr>
          <w:rFonts w:hint="eastAsia" w:ascii="Times New Roman" w:hAnsi="Times New Roman" w:eastAsia="仿宋_GB2312" w:cs="Times New Roman"/>
          <w:color w:val="auto"/>
          <w:kern w:val="2"/>
          <w:sz w:val="32"/>
          <w:szCs w:val="32"/>
          <w:lang w:val="zh-CN" w:eastAsia="zh-CN" w:bidi="ar-SA"/>
        </w:rPr>
        <w:t>单位</w:t>
      </w:r>
      <w:r>
        <w:rPr>
          <w:rFonts w:hint="default" w:ascii="Times New Roman" w:hAnsi="Times New Roman" w:eastAsia="仿宋_GB2312" w:cs="Times New Roman"/>
          <w:color w:val="auto"/>
          <w:kern w:val="2"/>
          <w:sz w:val="32"/>
          <w:szCs w:val="32"/>
          <w:lang w:val="zh-CN" w:eastAsia="zh-CN" w:bidi="ar-SA"/>
        </w:rPr>
        <w:t>基本养老保险缴费、职业年金缴费、职工基本医疗保险缴费、住房公积金、其他工资福利</w:t>
      </w:r>
      <w:r>
        <w:rPr>
          <w:rFonts w:hint="eastAsia" w:ascii="Times New Roman" w:hAnsi="Times New Roman" w:eastAsia="仿宋_GB2312" w:cs="Times New Roman"/>
          <w:color w:val="auto"/>
          <w:kern w:val="2"/>
          <w:sz w:val="32"/>
          <w:szCs w:val="32"/>
          <w:lang w:val="zh-CN" w:eastAsia="zh-CN" w:bidi="ar-SA"/>
        </w:rPr>
        <w:t>支出</w:t>
      </w:r>
      <w:r>
        <w:rPr>
          <w:rFonts w:hint="default" w:ascii="Times New Roman" w:hAnsi="Times New Roman" w:eastAsia="仿宋_GB2312" w:cs="Times New Roman"/>
          <w:color w:val="auto"/>
          <w:kern w:val="2"/>
          <w:sz w:val="32"/>
          <w:szCs w:val="32"/>
          <w:lang w:val="zh-CN"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0"/>
          <w:sz w:val="32"/>
          <w:szCs w:val="32"/>
          <w:highlight w:val="yellow"/>
          <w:lang w:val="en-US"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t xml:space="preserve">   </w:t>
      </w:r>
      <w:r>
        <w:rPr>
          <w:rFonts w:hint="default" w:ascii="Times New Roman" w:hAnsi="Times New Roman" w:eastAsia="仿宋_GB2312" w:cs="Times New Roman"/>
          <w:color w:val="auto"/>
          <w:kern w:val="2"/>
          <w:sz w:val="32"/>
          <w:szCs w:val="32"/>
          <w:lang w:val="zh-CN" w:eastAsia="zh-CN" w:bidi="ar-SA"/>
        </w:rPr>
        <w:t>公用经费0.24万元，主要包括办公费、电费、邮电费</w:t>
      </w:r>
      <w:r>
        <w:rPr>
          <w:rFonts w:hint="eastAsia" w:ascii="Times New Roman" w:hAnsi="Times New Roman" w:eastAsia="仿宋_GB2312" w:cs="Times New Roman"/>
          <w:color w:val="auto"/>
          <w:kern w:val="2"/>
          <w:sz w:val="32"/>
          <w:szCs w:val="32"/>
          <w:lang w:val="zh-CN"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仿宋_GB2312" w:cs="Times New Roman"/>
          <w:color w:val="auto"/>
          <w:kern w:val="0"/>
          <w:sz w:val="32"/>
          <w:szCs w:val="32"/>
          <w:highlight w:val="yellow"/>
          <w:lang w:val="en-US" w:eastAsia="zh-CN" w:bidi="ar-SA"/>
        </w:rPr>
      </w:pPr>
      <w:r>
        <w:rPr>
          <w:rFonts w:hint="default" w:ascii="Times New Roman" w:hAnsi="Times New Roman" w:eastAsia="黑体" w:cs="Times New Roman"/>
          <w:kern w:val="2"/>
          <w:sz w:val="32"/>
          <w:szCs w:val="32"/>
          <w:lang w:val="en-US" w:eastAsia="zh-CN" w:bidi="ar-SA"/>
        </w:rPr>
        <w:t>五、财政拨款“三公” 经费支出决算情况说明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（一）“三公”经费财政拨款支出决算总体情况说明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eastAsia="zh-CN"/>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年度“三公”经费财政拨款支出预算为0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万元，支出决算为 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万元，完成预算的 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预算</w:t>
      </w:r>
      <w:r>
        <w:rPr>
          <w:rFonts w:hint="eastAsia" w:ascii="Times New Roman" w:hAnsi="Times New Roman" w:eastAsia="仿宋_GB2312" w:cs="Times New Roman"/>
          <w:color w:val="auto"/>
          <w:kern w:val="2"/>
          <w:sz w:val="32"/>
          <w:szCs w:val="32"/>
          <w:lang w:val="zh-CN" w:eastAsia="zh-CN" w:bidi="ar-SA"/>
        </w:rPr>
        <w:t>持平</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我单位无“三公”经费预算与支出</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2022年</w:t>
      </w:r>
      <w:r>
        <w:rPr>
          <w:rFonts w:hint="eastAsia" w:ascii="Times New Roman" w:hAnsi="Times New Roman" w:eastAsia="仿宋_GB2312" w:cs="Times New Roman"/>
          <w:color w:val="auto"/>
          <w:kern w:val="2"/>
          <w:sz w:val="32"/>
          <w:szCs w:val="32"/>
          <w:lang w:val="zh-CN" w:eastAsia="zh-CN" w:bidi="ar-SA"/>
        </w:rPr>
        <w:t>度持平</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我单位无“三公”经费预算与支出</w:t>
      </w:r>
      <w:r>
        <w:rPr>
          <w:rFonts w:hint="default" w:ascii="Times New Roman" w:hAnsi="Times New Roman" w:eastAsia="仿宋_GB2312" w:cs="Times New Roman"/>
          <w:color w:val="auto"/>
          <w:kern w:val="2"/>
          <w:sz w:val="32"/>
          <w:szCs w:val="32"/>
          <w:lang w:val="zh-CN" w:eastAsia="zh-CN" w:bidi="ar-SA"/>
        </w:rPr>
        <w:t>。</w:t>
      </w:r>
    </w:p>
    <w:p>
      <w:pPr>
        <w:adjustRightInd w:val="0"/>
        <w:snapToGrid w:val="0"/>
        <w:spacing w:line="580" w:lineRule="exact"/>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（二）“三公”经费财政拨款支出决算具体情况说明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2"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1.因公出国（境）费支出情况。</w:t>
      </w:r>
      <w:r>
        <w:rPr>
          <w:rFonts w:hint="default" w:ascii="Times New Roman" w:hAnsi="Times New Roman" w:eastAsia="仿宋_GB2312" w:cs="Times New Roman"/>
          <w:color w:val="auto"/>
          <w:kern w:val="2"/>
          <w:sz w:val="32"/>
          <w:szCs w:val="32"/>
          <w:lang w:val="zh-CN" w:eastAsia="zh-CN" w:bidi="ar-SA"/>
        </w:rPr>
        <w:t>本单位</w:t>
      </w:r>
      <w:r>
        <w:rPr>
          <w:rFonts w:hint="default" w:ascii="Times New Roman" w:hAnsi="Times New Roman" w:eastAsia="仿宋_GB2312" w:cs="Times New Roman"/>
          <w:color w:val="auto"/>
          <w:kern w:val="2"/>
          <w:sz w:val="32"/>
          <w:szCs w:val="32"/>
          <w:lang w:val="en-US" w:eastAsia="zh-CN" w:bidi="ar-SA"/>
        </w:rPr>
        <w:t>2023年度因公出国（境）费支出预算为0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en-US" w:eastAsia="zh-CN" w:bidi="ar-SA"/>
        </w:rPr>
        <w:t>万元,支出决算0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en-US" w:eastAsia="zh-CN" w:bidi="ar-SA"/>
        </w:rPr>
        <w:t>万元。因公出国（境）团组0个、共</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人、参加其他单位组织的因公出国（境）团组</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个、共</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人</w:t>
      </w:r>
      <w:r>
        <w:rPr>
          <w:rFonts w:hint="eastAsia" w:ascii="Times New Roman" w:hAnsi="Times New Roman" w:eastAsia="仿宋_GB2312" w:cs="Times New Roman"/>
          <w:color w:val="auto"/>
          <w:kern w:val="2"/>
          <w:sz w:val="32"/>
          <w:szCs w:val="32"/>
          <w:lang w:val="en-US" w:eastAsia="zh-CN" w:bidi="ar-SA"/>
        </w:rPr>
        <w:t>。因公出国（境）费支出与预算相比持平；与2022年度决算支出持平，主要是无本单位</w:t>
      </w:r>
      <w:r>
        <w:rPr>
          <w:rFonts w:hint="default" w:ascii="Times New Roman" w:hAnsi="Times New Roman" w:eastAsia="仿宋_GB2312" w:cs="Times New Roman"/>
          <w:color w:val="auto"/>
          <w:kern w:val="2"/>
          <w:sz w:val="32"/>
          <w:szCs w:val="32"/>
          <w:lang w:val="en-US" w:eastAsia="zh-CN" w:bidi="ar-SA"/>
        </w:rPr>
        <w:t>组织的出国（境）团组。</w:t>
      </w:r>
    </w:p>
    <w:p>
      <w:pPr>
        <w:keepNext w:val="0"/>
        <w:keepLines w:val="0"/>
        <w:pageBreakBefore w:val="0"/>
        <w:kinsoku/>
        <w:wordWrap/>
        <w:overflowPunct/>
        <w:topLinePunct w:val="0"/>
        <w:autoSpaceDE/>
        <w:autoSpaceDN/>
        <w:bidi w:val="0"/>
        <w:adjustRightInd w:val="0"/>
        <w:snapToGrid w:val="0"/>
        <w:spacing w:line="580" w:lineRule="exact"/>
        <w:ind w:firstLine="642"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楷体_GB2312" w:cs="Times New Roman"/>
          <w:b/>
          <w:bCs/>
          <w:kern w:val="2"/>
          <w:sz w:val="32"/>
          <w:szCs w:val="32"/>
          <w:lang w:val="en-US" w:eastAsia="zh-CN" w:bidi="ar-SA"/>
        </w:rPr>
        <w:t>2.</w:t>
      </w:r>
      <w:r>
        <w:rPr>
          <w:rFonts w:hint="default" w:ascii="Times New Roman" w:hAnsi="Times New Roman" w:eastAsia="楷体_GB2312" w:cs="Times New Roman"/>
          <w:b/>
          <w:bCs/>
          <w:sz w:val="32"/>
          <w:szCs w:val="32"/>
        </w:rPr>
        <w:t>公务用车购置及运行维护费支出情况。</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年度公务用车购置及运行维护费预算为0万元，支出决算 0万元，完成预算的0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与预算持平，主要是未发生“公务用车购置及运行维护费”支出；与上年持平，主要是未发生“公务用车购置及运行维护费”支出。其中：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Arial" w:cs="Times New Roman"/>
          <w:highlight w:val="none"/>
        </w:rPr>
      </w:pPr>
    </w:p>
    <w:p>
      <w:pPr>
        <w:adjustRightInd w:val="0"/>
        <w:snapToGrid w:val="0"/>
        <w:spacing w:line="580" w:lineRule="exact"/>
        <w:ind w:firstLine="642" w:firstLineChars="200"/>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b/>
          <w:sz w:val="32"/>
          <w:szCs w:val="32"/>
        </w:rPr>
        <w:t>公务用车购置费支</w:t>
      </w:r>
      <w:r>
        <w:rPr>
          <w:rFonts w:hint="eastAsia" w:ascii="Times New Roman" w:hAnsi="Times New Roman" w:eastAsia="仿宋_GB2312" w:cs="Times New Roman"/>
          <w:b/>
          <w:sz w:val="32"/>
          <w:szCs w:val="32"/>
          <w:lang w:eastAsia="zh-CN"/>
        </w:rPr>
        <w:t>出</w:t>
      </w:r>
      <w:r>
        <w:rPr>
          <w:rFonts w:hint="eastAsia" w:ascii="Times New Roman" w:hAnsi="Times New Roman" w:eastAsia="仿宋_GB2312" w:cs="Times New Roman"/>
          <w:b/>
          <w:sz w:val="32"/>
          <w:szCs w:val="32"/>
          <w:lang w:val="en-US" w:eastAsia="zh-CN"/>
        </w:rPr>
        <w:t>0.00</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年度公务用车购置量0辆，发生“公务用车购置”经费支出 0万元。</w:t>
      </w:r>
      <w:r>
        <w:rPr>
          <w:rFonts w:hint="eastAsia" w:ascii="Times New Roman" w:hAnsi="Times New Roman" w:eastAsia="仿宋_GB2312" w:cs="Times New Roman"/>
          <w:color w:val="auto"/>
          <w:kern w:val="2"/>
          <w:sz w:val="32"/>
          <w:szCs w:val="32"/>
          <w:lang w:val="zh-CN" w:eastAsia="zh-CN" w:bidi="ar-SA"/>
        </w:rPr>
        <w:t>公务用车购置费支出与预算持平，主要是未发生“公务用车购置”经费支出；与上年持平，主要是未发生“公务用车购置”经费支出。</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0.00万元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年度单位公务用车</w:t>
      </w:r>
      <w:r>
        <w:rPr>
          <w:rFonts w:hint="eastAsia" w:ascii="Times New Roman" w:hAnsi="Times New Roman" w:eastAsia="仿宋_GB2312" w:cs="Times New Roman"/>
          <w:color w:val="auto"/>
          <w:kern w:val="2"/>
          <w:sz w:val="32"/>
          <w:szCs w:val="32"/>
          <w:lang w:val="zh-CN" w:eastAsia="zh-CN" w:bidi="ar-SA"/>
        </w:rPr>
        <w:t>购置</w:t>
      </w:r>
      <w:r>
        <w:rPr>
          <w:rFonts w:hint="default" w:ascii="Times New Roman" w:hAnsi="Times New Roman" w:eastAsia="仿宋_GB2312" w:cs="Times New Roman"/>
          <w:color w:val="auto"/>
          <w:kern w:val="2"/>
          <w:sz w:val="32"/>
          <w:szCs w:val="32"/>
          <w:lang w:val="zh-CN" w:eastAsia="zh-CN" w:bidi="ar-SA"/>
        </w:rPr>
        <w:t>量0辆，发生运行维护费支出0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万元。公车运行维护费支出</w:t>
      </w:r>
      <w:r>
        <w:rPr>
          <w:rFonts w:hint="eastAsia" w:ascii="Times New Roman" w:hAnsi="Times New Roman" w:eastAsia="仿宋_GB2312" w:cs="Times New Roman"/>
          <w:color w:val="auto"/>
          <w:kern w:val="2"/>
          <w:sz w:val="32"/>
          <w:szCs w:val="32"/>
          <w:lang w:val="zh-CN" w:eastAsia="zh-CN" w:bidi="ar-SA"/>
        </w:rPr>
        <w:t>与预算持平，主要是未发生“公务用车运行维护费”支出；与上年持平，主要是未发生“公务用车运行维护费”支出。</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楷体_GB2312" w:cs="Times New Roman"/>
          <w:b/>
          <w:bCs/>
          <w:kern w:val="2"/>
          <w:sz w:val="32"/>
          <w:szCs w:val="32"/>
          <w:lang w:val="en-US" w:eastAsia="zh-CN" w:bidi="ar-SA"/>
        </w:rPr>
        <w:t>3.公务接待费。</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年度公务接待费支出预算为0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万元，支出决算0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万元，完成预算的0%。公务接待费支出</w:t>
      </w:r>
      <w:r>
        <w:rPr>
          <w:rFonts w:hint="eastAsia" w:ascii="Times New Roman" w:hAnsi="Times New Roman" w:eastAsia="仿宋_GB2312" w:cs="Times New Roman"/>
          <w:color w:val="auto"/>
          <w:kern w:val="2"/>
          <w:sz w:val="32"/>
          <w:szCs w:val="32"/>
          <w:lang w:val="zh-CN" w:eastAsia="zh-CN" w:bidi="ar-SA"/>
        </w:rPr>
        <w:t>与预算持平，主要是未发生“公务接待费”支出；与上年度持平，主要是未发生“公务接待费”支出。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i w:val="0"/>
          <w:iCs w:val="0"/>
          <w:caps w:val="0"/>
          <w:color w:val="333333"/>
          <w:spacing w:val="0"/>
          <w:sz w:val="33"/>
          <w:szCs w:val="33"/>
          <w:highlight w:val="none"/>
          <w:shd w:val="clear" w:fill="FFFFFF"/>
          <w:lang w:eastAsia="zh-CN"/>
        </w:rPr>
      </w:pPr>
      <w:r>
        <w:rPr>
          <w:rFonts w:hint="default" w:ascii="Times New Roman" w:hAnsi="Times New Roman" w:eastAsia="黑体" w:cs="Times New Roman"/>
          <w:i w:val="0"/>
          <w:iCs w:val="0"/>
          <w:caps w:val="0"/>
          <w:color w:val="333333"/>
          <w:spacing w:val="0"/>
          <w:sz w:val="33"/>
          <w:szCs w:val="33"/>
          <w:highlight w:val="none"/>
          <w:shd w:val="clear" w:fill="FFFFFF"/>
        </w:rPr>
        <w:t>六、</w:t>
      </w:r>
      <w:r>
        <w:rPr>
          <w:rFonts w:hint="default" w:ascii="Times New Roman" w:hAnsi="Times New Roman" w:eastAsia="黑体" w:cs="Times New Roman"/>
          <w:sz w:val="32"/>
          <w:szCs w:val="32"/>
        </w:rPr>
        <w:t>机关运行经费支出说明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color w:val="auto"/>
          <w:kern w:val="0"/>
          <w:sz w:val="32"/>
          <w:szCs w:val="32"/>
          <w:highlight w:val="yellow"/>
          <w:lang w:val="en-US" w:eastAsia="zh-CN" w:bidi="ar-SA"/>
        </w:rPr>
      </w:pPr>
      <w:r>
        <w:rPr>
          <w:rFonts w:hint="default" w:ascii="Times New Roman" w:hAnsi="Times New Roman" w:eastAsia="Arial" w:cs="Times New Roman"/>
          <w:i w:val="0"/>
          <w:iCs w:val="0"/>
          <w:caps w:val="0"/>
          <w:color w:val="333333"/>
          <w:spacing w:val="0"/>
          <w:sz w:val="19"/>
          <w:szCs w:val="19"/>
          <w:highlight w:val="none"/>
          <w:shd w:val="clear" w:fill="FFFFFF"/>
        </w:rPr>
        <w:t> </w:t>
      </w:r>
      <w:r>
        <w:rPr>
          <w:rFonts w:hint="default" w:ascii="Times New Roman" w:hAnsi="Times New Roman" w:eastAsia="宋体" w:cs="Times New Roman"/>
          <w:i w:val="0"/>
          <w:iCs w:val="0"/>
          <w:caps w:val="0"/>
          <w:color w:val="333333"/>
          <w:spacing w:val="0"/>
          <w:sz w:val="19"/>
          <w:szCs w:val="19"/>
          <w:highlight w:val="none"/>
          <w:shd w:val="clear" w:fill="FFFFFF"/>
          <w:lang w:val="en-US" w:eastAsia="zh-CN"/>
        </w:rPr>
        <w:t xml:space="preserve">  </w:t>
      </w:r>
      <w:r>
        <w:rPr>
          <w:rFonts w:hint="eastAsia" w:ascii="Times New Roman" w:hAnsi="Times New Roman" w:eastAsia="宋体" w:cs="Times New Roman"/>
          <w:i w:val="0"/>
          <w:iCs w:val="0"/>
          <w:caps w:val="0"/>
          <w:color w:val="333333"/>
          <w:spacing w:val="0"/>
          <w:sz w:val="19"/>
          <w:szCs w:val="19"/>
          <w:highlight w:val="none"/>
          <w:shd w:val="clear" w:fill="FFFFFF"/>
          <w:lang w:val="en-US" w:eastAsia="zh-CN"/>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年度机关运行经费支出0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2022年度</w:t>
      </w:r>
      <w:r>
        <w:rPr>
          <w:rFonts w:hint="eastAsia" w:ascii="Times New Roman" w:hAnsi="Times New Roman" w:eastAsia="仿宋_GB2312" w:cs="Times New Roman"/>
          <w:color w:val="auto"/>
          <w:kern w:val="2"/>
          <w:sz w:val="32"/>
          <w:szCs w:val="32"/>
          <w:lang w:val="zh-CN" w:eastAsia="zh-CN" w:bidi="ar-SA"/>
        </w:rPr>
        <w:t>持平，与预算持平。主要原因是我单位为事业单位，无机关运行经费支出。</w:t>
      </w:r>
    </w:p>
    <w:p>
      <w:pPr>
        <w:adjustRightInd w:val="0"/>
        <w:snapToGrid w:val="0"/>
        <w:spacing w:line="580" w:lineRule="exact"/>
        <w:ind w:firstLine="660" w:firstLineChars="200"/>
        <w:rPr>
          <w:rFonts w:hint="default" w:ascii="Times New Roman" w:hAnsi="Times New Roman" w:eastAsia="仿宋_GB2312" w:cs="Times New Roman"/>
          <w:sz w:val="32"/>
          <w:szCs w:val="32"/>
          <w:highlight w:val="yellow"/>
        </w:rPr>
      </w:pPr>
      <w:r>
        <w:rPr>
          <w:rFonts w:hint="default" w:ascii="Times New Roman" w:hAnsi="Times New Roman" w:eastAsia="黑体" w:cs="Times New Roman"/>
          <w:i w:val="0"/>
          <w:iCs w:val="0"/>
          <w:caps w:val="0"/>
          <w:color w:val="333333"/>
          <w:spacing w:val="0"/>
          <w:sz w:val="33"/>
          <w:szCs w:val="33"/>
          <w:highlight w:val="none"/>
          <w:shd w:val="clear" w:fill="FFFFFF"/>
        </w:rPr>
        <w:t>七、</w:t>
      </w:r>
      <w:r>
        <w:rPr>
          <w:rFonts w:hint="default" w:ascii="Times New Roman" w:hAnsi="Times New Roman" w:eastAsia="黑体" w:cs="Times New Roman"/>
          <w:sz w:val="32"/>
          <w:szCs w:val="32"/>
        </w:rPr>
        <w:t>政府采购支出说明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highlight w:val="yellow"/>
        </w:rPr>
      </w:pPr>
      <w:r>
        <w:rPr>
          <w:rFonts w:hint="default" w:ascii="Times New Roman" w:hAnsi="Times New Roman" w:eastAsia="Arial" w:cs="Times New Roman"/>
          <w:i w:val="0"/>
          <w:iCs w:val="0"/>
          <w:caps w:val="0"/>
          <w:color w:val="333333"/>
          <w:spacing w:val="0"/>
          <w:sz w:val="19"/>
          <w:szCs w:val="19"/>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t xml:space="preserve"> </w:t>
      </w:r>
      <w:r>
        <w:rPr>
          <w:rFonts w:hint="default" w:ascii="Times New Roman" w:hAnsi="Times New Roman" w:eastAsia="仿宋_GB2312" w:cs="Times New Roman"/>
          <w:i w:val="0"/>
          <w:iCs w:val="0"/>
          <w:caps w:val="0"/>
          <w:color w:val="333333"/>
          <w:spacing w:val="0"/>
          <w:sz w:val="33"/>
          <w:szCs w:val="33"/>
          <w:highlight w:val="none"/>
          <w:shd w:val="clear" w:fill="FFFFFF"/>
          <w:lang w:eastAsia="zh-CN"/>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年度政府采购支出总额0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万元，从采购类型来看，政府采购货物支出0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万元、政府采购工程支出0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万元、政府采购服务支出0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万元。授予中小企业</w:t>
      </w:r>
      <w:r>
        <w:rPr>
          <w:rFonts w:hint="default" w:ascii="Times New Roman" w:hAnsi="Times New Roman" w:eastAsia="仿宋_GB2312" w:cs="Times New Roman"/>
          <w:color w:val="auto"/>
          <w:kern w:val="2"/>
          <w:sz w:val="32"/>
          <w:szCs w:val="32"/>
          <w:lang w:val="en-US" w:eastAsia="zh-CN" w:bidi="ar-SA"/>
        </w:rPr>
        <w:t>合同金额</w:t>
      </w:r>
      <w:r>
        <w:rPr>
          <w:rFonts w:hint="default" w:ascii="Times New Roman" w:hAnsi="Times New Roman" w:eastAsia="仿宋_GB2312" w:cs="Times New Roman"/>
          <w:color w:val="auto"/>
          <w:kern w:val="2"/>
          <w:sz w:val="32"/>
          <w:szCs w:val="32"/>
          <w:lang w:val="zh-CN" w:eastAsia="zh-CN" w:bidi="ar-SA"/>
        </w:rPr>
        <w:t>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万元，占政府采购支出总额的0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%，其中授予小微企业合同金额0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万元，占政府采购支出总额的0</w:t>
      </w:r>
      <w:r>
        <w:rPr>
          <w:rFonts w:hint="eastAsia" w:ascii="Times New Roman" w:hAnsi="Times New Roman" w:eastAsia="仿宋_GB2312" w:cs="Times New Roman"/>
          <w:color w:val="auto"/>
          <w:kern w:val="2"/>
          <w:sz w:val="32"/>
          <w:szCs w:val="32"/>
          <w:lang w:val="en-US" w:eastAsia="zh-CN" w:bidi="ar-SA"/>
        </w:rPr>
        <w:t>.00</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p>
    <w:p>
      <w:pPr>
        <w:snapToGrid w:val="0"/>
        <w:spacing w:line="580" w:lineRule="exact"/>
        <w:ind w:firstLine="660"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黑体" w:cs="Times New Roman"/>
          <w:i w:val="0"/>
          <w:iCs w:val="0"/>
          <w:caps w:val="0"/>
          <w:color w:val="333333"/>
          <w:spacing w:val="0"/>
          <w:sz w:val="33"/>
          <w:szCs w:val="33"/>
          <w:highlight w:val="none"/>
          <w:shd w:val="clear" w:fill="FFFFFF"/>
        </w:rPr>
        <w:t>八、</w:t>
      </w:r>
      <w:r>
        <w:rPr>
          <w:rFonts w:hint="default" w:ascii="Times New Roman" w:hAnsi="Times New Roman" w:eastAsia="黑体" w:cs="Times New Roman"/>
          <w:sz w:val="32"/>
          <w:szCs w:val="32"/>
        </w:rPr>
        <w:t>国有资产占用情况说明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t xml:space="preserve">   </w:t>
      </w:r>
      <w:r>
        <w:rPr>
          <w:rFonts w:hint="default" w:ascii="Times New Roman" w:hAnsi="Times New Roman" w:eastAsia="仿宋_GB2312" w:cs="Times New Roman"/>
          <w:color w:val="auto"/>
          <w:kern w:val="2"/>
          <w:sz w:val="32"/>
          <w:szCs w:val="32"/>
          <w:lang w:val="zh-CN" w:eastAsia="zh-CN" w:bidi="ar-SA"/>
        </w:rPr>
        <w:t>截至202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年12月31日，</w:t>
      </w:r>
      <w:r>
        <w:rPr>
          <w:rFonts w:hint="eastAsia" w:ascii="Times New Roman" w:hAnsi="Times New Roman" w:eastAsia="仿宋_GB2312" w:cs="Times New Roman"/>
          <w:color w:val="auto"/>
          <w:kern w:val="2"/>
          <w:sz w:val="32"/>
          <w:szCs w:val="32"/>
          <w:lang w:val="zh-CN" w:eastAsia="zh-CN" w:bidi="ar-SA"/>
        </w:rPr>
        <w:t>本单位共用车辆</w:t>
      </w:r>
      <w:r>
        <w:rPr>
          <w:rFonts w:hint="default" w:ascii="Times New Roman" w:hAnsi="Times New Roman" w:eastAsia="仿宋_GB2312" w:cs="Times New Roman"/>
          <w:color w:val="auto"/>
          <w:kern w:val="2"/>
          <w:sz w:val="32"/>
          <w:szCs w:val="32"/>
          <w:lang w:val="zh-CN" w:eastAsia="zh-CN" w:bidi="ar-SA"/>
        </w:rPr>
        <w:t>0</w:t>
      </w:r>
      <w:r>
        <w:rPr>
          <w:rFonts w:hint="eastAsia" w:ascii="Times New Roman" w:hAnsi="Times New Roman" w:eastAsia="仿宋_GB2312" w:cs="Times New Roman"/>
          <w:color w:val="auto"/>
          <w:kern w:val="2"/>
          <w:sz w:val="32"/>
          <w:szCs w:val="32"/>
          <w:lang w:val="zh-CN" w:eastAsia="zh-CN" w:bidi="ar-SA"/>
        </w:rPr>
        <w:t>辆</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与上年度持平，主要是我单位无公务用车。</w:t>
      </w:r>
      <w:r>
        <w:rPr>
          <w:rFonts w:hint="default" w:ascii="Times New Roman" w:hAnsi="Times New Roman" w:eastAsia="仿宋_GB2312" w:cs="Times New Roman"/>
          <w:color w:val="auto"/>
          <w:kern w:val="2"/>
          <w:sz w:val="32"/>
          <w:szCs w:val="32"/>
          <w:lang w:val="zh-CN" w:eastAsia="zh-CN" w:bidi="ar-SA"/>
        </w:rPr>
        <w:t>其中，副部（省）级及以上领导用车本单位共有车辆0辆，主要</w:t>
      </w:r>
      <w:r>
        <w:rPr>
          <w:rFonts w:hint="default" w:ascii="Times New Roman" w:hAnsi="Times New Roman" w:eastAsia="仿宋_GB2312" w:cs="Times New Roman"/>
          <w:color w:val="auto"/>
          <w:kern w:val="2"/>
          <w:sz w:val="32"/>
          <w:szCs w:val="32"/>
          <w:lang w:val="en-US" w:eastAsia="zh-CN" w:bidi="ar-SA"/>
        </w:rPr>
        <w:t>负责人</w:t>
      </w:r>
      <w:r>
        <w:rPr>
          <w:rFonts w:hint="default" w:ascii="Times New Roman" w:hAnsi="Times New Roman" w:eastAsia="仿宋_GB2312" w:cs="Times New Roman"/>
          <w:color w:val="auto"/>
          <w:kern w:val="2"/>
          <w:sz w:val="32"/>
          <w:szCs w:val="32"/>
          <w:lang w:val="zh-CN" w:eastAsia="zh-CN" w:bidi="ar-SA"/>
        </w:rPr>
        <w:t>用车0辆，机要通信用车0辆，应急保障用车0辆，执法执勤用车0辆，特种专业技术用车0辆，离退休干部用车0辆，其他用车0辆</w:t>
      </w:r>
      <w:r>
        <w:rPr>
          <w:rFonts w:hint="eastAsia" w:ascii="Times New Roman" w:hAnsi="Times New Roman" w:eastAsia="仿宋_GB2312" w:cs="Times New Roman"/>
          <w:color w:val="auto"/>
          <w:kern w:val="2"/>
          <w:sz w:val="32"/>
          <w:szCs w:val="32"/>
          <w:lang w:val="zh-CN"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outlineLvl w:val="1"/>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九、预算绩效情况说明</w:t>
      </w:r>
    </w:p>
    <w:p>
      <w:pPr>
        <w:adjustRightInd w:val="0"/>
        <w:snapToGrid w:val="0"/>
        <w:spacing w:line="580" w:lineRule="exact"/>
        <w:ind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（一）预算绩效管理工作开展情况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根据预算绩效管理要求，本单位组织对2023年度一般公共预算项目支出全面开展绩效自评，其中，一级项目</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个，二级项目</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个，共涉及资金</w:t>
      </w:r>
      <w:r>
        <w:rPr>
          <w:rFonts w:hint="eastAsia" w:ascii="Times New Roman" w:hAnsi="Times New Roman" w:eastAsia="仿宋_GB2312" w:cs="Times New Roman"/>
          <w:color w:val="auto"/>
          <w:kern w:val="2"/>
          <w:sz w:val="32"/>
          <w:szCs w:val="32"/>
          <w:lang w:val="en-US" w:eastAsia="zh-CN" w:bidi="ar-SA"/>
        </w:rPr>
        <w:t>95</w:t>
      </w:r>
      <w:r>
        <w:rPr>
          <w:rFonts w:hint="default" w:ascii="Times New Roman" w:hAnsi="Times New Roman" w:eastAsia="仿宋_GB2312" w:cs="Times New Roman"/>
          <w:color w:val="auto"/>
          <w:kern w:val="2"/>
          <w:sz w:val="32"/>
          <w:szCs w:val="32"/>
          <w:lang w:val="zh-CN" w:eastAsia="zh-CN" w:bidi="ar-SA"/>
        </w:rPr>
        <w:t>万元，占一般公共预算项目支出总额的</w:t>
      </w:r>
      <w:r>
        <w:rPr>
          <w:rFonts w:hint="eastAsia" w:ascii="Times New Roman" w:hAnsi="Times New Roman" w:eastAsia="仿宋_GB2312" w:cs="Times New Roman"/>
          <w:color w:val="auto"/>
          <w:kern w:val="2"/>
          <w:sz w:val="32"/>
          <w:szCs w:val="32"/>
          <w:lang w:val="en-US" w:eastAsia="zh-CN" w:bidi="ar-SA"/>
        </w:rPr>
        <w:t>88.05</w:t>
      </w:r>
      <w:r>
        <w:rPr>
          <w:rFonts w:hint="default" w:ascii="Times New Roman" w:hAnsi="Times New Roman" w:eastAsia="仿宋_GB2312" w:cs="Times New Roman"/>
          <w:color w:val="auto"/>
          <w:kern w:val="2"/>
          <w:sz w:val="32"/>
          <w:szCs w:val="32"/>
          <w:lang w:val="zh-CN"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color w:val="auto"/>
          <w:kern w:val="2"/>
          <w:sz w:val="32"/>
          <w:szCs w:val="32"/>
          <w:lang w:val="zh-CN" w:eastAsia="zh-CN" w:bidi="ar-SA"/>
        </w:rPr>
        <w:t>组织对“</w:t>
      </w:r>
      <w:r>
        <w:rPr>
          <w:rFonts w:hint="eastAsia" w:ascii="Times New Roman" w:hAnsi="Times New Roman" w:eastAsia="仿宋_GB2312" w:cs="Times New Roman"/>
          <w:color w:val="auto"/>
          <w:kern w:val="2"/>
          <w:sz w:val="32"/>
          <w:szCs w:val="32"/>
          <w:lang w:val="zh-CN" w:eastAsia="zh-CN" w:bidi="ar-SA"/>
        </w:rPr>
        <w:t>水利</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个项目开展了</w:t>
      </w:r>
      <w:r>
        <w:rPr>
          <w:rFonts w:hint="eastAsia" w:ascii="Times New Roman" w:hAnsi="Times New Roman" w:eastAsia="仿宋_GB2312" w:cs="Times New Roman"/>
          <w:color w:val="auto"/>
          <w:kern w:val="2"/>
          <w:sz w:val="32"/>
          <w:szCs w:val="32"/>
          <w:lang w:val="zh-CN" w:eastAsia="zh-CN" w:bidi="ar-SA"/>
        </w:rPr>
        <w:t>重点</w:t>
      </w:r>
      <w:r>
        <w:rPr>
          <w:rFonts w:hint="default" w:ascii="Times New Roman" w:hAnsi="Times New Roman" w:eastAsia="仿宋_GB2312" w:cs="Times New Roman"/>
          <w:color w:val="auto"/>
          <w:kern w:val="2"/>
          <w:sz w:val="32"/>
          <w:szCs w:val="32"/>
          <w:lang w:val="zh-CN" w:eastAsia="zh-CN" w:bidi="ar-SA"/>
        </w:rPr>
        <w:t>评价，涉及一般公共预算支出</w:t>
      </w:r>
      <w:r>
        <w:rPr>
          <w:rFonts w:hint="eastAsia" w:ascii="Times New Roman" w:hAnsi="Times New Roman" w:eastAsia="仿宋_GB2312" w:cs="Times New Roman"/>
          <w:color w:val="auto"/>
          <w:kern w:val="2"/>
          <w:sz w:val="32"/>
          <w:szCs w:val="32"/>
          <w:lang w:val="en-US" w:eastAsia="zh-CN" w:bidi="ar-SA"/>
        </w:rPr>
        <w:t>95</w:t>
      </w:r>
      <w:r>
        <w:rPr>
          <w:rFonts w:hint="default" w:ascii="Times New Roman" w:hAnsi="Times New Roman" w:eastAsia="仿宋_GB2312" w:cs="Times New Roman"/>
          <w:color w:val="auto"/>
          <w:kern w:val="2"/>
          <w:sz w:val="32"/>
          <w:szCs w:val="32"/>
          <w:lang w:val="zh-CN" w:eastAsia="zh-CN" w:bidi="ar-SA"/>
        </w:rPr>
        <w:t>万元，政府性基金预算支出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万元，国有资本经营预算支出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w:t>
      </w:r>
      <w:r>
        <w:rPr>
          <w:rFonts w:hint="eastAsia" w:ascii="Times New Roman" w:hAnsi="Times New Roman" w:eastAsia="仿宋_GB2312" w:cs="Times New Roman"/>
          <w:color w:val="auto"/>
          <w:kern w:val="2"/>
          <w:sz w:val="32"/>
          <w:szCs w:val="32"/>
          <w:lang w:val="zh-CN" w:eastAsia="zh-CN" w:bidi="ar-SA"/>
        </w:rPr>
        <w:t>其中，对“水利体制改革人员经费”开展绩效评价。</w:t>
      </w:r>
      <w:r>
        <w:rPr>
          <w:rFonts w:hint="default" w:ascii="Times New Roman" w:hAnsi="Times New Roman" w:eastAsia="仿宋_GB2312" w:cs="Times New Roman"/>
          <w:color w:val="auto"/>
          <w:kern w:val="2"/>
          <w:sz w:val="32"/>
          <w:szCs w:val="32"/>
          <w:lang w:val="zh-CN" w:eastAsia="zh-CN" w:bidi="ar-SA"/>
        </w:rPr>
        <w:t>从评价情况来看，</w:t>
      </w:r>
      <w:r>
        <w:rPr>
          <w:rFonts w:hint="eastAsia" w:ascii="Times New Roman" w:hAnsi="Times New Roman" w:eastAsia="仿宋_GB2312" w:cs="Times New Roman"/>
          <w:color w:val="auto"/>
          <w:kern w:val="2"/>
          <w:sz w:val="32"/>
          <w:szCs w:val="32"/>
          <w:lang w:val="zh-CN" w:eastAsia="zh-CN" w:bidi="ar-SA"/>
        </w:rPr>
        <w:t>整体执行情况与完成年度绩效目标情况较好。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adjustRightInd w:val="0"/>
        <w:snapToGrid w:val="0"/>
        <w:spacing w:line="580" w:lineRule="exact"/>
        <w:ind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w:t>
      </w:r>
      <w:r>
        <w:rPr>
          <w:rFonts w:hint="eastAsia" w:ascii="Times New Roman" w:hAnsi="Times New Roman" w:eastAsia="仿宋_GB2312" w:cs="Times New Roman"/>
          <w:b/>
          <w:bCs/>
          <w:sz w:val="32"/>
          <w:szCs w:val="32"/>
          <w:lang w:eastAsia="zh-CN"/>
        </w:rPr>
        <w:t>单位</w:t>
      </w:r>
      <w:r>
        <w:rPr>
          <w:rFonts w:hint="default" w:ascii="Times New Roman" w:hAnsi="Times New Roman" w:eastAsia="仿宋_GB2312" w:cs="Times New Roman"/>
          <w:b/>
          <w:bCs/>
          <w:sz w:val="32"/>
          <w:szCs w:val="32"/>
        </w:rPr>
        <w:t>决算中项目绩效自评结果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6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color w:val="auto"/>
          <w:kern w:val="2"/>
          <w:sz w:val="32"/>
          <w:szCs w:val="32"/>
          <w:lang w:val="zh-CN" w:eastAsia="zh-CN" w:bidi="ar-SA"/>
        </w:rPr>
        <w:t>本单位在今年部门决算公开中反映</w:t>
      </w:r>
      <w:r>
        <w:rPr>
          <w:rFonts w:hint="eastAsia" w:ascii="Times New Roman" w:hAnsi="Times New Roman" w:eastAsia="仿宋_GB2312" w:cs="Times New Roman"/>
          <w:color w:val="auto"/>
          <w:kern w:val="2"/>
          <w:sz w:val="32"/>
          <w:szCs w:val="32"/>
          <w:lang w:val="zh-CN" w:eastAsia="zh-CN" w:bidi="ar-SA"/>
        </w:rPr>
        <w:t>“水利体制改革人员经费”</w:t>
      </w:r>
      <w:r>
        <w:rPr>
          <w:rFonts w:hint="default" w:ascii="Times New Roman" w:hAnsi="Times New Roman" w:eastAsia="仿宋_GB2312" w:cs="Times New Roman"/>
          <w:color w:val="auto"/>
          <w:kern w:val="2"/>
          <w:sz w:val="32"/>
          <w:szCs w:val="32"/>
          <w:lang w:val="zh-CN" w:eastAsia="zh-CN" w:bidi="ar-SA"/>
        </w:rPr>
        <w:t>项目</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个项目绩效自评结果。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水利体制改革人员经费</w:t>
      </w:r>
      <w:r>
        <w:rPr>
          <w:rFonts w:hint="default" w:ascii="Times New Roman" w:hAnsi="Times New Roman" w:eastAsia="仿宋_GB2312" w:cs="Times New Roman"/>
          <w:color w:val="auto"/>
          <w:kern w:val="2"/>
          <w:sz w:val="32"/>
          <w:szCs w:val="32"/>
          <w:lang w:val="zh-CN" w:eastAsia="zh-CN" w:bidi="ar-SA"/>
        </w:rPr>
        <w:t>项目绩效自评情况：根据年初设定的绩效目标，</w:t>
      </w:r>
      <w:r>
        <w:rPr>
          <w:rFonts w:hint="eastAsia" w:ascii="Times New Roman" w:hAnsi="Times New Roman" w:eastAsia="仿宋_GB2312" w:cs="Times New Roman"/>
          <w:color w:val="auto"/>
          <w:kern w:val="2"/>
          <w:sz w:val="32"/>
          <w:szCs w:val="32"/>
          <w:lang w:val="zh-CN" w:eastAsia="zh-CN" w:bidi="ar-SA"/>
        </w:rPr>
        <w:t>水利体制改革人员经费</w:t>
      </w:r>
      <w:r>
        <w:rPr>
          <w:rFonts w:hint="default" w:ascii="Times New Roman" w:hAnsi="Times New Roman" w:eastAsia="仿宋_GB2312" w:cs="Times New Roman"/>
          <w:color w:val="auto"/>
          <w:kern w:val="2"/>
          <w:sz w:val="32"/>
          <w:szCs w:val="32"/>
          <w:lang w:val="zh-CN" w:eastAsia="zh-CN" w:bidi="ar-SA"/>
        </w:rPr>
        <w:t>绩效自评得分为</w:t>
      </w:r>
      <w:r>
        <w:rPr>
          <w:rFonts w:hint="eastAsia" w:ascii="Times New Roman" w:hAnsi="Times New Roman" w:eastAsia="仿宋_GB2312" w:cs="Times New Roman"/>
          <w:color w:val="auto"/>
          <w:kern w:val="2"/>
          <w:sz w:val="32"/>
          <w:szCs w:val="32"/>
          <w:lang w:val="en-US" w:eastAsia="zh-CN" w:bidi="ar-SA"/>
        </w:rPr>
        <w:t>97</w:t>
      </w:r>
      <w:r>
        <w:rPr>
          <w:rFonts w:hint="default" w:ascii="Times New Roman" w:hAnsi="Times New Roman" w:eastAsia="仿宋_GB2312" w:cs="Times New Roman"/>
          <w:color w:val="auto"/>
          <w:kern w:val="2"/>
          <w:sz w:val="32"/>
          <w:szCs w:val="32"/>
          <w:lang w:val="zh-CN" w:eastAsia="zh-CN" w:bidi="ar-SA"/>
        </w:rPr>
        <w:t>分（绩效自评表附后）。全年预算数为</w:t>
      </w:r>
      <w:r>
        <w:rPr>
          <w:rFonts w:hint="eastAsia" w:ascii="Times New Roman" w:hAnsi="Times New Roman" w:eastAsia="仿宋_GB2312" w:cs="Times New Roman"/>
          <w:color w:val="auto"/>
          <w:kern w:val="2"/>
          <w:sz w:val="32"/>
          <w:szCs w:val="32"/>
          <w:lang w:val="en-US" w:eastAsia="zh-CN" w:bidi="ar-SA"/>
        </w:rPr>
        <w:t>95</w:t>
      </w:r>
      <w:r>
        <w:rPr>
          <w:rFonts w:hint="default" w:ascii="Times New Roman" w:hAnsi="Times New Roman" w:eastAsia="仿宋_GB2312" w:cs="Times New Roman"/>
          <w:color w:val="auto"/>
          <w:kern w:val="2"/>
          <w:sz w:val="32"/>
          <w:szCs w:val="32"/>
          <w:lang w:val="zh-CN" w:eastAsia="zh-CN" w:bidi="ar-SA"/>
        </w:rPr>
        <w:t>万元，执行数为</w:t>
      </w:r>
      <w:r>
        <w:rPr>
          <w:rFonts w:hint="eastAsia" w:ascii="Times New Roman" w:hAnsi="Times New Roman" w:eastAsia="仿宋_GB2312" w:cs="Times New Roman"/>
          <w:color w:val="auto"/>
          <w:kern w:val="2"/>
          <w:sz w:val="32"/>
          <w:szCs w:val="32"/>
          <w:lang w:val="en-US" w:eastAsia="zh-CN" w:bidi="ar-SA"/>
        </w:rPr>
        <w:t>95</w:t>
      </w:r>
      <w:r>
        <w:rPr>
          <w:rFonts w:hint="default" w:ascii="Times New Roman" w:hAnsi="Times New Roman" w:eastAsia="仿宋_GB2312" w:cs="Times New Roman"/>
          <w:color w:val="auto"/>
          <w:kern w:val="2"/>
          <w:sz w:val="32"/>
          <w:szCs w:val="32"/>
          <w:lang w:val="zh-CN" w:eastAsia="zh-CN" w:bidi="ar-SA"/>
        </w:rPr>
        <w:t>万元，完成预算的</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zh-CN" w:eastAsia="zh-CN" w:bidi="ar-SA"/>
        </w:rPr>
        <w:t>%。项目绩效目标完成情况：</w:t>
      </w:r>
      <w:r>
        <w:rPr>
          <w:rFonts w:hint="eastAsia" w:ascii="Times New Roman" w:hAnsi="Times New Roman" w:eastAsia="仿宋_GB2312" w:cs="Times New Roman"/>
          <w:color w:val="auto"/>
          <w:kern w:val="2"/>
          <w:sz w:val="32"/>
          <w:szCs w:val="32"/>
          <w:lang w:val="zh-CN" w:eastAsia="zh-CN" w:bidi="ar-SA"/>
        </w:rPr>
        <w:t>通过项目实施，完成了年初设定的各项绩效目标，完成机构的正常运转，未发现问题。</w:t>
      </w:r>
    </w:p>
    <w:tbl>
      <w:tblPr>
        <w:tblStyle w:val="11"/>
        <w:tblW w:w="9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2"/>
        <w:gridCol w:w="1186"/>
        <w:gridCol w:w="1088"/>
        <w:gridCol w:w="1"/>
        <w:gridCol w:w="1089"/>
        <w:gridCol w:w="1089"/>
        <w:gridCol w:w="1088"/>
        <w:gridCol w:w="1"/>
        <w:gridCol w:w="1089"/>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9400" w:type="dxa"/>
            <w:gridSpan w:val="10"/>
            <w:tcBorders>
              <w:top w:val="nil"/>
              <w:left w:val="nil"/>
              <w:bottom w:val="nil"/>
              <w:right w:val="nil"/>
            </w:tcBorders>
            <w:noWrap w:val="0"/>
            <w:vAlign w:val="bottom"/>
          </w:tcPr>
          <w:p>
            <w:pPr>
              <w:jc w:val="center"/>
              <w:rPr>
                <w:rFonts w:hint="eastAsia"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市级部门专项资金和预算项目资金绩效监控情况表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422" w:type="dxa"/>
            <w:tcBorders>
              <w:top w:val="nil"/>
              <w:left w:val="nil"/>
              <w:bottom w:val="nil"/>
              <w:right w:val="nil"/>
            </w:tcBorders>
            <w:noWrap w:val="0"/>
            <w:vAlign w:val="bottom"/>
          </w:tcPr>
          <w:p>
            <w:pPr>
              <w:jc w:val="left"/>
              <w:rPr>
                <w:rFonts w:hint="eastAsia" w:ascii="宋体" w:hAnsi="宋体" w:eastAsia="宋体" w:cs="宋体"/>
                <w:i w:val="0"/>
                <w:iCs w:val="0"/>
                <w:color w:val="000000"/>
                <w:sz w:val="22"/>
                <w:szCs w:val="22"/>
                <w:u w:val="none"/>
              </w:rPr>
            </w:pPr>
          </w:p>
        </w:tc>
        <w:tc>
          <w:tcPr>
            <w:tcW w:w="1186"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088"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090" w:type="dxa"/>
            <w:gridSpan w:val="2"/>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089"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089" w:type="dxa"/>
            <w:gridSpan w:val="2"/>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089"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347"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1422"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w:t>
            </w:r>
          </w:p>
        </w:tc>
        <w:tc>
          <w:tcPr>
            <w:tcW w:w="2274" w:type="dxa"/>
            <w:gridSpan w:val="2"/>
            <w:tcBorders>
              <w:top w:val="nil"/>
              <w:left w:val="nil"/>
              <w:bottom w:val="nil"/>
            </w:tcBorders>
            <w:noWrap w:val="0"/>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沙河市南灌区事务中心</w:t>
            </w:r>
          </w:p>
        </w:tc>
        <w:tc>
          <w:tcPr>
            <w:tcW w:w="1090" w:type="dxa"/>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6"/>
                <w:szCs w:val="16"/>
                <w:u w:val="none"/>
              </w:rPr>
            </w:pPr>
          </w:p>
        </w:tc>
        <w:tc>
          <w:tcPr>
            <w:tcW w:w="1089" w:type="dxa"/>
            <w:tcBorders>
              <w:top w:val="nil"/>
              <w:left w:val="nil"/>
              <w:bottom w:val="nil"/>
              <w:right w:val="nil"/>
            </w:tcBorders>
            <w:noWrap w:val="0"/>
            <w:vAlign w:val="center"/>
          </w:tcPr>
          <w:p>
            <w:pPr>
              <w:jc w:val="center"/>
              <w:rPr>
                <w:rFonts w:hint="eastAsia" w:ascii="宋体" w:hAnsi="宋体" w:eastAsia="宋体" w:cs="宋体"/>
                <w:i w:val="0"/>
                <w:iCs w:val="0"/>
                <w:color w:val="000000"/>
                <w:sz w:val="16"/>
                <w:szCs w:val="16"/>
                <w:u w:val="none"/>
              </w:rPr>
            </w:pPr>
          </w:p>
        </w:tc>
        <w:tc>
          <w:tcPr>
            <w:tcW w:w="1089" w:type="dxa"/>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16"/>
                <w:szCs w:val="16"/>
                <w:u w:val="none"/>
              </w:rPr>
            </w:pPr>
          </w:p>
        </w:tc>
        <w:tc>
          <w:tcPr>
            <w:tcW w:w="1089" w:type="dxa"/>
            <w:tcBorders>
              <w:top w:val="nil"/>
              <w:left w:val="nil"/>
              <w:bottom w:val="nil"/>
              <w:right w:val="nil"/>
            </w:tcBorders>
            <w:noWrap w:val="0"/>
            <w:vAlign w:val="center"/>
          </w:tcPr>
          <w:p>
            <w:pPr>
              <w:jc w:val="center"/>
              <w:rPr>
                <w:rFonts w:hint="eastAsia" w:ascii="宋体" w:hAnsi="宋体" w:eastAsia="宋体" w:cs="宋体"/>
                <w:i w:val="0"/>
                <w:iCs w:val="0"/>
                <w:color w:val="000000"/>
                <w:sz w:val="16"/>
                <w:szCs w:val="16"/>
                <w:u w:val="none"/>
              </w:rPr>
            </w:pPr>
          </w:p>
        </w:tc>
        <w:tc>
          <w:tcPr>
            <w:tcW w:w="1347"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18"/>
                <w:lang w:val="en-US" w:eastAsia="zh-CN" w:bidi="ar"/>
              </w:rPr>
              <w:t>一、</w:t>
            </w:r>
            <w:r>
              <w:rPr>
                <w:rStyle w:val="25"/>
                <w:rFonts w:eastAsia="宋体"/>
                <w:lang w:val="en-US" w:eastAsia="zh-CN" w:bidi="ar"/>
              </w:rPr>
              <w:t xml:space="preserve"> </w:t>
            </w:r>
            <w:r>
              <w:rPr>
                <w:rStyle w:val="18"/>
                <w:lang w:val="en-US" w:eastAsia="zh-CN" w:bidi="ar"/>
              </w:rPr>
              <w:t>基本情况</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部门名称</w:t>
            </w:r>
          </w:p>
        </w:tc>
        <w:tc>
          <w:tcPr>
            <w:tcW w:w="21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沙河市南灌区事务中心</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专项资金（项目）周期</w:t>
            </w:r>
          </w:p>
        </w:tc>
        <w:tc>
          <w:tcPr>
            <w:tcW w:w="35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专项资金（项目）名称</w:t>
            </w:r>
          </w:p>
        </w:tc>
        <w:tc>
          <w:tcPr>
            <w:tcW w:w="21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水利体制改革人员经费</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监控时点</w:t>
            </w:r>
          </w:p>
        </w:tc>
        <w:tc>
          <w:tcPr>
            <w:tcW w:w="35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2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预算安排情况（调整后）</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资金到位情况</w:t>
            </w:r>
          </w:p>
        </w:tc>
        <w:tc>
          <w:tcPr>
            <w:tcW w:w="21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资金执行情况</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预算数：</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95</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到位数：</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执行数：</w:t>
            </w:r>
          </w:p>
        </w:tc>
        <w:tc>
          <w:tcPr>
            <w:tcW w:w="1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95</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95</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95</w:t>
            </w: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Calibri" w:hAnsi="Calibri" w:eastAsia="宋体" w:cs="Calibri"/>
                <w:i w:val="0"/>
                <w:iCs w:val="0"/>
                <w:color w:val="000000"/>
                <w:sz w:val="21"/>
                <w:szCs w:val="21"/>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109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42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3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22"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000000"/>
                <w:sz w:val="16"/>
                <w:szCs w:val="16"/>
                <w:u w:val="none"/>
              </w:rPr>
            </w:pPr>
          </w:p>
        </w:tc>
        <w:tc>
          <w:tcPr>
            <w:tcW w:w="3364" w:type="dxa"/>
            <w:gridSpan w:val="4"/>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保障职工社会保障费及时缴纳、保障职工基本工资正常发放，保障机关正常运转。</w:t>
            </w:r>
          </w:p>
        </w:tc>
        <w:tc>
          <w:tcPr>
            <w:tcW w:w="3267" w:type="dxa"/>
            <w:gridSpan w:val="4"/>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保障职工社会保障费及时缴纳、保障职工基本工资正常发放，保障机关正常运。</w:t>
            </w:r>
          </w:p>
        </w:tc>
        <w:tc>
          <w:tcPr>
            <w:tcW w:w="134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22"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000000"/>
                <w:sz w:val="16"/>
                <w:szCs w:val="16"/>
                <w:u w:val="none"/>
              </w:rPr>
            </w:pPr>
          </w:p>
        </w:tc>
        <w:tc>
          <w:tcPr>
            <w:tcW w:w="3364" w:type="dxa"/>
            <w:gridSpan w:val="4"/>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000000"/>
                <w:sz w:val="16"/>
                <w:szCs w:val="16"/>
                <w:u w:val="none"/>
              </w:rPr>
            </w:pPr>
          </w:p>
        </w:tc>
        <w:tc>
          <w:tcPr>
            <w:tcW w:w="3267" w:type="dxa"/>
            <w:gridSpan w:val="4"/>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134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42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18"/>
                <w:lang w:val="en-US" w:eastAsia="zh-CN" w:bidi="ar"/>
              </w:rPr>
              <w:t>四、</w:t>
            </w:r>
            <w:r>
              <w:rPr>
                <w:rStyle w:val="25"/>
                <w:rFonts w:eastAsia="宋体"/>
                <w:lang w:val="en-US" w:eastAsia="zh-CN" w:bidi="ar"/>
              </w:rPr>
              <w:t xml:space="preserve"> </w:t>
            </w:r>
            <w:r>
              <w:rPr>
                <w:rStyle w:val="18"/>
                <w:lang w:val="en-US" w:eastAsia="zh-CN" w:bidi="ar"/>
              </w:rPr>
              <w:t>年度绩效指标完成情况</w:t>
            </w:r>
          </w:p>
        </w:tc>
        <w:tc>
          <w:tcPr>
            <w:tcW w:w="118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指标完成值</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422" w:type="dxa"/>
            <w:vMerge w:val="continue"/>
            <w:tcBorders>
              <w:top w:val="single" w:color="000000" w:sz="4" w:space="0"/>
              <w:left w:val="single" w:color="000000" w:sz="4" w:space="0"/>
              <w:bottom w:val="nil"/>
              <w:right w:val="single" w:color="auto" w:sz="4" w:space="0"/>
            </w:tcBorders>
            <w:noWrap w:val="0"/>
            <w:vAlign w:val="center"/>
          </w:tcPr>
          <w:p>
            <w:pPr>
              <w:jc w:val="left"/>
              <w:rPr>
                <w:rFonts w:hint="eastAsia" w:ascii="宋体" w:hAnsi="宋体" w:eastAsia="宋体" w:cs="宋体"/>
                <w:i w:val="0"/>
                <w:iCs w:val="0"/>
                <w:color w:val="000000"/>
                <w:sz w:val="16"/>
                <w:szCs w:val="16"/>
                <w:u w:val="none"/>
              </w:rPr>
            </w:pPr>
          </w:p>
        </w:tc>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89" w:type="dxa"/>
            <w:gridSpan w:val="2"/>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财政拨款保障率</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财政拨款保障率</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422" w:type="dxa"/>
            <w:vMerge w:val="continue"/>
            <w:tcBorders>
              <w:top w:val="single" w:color="000000" w:sz="4" w:space="0"/>
              <w:left w:val="single" w:color="000000" w:sz="4" w:space="0"/>
              <w:bottom w:val="nil"/>
              <w:right w:val="single" w:color="auto" w:sz="4" w:space="0"/>
            </w:tcBorders>
            <w:noWrap w:val="0"/>
            <w:vAlign w:val="center"/>
          </w:tcPr>
          <w:p>
            <w:pPr>
              <w:jc w:val="left"/>
              <w:rPr>
                <w:rFonts w:hint="eastAsia" w:ascii="宋体" w:hAnsi="宋体" w:eastAsia="宋体" w:cs="宋体"/>
                <w:i w:val="0"/>
                <w:iCs w:val="0"/>
                <w:color w:val="000000"/>
                <w:sz w:val="16"/>
                <w:szCs w:val="16"/>
                <w:u w:val="none"/>
              </w:rPr>
            </w:pPr>
          </w:p>
        </w:tc>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6"/>
                <w:szCs w:val="16"/>
                <w:u w:val="none"/>
              </w:rPr>
            </w:pPr>
          </w:p>
        </w:tc>
        <w:tc>
          <w:tcPr>
            <w:tcW w:w="1089" w:type="dxa"/>
            <w:gridSpan w:val="2"/>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资金发放及时到位率</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正常运转</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正常运转</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422" w:type="dxa"/>
            <w:vMerge w:val="continue"/>
            <w:tcBorders>
              <w:top w:val="single" w:color="000000" w:sz="4" w:space="0"/>
              <w:left w:val="single" w:color="000000" w:sz="4" w:space="0"/>
              <w:bottom w:val="nil"/>
              <w:right w:val="single" w:color="auto" w:sz="4" w:space="0"/>
            </w:tcBorders>
            <w:noWrap w:val="0"/>
            <w:vAlign w:val="center"/>
          </w:tcPr>
          <w:p>
            <w:pPr>
              <w:jc w:val="left"/>
              <w:rPr>
                <w:rFonts w:hint="eastAsia" w:ascii="宋体" w:hAnsi="宋体" w:eastAsia="宋体" w:cs="宋体"/>
                <w:i w:val="0"/>
                <w:iCs w:val="0"/>
                <w:color w:val="000000"/>
                <w:sz w:val="16"/>
                <w:szCs w:val="16"/>
                <w:u w:val="none"/>
              </w:rPr>
            </w:pPr>
          </w:p>
        </w:tc>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6"/>
                <w:szCs w:val="16"/>
                <w:u w:val="none"/>
              </w:rPr>
            </w:pPr>
          </w:p>
        </w:tc>
        <w:tc>
          <w:tcPr>
            <w:tcW w:w="1089" w:type="dxa"/>
            <w:gridSpan w:val="2"/>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及时性</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及时性</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及时性</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422" w:type="dxa"/>
            <w:vMerge w:val="continue"/>
            <w:tcBorders>
              <w:top w:val="single" w:color="000000" w:sz="4" w:space="0"/>
              <w:left w:val="single" w:color="000000" w:sz="4" w:space="0"/>
              <w:bottom w:val="nil"/>
              <w:right w:val="single" w:color="auto" w:sz="4" w:space="0"/>
            </w:tcBorders>
            <w:noWrap w:val="0"/>
            <w:vAlign w:val="center"/>
          </w:tcPr>
          <w:p>
            <w:pPr>
              <w:jc w:val="left"/>
              <w:rPr>
                <w:rFonts w:hint="eastAsia" w:ascii="宋体" w:hAnsi="宋体" w:eastAsia="宋体" w:cs="宋体"/>
                <w:i w:val="0"/>
                <w:iCs w:val="0"/>
                <w:color w:val="000000"/>
                <w:sz w:val="16"/>
                <w:szCs w:val="16"/>
                <w:u w:val="none"/>
              </w:rPr>
            </w:pPr>
          </w:p>
        </w:tc>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16"/>
                <w:szCs w:val="16"/>
                <w:u w:val="none"/>
              </w:rPr>
            </w:pPr>
          </w:p>
        </w:tc>
        <w:tc>
          <w:tcPr>
            <w:tcW w:w="1089" w:type="dxa"/>
            <w:gridSpan w:val="2"/>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运行保障成本</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8"/>
                <w:szCs w:val="8"/>
                <w:u w:val="none"/>
              </w:rPr>
            </w:pPr>
            <w:r>
              <w:rPr>
                <w:rFonts w:hint="eastAsia"/>
                <w:sz w:val="16"/>
                <w:szCs w:val="16"/>
                <w:lang w:eastAsia="zh-CN"/>
              </w:rPr>
              <w:t>正常运行</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正常运行</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422" w:type="dxa"/>
            <w:vMerge w:val="continue"/>
            <w:tcBorders>
              <w:top w:val="single" w:color="000000" w:sz="4" w:space="0"/>
              <w:left w:val="single" w:color="000000" w:sz="4" w:space="0"/>
              <w:bottom w:val="nil"/>
              <w:right w:val="single" w:color="auto" w:sz="4" w:space="0"/>
            </w:tcBorders>
            <w:noWrap w:val="0"/>
            <w:vAlign w:val="center"/>
          </w:tcPr>
          <w:p>
            <w:pPr>
              <w:jc w:val="left"/>
              <w:rPr>
                <w:rFonts w:hint="eastAsia" w:ascii="宋体" w:hAnsi="宋体" w:eastAsia="宋体" w:cs="宋体"/>
                <w:i w:val="0"/>
                <w:iCs w:val="0"/>
                <w:color w:val="000000"/>
                <w:sz w:val="16"/>
                <w:szCs w:val="16"/>
                <w:u w:val="none"/>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89"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78"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保障水利工程完整及安全运行</w:t>
            </w:r>
          </w:p>
        </w:tc>
        <w:tc>
          <w:tcPr>
            <w:tcW w:w="10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安全运行</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422" w:type="dxa"/>
            <w:vMerge w:val="continue"/>
            <w:tcBorders>
              <w:top w:val="single" w:color="000000" w:sz="4" w:space="0"/>
              <w:left w:val="single" w:color="000000" w:sz="4" w:space="0"/>
              <w:bottom w:val="nil"/>
              <w:right w:val="single" w:color="auto" w:sz="4" w:space="0"/>
            </w:tcBorders>
            <w:noWrap w:val="0"/>
            <w:vAlign w:val="center"/>
          </w:tcPr>
          <w:p>
            <w:pPr>
              <w:jc w:val="left"/>
              <w:rPr>
                <w:rFonts w:hint="eastAsia" w:ascii="宋体" w:hAnsi="宋体" w:eastAsia="宋体" w:cs="宋体"/>
                <w:i w:val="0"/>
                <w:iCs w:val="0"/>
                <w:color w:val="000000"/>
                <w:sz w:val="16"/>
                <w:szCs w:val="16"/>
                <w:u w:val="none"/>
              </w:rPr>
            </w:pPr>
          </w:p>
        </w:tc>
        <w:tc>
          <w:tcPr>
            <w:tcW w:w="118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089"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78"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本单位职工满意度</w:t>
            </w:r>
          </w:p>
        </w:tc>
        <w:tc>
          <w:tcPr>
            <w:tcW w:w="1089" w:type="dxa"/>
            <w:gridSpan w:val="2"/>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r>
              <w:rPr>
                <w:rFonts w:hint="eastAsia" w:ascii="Calibri" w:hAnsi="Calibri" w:eastAsia="宋体" w:cs="Calibri"/>
                <w:i w:val="0"/>
                <w:iCs w:val="0"/>
                <w:color w:val="000000"/>
                <w:kern w:val="0"/>
                <w:sz w:val="16"/>
                <w:szCs w:val="16"/>
                <w:u w:val="none"/>
                <w:lang w:val="en-US" w:eastAsia="zh-CN" w:bidi="ar"/>
              </w:rPr>
              <w:t>5</w:t>
            </w:r>
            <w:r>
              <w:rPr>
                <w:rFonts w:hint="default" w:ascii="Calibri" w:hAnsi="Calibri" w:eastAsia="宋体" w:cs="Calibri"/>
                <w:i w:val="0"/>
                <w:iCs w:val="0"/>
                <w:color w:val="000000"/>
                <w:kern w:val="0"/>
                <w:sz w:val="16"/>
                <w:szCs w:val="16"/>
                <w:u w:val="none"/>
                <w:lang w:val="en-US" w:eastAsia="zh-CN" w:bidi="ar"/>
              </w:rPr>
              <w:t>%</w:t>
            </w:r>
          </w:p>
        </w:tc>
        <w:tc>
          <w:tcPr>
            <w:tcW w:w="1089"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9</w:t>
            </w:r>
            <w:r>
              <w:rPr>
                <w:rFonts w:hint="eastAsia" w:ascii="Calibri" w:hAnsi="Calibri" w:eastAsia="宋体" w:cs="Calibri"/>
                <w:i w:val="0"/>
                <w:iCs w:val="0"/>
                <w:color w:val="000000"/>
                <w:kern w:val="0"/>
                <w:sz w:val="16"/>
                <w:szCs w:val="16"/>
                <w:u w:val="none"/>
                <w:lang w:val="en-US" w:eastAsia="zh-CN" w:bidi="ar"/>
              </w:rPr>
              <w:t>7</w:t>
            </w:r>
            <w:r>
              <w:rPr>
                <w:rFonts w:hint="default" w:ascii="Calibri" w:hAnsi="Calibri" w:eastAsia="宋体" w:cs="Calibri"/>
                <w:i w:val="0"/>
                <w:iCs w:val="0"/>
                <w:color w:val="000000"/>
                <w:kern w:val="0"/>
                <w:sz w:val="16"/>
                <w:szCs w:val="16"/>
                <w:u w:val="none"/>
                <w:lang w:val="en-US" w:eastAsia="zh-CN" w:bidi="ar"/>
              </w:rPr>
              <w:t>%</w:t>
            </w:r>
          </w:p>
        </w:tc>
        <w:tc>
          <w:tcPr>
            <w:tcW w:w="134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1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18"/>
                <w:lang w:val="en-US" w:eastAsia="zh-CN" w:bidi="ar"/>
              </w:rPr>
              <w:t>五、</w:t>
            </w:r>
            <w:r>
              <w:rPr>
                <w:rStyle w:val="25"/>
                <w:rFonts w:eastAsia="宋体"/>
                <w:lang w:val="en-US" w:eastAsia="zh-CN" w:bidi="ar"/>
              </w:rPr>
              <w:t xml:space="preserve"> </w:t>
            </w:r>
            <w:r>
              <w:rPr>
                <w:rStyle w:val="18"/>
                <w:lang w:val="en-US" w:eastAsia="zh-CN" w:bidi="ar"/>
              </w:rPr>
              <w:t>绩效目标执行出现的偏差和采取的措施</w:t>
            </w:r>
          </w:p>
        </w:tc>
        <w:tc>
          <w:tcPr>
            <w:tcW w:w="7978" w:type="dxa"/>
            <w:gridSpan w:val="9"/>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sz w:val="32"/>
          <w:szCs w:val="32"/>
          <w:highlight w:val="yellow"/>
        </w:rPr>
      </w:pPr>
    </w:p>
    <w:p>
      <w:pPr>
        <w:numPr>
          <w:ilvl w:val="0"/>
          <w:numId w:val="3"/>
        </w:numPr>
        <w:adjustRightInd w:val="0"/>
        <w:snapToGrid w:val="0"/>
        <w:spacing w:line="580" w:lineRule="exact"/>
        <w:ind w:left="0" w:leftChars="0" w:firstLine="0" w:firstLineChars="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单位</w:t>
      </w:r>
      <w:r>
        <w:rPr>
          <w:rFonts w:hint="default" w:ascii="Times New Roman" w:hAnsi="Times New Roman" w:eastAsia="仿宋_GB2312" w:cs="Times New Roman"/>
          <w:b/>
          <w:bCs/>
          <w:sz w:val="32"/>
          <w:szCs w:val="32"/>
        </w:rPr>
        <w:t>评价项目绩效评价结果</w:t>
      </w:r>
    </w:p>
    <w:p>
      <w:pPr>
        <w:numPr>
          <w:ilvl w:val="0"/>
          <w:numId w:val="0"/>
        </w:numPr>
        <w:adjustRightInd w:val="0"/>
        <w:snapToGrid w:val="0"/>
        <w:spacing w:line="580" w:lineRule="exact"/>
        <w:ind w:leftChars="0" w:firstLine="640" w:firstLineChars="20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sz w:val="32"/>
          <w:szCs w:val="32"/>
          <w:lang w:eastAsia="zh-CN"/>
        </w:rPr>
        <w:t>单位本年度没有财政评价项目绩效评价</w:t>
      </w:r>
    </w:p>
    <w:p>
      <w:pPr>
        <w:adjustRightInd w:val="0"/>
        <w:snapToGrid w:val="0"/>
        <w:spacing w:line="58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rPr>
        <w:t>十、其他需要说明的情况</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本</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2023年度</w:t>
      </w:r>
      <w:r>
        <w:rPr>
          <w:rFonts w:hint="eastAsia" w:ascii="Times New Roman" w:hAnsi="Times New Roman" w:eastAsia="仿宋_GB2312" w:cs="Times New Roman"/>
          <w:sz w:val="32"/>
          <w:szCs w:val="32"/>
          <w:lang w:eastAsia="zh-CN"/>
        </w:rPr>
        <w:t>政府性基金预算财政拨款收入支出决算表（公开</w:t>
      </w:r>
      <w:r>
        <w:rPr>
          <w:rFonts w:hint="eastAsia" w:ascii="Times New Roman" w:hAnsi="Times New Roman" w:eastAsia="仿宋_GB2312" w:cs="Times New Roman"/>
          <w:sz w:val="32"/>
          <w:szCs w:val="32"/>
          <w:lang w:val="en-US" w:eastAsia="zh-CN"/>
        </w:rPr>
        <w:t>07表）、国有资本经营预算财政拨款支出决算表（公开08表）、财政拨款“三公”经费支出决算表（公开09表）</w:t>
      </w:r>
      <w:r>
        <w:rPr>
          <w:rFonts w:hint="default" w:ascii="Times New Roman" w:hAnsi="Times New Roman" w:eastAsia="仿宋_GB2312" w:cs="Times New Roman"/>
          <w:sz w:val="32"/>
          <w:szCs w:val="32"/>
        </w:rPr>
        <w:t>无收支及结转结余情况，故</w:t>
      </w:r>
      <w:r>
        <w:rPr>
          <w:rFonts w:hint="eastAsia" w:ascii="Times New Roman" w:hAnsi="Times New Roman" w:eastAsia="仿宋_GB2312" w:cs="Times New Roman"/>
          <w:sz w:val="32"/>
          <w:szCs w:val="32"/>
          <w:lang w:eastAsia="zh-CN"/>
        </w:rPr>
        <w:t>政府性基金预算财政拨款收入支出决算表（公开</w:t>
      </w:r>
      <w:r>
        <w:rPr>
          <w:rFonts w:hint="eastAsia" w:ascii="Times New Roman" w:hAnsi="Times New Roman" w:eastAsia="仿宋_GB2312" w:cs="Times New Roman"/>
          <w:sz w:val="32"/>
          <w:szCs w:val="32"/>
          <w:lang w:val="en-US" w:eastAsia="zh-CN"/>
        </w:rPr>
        <w:t>07表）、国有资本经营预算财政拨款支出决算表（公开08表）、财政拨款“三公”经费支出决算表（公开09表）</w:t>
      </w:r>
      <w:r>
        <w:rPr>
          <w:rFonts w:hint="default" w:ascii="Times New Roman" w:hAnsi="Times New Roman" w:eastAsia="仿宋_GB2312" w:cs="Times New Roman"/>
          <w:sz w:val="32"/>
          <w:szCs w:val="32"/>
        </w:rPr>
        <w:t>以空表列示。</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adjustRightInd w:val="0"/>
        <w:snapToGrid w:val="0"/>
        <w:spacing w:line="580" w:lineRule="exact"/>
        <w:ind w:firstLine="640" w:firstLineChars="200"/>
        <w:rPr>
          <w:rFonts w:hint="default" w:ascii="Times New Roman" w:hAnsi="Times New Roman" w:eastAsia="仿宋_GB2312" w:cs="Times New Roman"/>
          <w:sz w:val="32"/>
          <w:szCs w:val="32"/>
        </w:rPr>
      </w:pPr>
    </w:p>
    <w:p>
      <w:pPr>
        <w:widowControl/>
        <w:spacing w:line="580" w:lineRule="exact"/>
        <w:ind w:firstLine="883" w:firstLineChars="200"/>
        <w:jc w:val="left"/>
        <w:rPr>
          <w:rFonts w:hint="default" w:ascii="Times New Roman" w:hAnsi="Times New Roman" w:eastAsia="宋体" w:cs="Times New Roman"/>
          <w:b/>
          <w:bCs/>
          <w:kern w:val="0"/>
          <w:sz w:val="44"/>
          <w:szCs w:val="44"/>
        </w:rPr>
      </w:pPr>
    </w:p>
    <w:p>
      <w:pPr>
        <w:rPr>
          <w:rFonts w:hint="default" w:ascii="Times New Roman" w:hAnsi="Times New Roman" w:eastAsia="仿宋_GB2312" w:cs="Times New Roman"/>
          <w:sz w:val="32"/>
          <w:szCs w:val="32"/>
        </w:rPr>
      </w:pPr>
    </w:p>
    <w:p>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bCs/>
          <w:sz w:val="32"/>
          <w:szCs w:val="32"/>
          <w:highlight w:val="yellow"/>
        </w:rPr>
      </w:pPr>
    </w:p>
    <w:p>
      <w:pPr>
        <w:numPr>
          <w:ilvl w:val="0"/>
          <w:numId w:val="0"/>
        </w:numPr>
        <w:spacing w:line="580" w:lineRule="exact"/>
        <w:ind w:firstLine="642"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一、</w:t>
      </w:r>
      <w:r>
        <w:rPr>
          <w:rFonts w:hint="default" w:ascii="Times New Roman" w:hAnsi="Times New Roman" w:eastAsia="仿宋_GB2312" w:cs="Times New Roman"/>
          <w:b/>
          <w:bCs/>
          <w:color w:val="000000"/>
          <w:kern w:val="0"/>
          <w:sz w:val="32"/>
          <w:szCs w:val="32"/>
        </w:rPr>
        <w:t>财政拨款收入：</w:t>
      </w:r>
      <w:r>
        <w:rPr>
          <w:rFonts w:hint="default" w:ascii="Times New Roman" w:hAnsi="Times New Roman" w:eastAsia="仿宋_GB2312" w:cs="Times New Roman"/>
          <w:bCs/>
          <w:color w:val="000000"/>
          <w:kern w:val="0"/>
          <w:sz w:val="32"/>
          <w:szCs w:val="32"/>
        </w:rPr>
        <w:t>指单位从同级财政部门取得的财政预算资金。</w:t>
      </w:r>
    </w:p>
    <w:p>
      <w:pPr>
        <w:numPr>
          <w:ilvl w:val="0"/>
          <w:numId w:val="0"/>
        </w:numPr>
        <w:spacing w:line="580" w:lineRule="exact"/>
        <w:ind w:firstLine="642"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二、</w:t>
      </w:r>
      <w:r>
        <w:rPr>
          <w:rFonts w:hint="default" w:ascii="Times New Roman" w:hAnsi="Times New Roman" w:eastAsia="仿宋_GB2312" w:cs="Times New Roman"/>
          <w:b/>
          <w:bCs/>
          <w:color w:val="000000"/>
          <w:kern w:val="0"/>
          <w:sz w:val="32"/>
          <w:szCs w:val="32"/>
        </w:rPr>
        <w:t>事业收入：</w:t>
      </w:r>
      <w:r>
        <w:rPr>
          <w:rFonts w:hint="default" w:ascii="Times New Roman" w:hAnsi="Times New Roman" w:eastAsia="仿宋_GB2312" w:cs="Times New Roman"/>
          <w:bCs/>
          <w:color w:val="000000"/>
          <w:kern w:val="0"/>
          <w:sz w:val="32"/>
          <w:szCs w:val="32"/>
        </w:rPr>
        <w:t>指事业单位开展专业业务活动及辅助活动取得的收入。</w:t>
      </w:r>
    </w:p>
    <w:p>
      <w:pPr>
        <w:numPr>
          <w:ilvl w:val="0"/>
          <w:numId w:val="0"/>
        </w:numPr>
        <w:spacing w:line="580" w:lineRule="exact"/>
        <w:ind w:firstLine="642"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三、</w:t>
      </w:r>
      <w:r>
        <w:rPr>
          <w:rFonts w:hint="default" w:ascii="Times New Roman" w:hAnsi="Times New Roman" w:eastAsia="仿宋_GB2312" w:cs="Times New Roman"/>
          <w:b/>
          <w:bCs/>
          <w:color w:val="000000"/>
          <w:kern w:val="0"/>
          <w:sz w:val="32"/>
          <w:szCs w:val="32"/>
        </w:rPr>
        <w:t>经营收入：</w:t>
      </w:r>
      <w:r>
        <w:rPr>
          <w:rFonts w:hint="default" w:ascii="Times New Roman" w:hAnsi="Times New Roman" w:eastAsia="仿宋_GB2312" w:cs="Times New Roman"/>
          <w:bCs/>
          <w:color w:val="000000"/>
          <w:kern w:val="0"/>
          <w:sz w:val="32"/>
          <w:szCs w:val="32"/>
        </w:rPr>
        <w:t>指事业单位在专业业务活动及其辅助活动之外开展非独立核算经营活动取得的收入。</w:t>
      </w:r>
    </w:p>
    <w:p>
      <w:pPr>
        <w:numPr>
          <w:ilvl w:val="0"/>
          <w:numId w:val="0"/>
        </w:numPr>
        <w:spacing w:line="580" w:lineRule="exact"/>
        <w:ind w:firstLine="642"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四、</w:t>
      </w:r>
      <w:r>
        <w:rPr>
          <w:rFonts w:hint="default" w:ascii="Times New Roman" w:hAnsi="Times New Roman" w:eastAsia="仿宋_GB2312" w:cs="Times New Roman"/>
          <w:b/>
          <w:bCs/>
          <w:color w:val="000000"/>
          <w:kern w:val="0"/>
          <w:sz w:val="32"/>
          <w:szCs w:val="32"/>
        </w:rPr>
        <w:t>其他收入：</w:t>
      </w:r>
      <w:r>
        <w:rPr>
          <w:rFonts w:hint="default" w:ascii="Times New Roman" w:hAnsi="Times New Roman" w:eastAsia="仿宋_GB2312" w:cs="Times New Roman"/>
          <w:bCs/>
          <w:color w:val="000000"/>
          <w:kern w:val="0"/>
          <w:sz w:val="32"/>
          <w:szCs w:val="32"/>
        </w:rPr>
        <w:t>指单位取得的除上述收入以外的各项收</w:t>
      </w:r>
    </w:p>
    <w:p>
      <w:pPr>
        <w:spacing w:line="580" w:lineRule="exact"/>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Cs/>
          <w:color w:val="000000"/>
          <w:kern w:val="0"/>
          <w:sz w:val="32"/>
          <w:szCs w:val="32"/>
        </w:rPr>
        <w:t>入。主要是事业单位固定资产出租收入、存款利息收入等。</w:t>
      </w:r>
    </w:p>
    <w:p>
      <w:pPr>
        <w:spacing w:line="580" w:lineRule="exact"/>
        <w:ind w:firstLine="642"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五、</w:t>
      </w:r>
      <w:r>
        <w:rPr>
          <w:rFonts w:hint="default" w:ascii="Times New Roman" w:hAnsi="Times New Roman" w:eastAsia="仿宋_GB2312" w:cs="Times New Roman"/>
          <w:b/>
          <w:bCs/>
          <w:color w:val="000000"/>
          <w:kern w:val="0"/>
          <w:sz w:val="32"/>
          <w:szCs w:val="32"/>
        </w:rPr>
        <w:t>使用非财政拨款结余（含专用结余）：</w:t>
      </w:r>
      <w:r>
        <w:rPr>
          <w:rFonts w:hint="default" w:ascii="Times New Roman" w:hAnsi="Times New Roman"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0"/>
        </w:numPr>
        <w:spacing w:line="580" w:lineRule="exact"/>
        <w:ind w:firstLine="642"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六、</w:t>
      </w:r>
      <w:r>
        <w:rPr>
          <w:rFonts w:hint="default" w:ascii="Times New Roman" w:hAnsi="Times New Roman" w:eastAsia="仿宋_GB2312" w:cs="Times New Roman"/>
          <w:b/>
          <w:bCs/>
          <w:color w:val="000000"/>
          <w:kern w:val="0"/>
          <w:sz w:val="32"/>
          <w:szCs w:val="32"/>
        </w:rPr>
        <w:t>年初结转和结余：</w:t>
      </w:r>
      <w:r>
        <w:rPr>
          <w:rFonts w:hint="default" w:ascii="Times New Roman" w:hAnsi="Times New Roman" w:eastAsia="仿宋_GB2312" w:cs="Times New Roman"/>
          <w:bCs/>
          <w:color w:val="000000"/>
          <w:kern w:val="0"/>
          <w:sz w:val="32"/>
          <w:szCs w:val="32"/>
        </w:rPr>
        <w:t>指单位以前年度尚未完成、结转到本年仍按原规定用途继续使用的资金，或项目已完成等产生的结余资金。</w:t>
      </w:r>
    </w:p>
    <w:p>
      <w:pPr>
        <w:numPr>
          <w:ilvl w:val="0"/>
          <w:numId w:val="0"/>
        </w:numPr>
        <w:spacing w:line="580" w:lineRule="exact"/>
        <w:ind w:firstLine="642"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七、</w:t>
      </w:r>
      <w:r>
        <w:rPr>
          <w:rFonts w:hint="default" w:ascii="Times New Roman" w:hAnsi="Times New Roman" w:eastAsia="仿宋_GB2312" w:cs="Times New Roman"/>
          <w:b/>
          <w:bCs/>
          <w:color w:val="000000"/>
          <w:kern w:val="0"/>
          <w:sz w:val="32"/>
          <w:szCs w:val="32"/>
        </w:rPr>
        <w:t>结余分配：</w:t>
      </w:r>
      <w:r>
        <w:rPr>
          <w:rFonts w:hint="default" w:ascii="Times New Roman" w:hAnsi="Times New Roman" w:eastAsia="仿宋_GB2312" w:cs="Times New Roman"/>
          <w:bCs/>
          <w:color w:val="000000"/>
          <w:kern w:val="0"/>
          <w:sz w:val="32"/>
          <w:szCs w:val="32"/>
        </w:rPr>
        <w:t>指事业单位按照会计制度规定缴纳的所得税、提取的专用结余以及转入非财政拨款结余的金额等。</w:t>
      </w:r>
    </w:p>
    <w:p>
      <w:pPr>
        <w:numPr>
          <w:ilvl w:val="0"/>
          <w:numId w:val="0"/>
        </w:numPr>
        <w:spacing w:line="580" w:lineRule="exact"/>
        <w:ind w:firstLine="642"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八、</w:t>
      </w:r>
      <w:r>
        <w:rPr>
          <w:rFonts w:hint="default" w:ascii="Times New Roman" w:hAnsi="Times New Roman" w:eastAsia="仿宋_GB2312" w:cs="Times New Roman"/>
          <w:b/>
          <w:bCs/>
          <w:color w:val="000000"/>
          <w:kern w:val="0"/>
          <w:sz w:val="32"/>
          <w:szCs w:val="32"/>
        </w:rPr>
        <w:t>年末结转和结余：</w:t>
      </w:r>
      <w:r>
        <w:rPr>
          <w:rFonts w:hint="default" w:ascii="Times New Roman" w:hAnsi="Times New Roman" w:eastAsia="仿宋_GB2312" w:cs="Times New Roman"/>
          <w:bCs/>
          <w:color w:val="000000"/>
          <w:kern w:val="0"/>
          <w:sz w:val="32"/>
          <w:szCs w:val="32"/>
        </w:rPr>
        <w:t>指单位按有关规定结转到下年或以后年度继续使用的资金，或项目已完成等产生的结余资金。</w:t>
      </w:r>
    </w:p>
    <w:p>
      <w:pPr>
        <w:numPr>
          <w:ilvl w:val="0"/>
          <w:numId w:val="0"/>
        </w:numPr>
        <w:spacing w:line="580" w:lineRule="exact"/>
        <w:ind w:firstLine="642" w:firstLineChars="200"/>
        <w:rPr>
          <w:rFonts w:hint="default" w:ascii="Times New Roman" w:hAnsi="Times New Roman" w:eastAsia="仿宋_GB2312" w:cs="Times New Roman"/>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九、</w:t>
      </w:r>
      <w:r>
        <w:rPr>
          <w:rFonts w:hint="default" w:ascii="Times New Roman" w:hAnsi="Times New Roman" w:eastAsia="仿宋_GB2312" w:cs="Times New Roman"/>
          <w:b/>
          <w:bCs/>
          <w:color w:val="000000"/>
          <w:kern w:val="0"/>
          <w:sz w:val="32"/>
          <w:szCs w:val="32"/>
        </w:rPr>
        <w:t>基本支出：</w:t>
      </w:r>
      <w:r>
        <w:rPr>
          <w:rFonts w:hint="default" w:ascii="Times New Roman" w:hAnsi="Times New Roman" w:eastAsia="仿宋_GB2312" w:cs="Times New Roman"/>
          <w:bCs/>
          <w:color w:val="000000"/>
          <w:kern w:val="0"/>
          <w:sz w:val="32"/>
          <w:szCs w:val="32"/>
        </w:rPr>
        <w:t>指为保障机构正常运转、完成日常工作任务而发生的人员支出和公用支出。</w:t>
      </w:r>
    </w:p>
    <w:p>
      <w:pPr>
        <w:widowControl/>
        <w:spacing w:line="560" w:lineRule="exact"/>
        <w:ind w:firstLine="642"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w:t>
      </w:r>
      <w:r>
        <w:rPr>
          <w:rFonts w:hint="default" w:ascii="Times New Roman" w:hAnsi="Times New Roman" w:eastAsia="仿宋_GB2312" w:cs="Times New Roman"/>
          <w:b/>
          <w:bCs/>
          <w:color w:val="000000"/>
          <w:kern w:val="0"/>
          <w:sz w:val="32"/>
          <w:szCs w:val="32"/>
        </w:rPr>
        <w:t>项目支出：</w:t>
      </w:r>
      <w:r>
        <w:rPr>
          <w:rFonts w:hint="default" w:ascii="Times New Roman" w:hAnsi="Times New Roman" w:eastAsia="仿宋_GB2312" w:cs="Times New Roman"/>
          <w:color w:val="000000"/>
          <w:kern w:val="0"/>
          <w:sz w:val="32"/>
          <w:szCs w:val="32"/>
        </w:rPr>
        <w:t>指在基本支出之外为完成特定行政任务和事业发展目标所发生的支出。</w:t>
      </w:r>
    </w:p>
    <w:p>
      <w:pPr>
        <w:widowControl/>
        <w:spacing w:line="560" w:lineRule="exact"/>
        <w:ind w:firstLine="642"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十一、</w:t>
      </w:r>
      <w:r>
        <w:rPr>
          <w:rFonts w:hint="default" w:ascii="Times New Roman" w:hAnsi="Times New Roman" w:eastAsia="仿宋_GB2312" w:cs="Times New Roman"/>
          <w:b/>
          <w:bCs/>
          <w:color w:val="000000"/>
          <w:kern w:val="0"/>
          <w:sz w:val="32"/>
          <w:szCs w:val="32"/>
        </w:rPr>
        <w:t>经营支出 ：</w:t>
      </w:r>
      <w:r>
        <w:rPr>
          <w:rFonts w:hint="default" w:ascii="Times New Roman" w:hAnsi="Times New Roman"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2"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十二、</w:t>
      </w:r>
      <w:r>
        <w:rPr>
          <w:rFonts w:hint="default" w:ascii="Times New Roman" w:hAnsi="Times New Roman" w:eastAsia="仿宋_GB2312" w:cs="Times New Roman"/>
          <w:b/>
          <w:bCs/>
          <w:color w:val="000000"/>
          <w:kern w:val="0"/>
          <w:sz w:val="32"/>
          <w:szCs w:val="32"/>
        </w:rPr>
        <w:t>基本建设支出：</w:t>
      </w:r>
      <w:r>
        <w:rPr>
          <w:rFonts w:hint="default" w:ascii="Times New Roman" w:hAnsi="Times New Roman"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2" w:firstLineChars="200"/>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十三、</w:t>
      </w:r>
      <w:r>
        <w:rPr>
          <w:rFonts w:hint="default" w:ascii="Times New Roman" w:hAnsi="Times New Roman" w:eastAsia="仿宋_GB2312" w:cs="Times New Roman"/>
          <w:b/>
          <w:bCs/>
          <w:color w:val="000000"/>
          <w:kern w:val="0"/>
          <w:sz w:val="32"/>
          <w:szCs w:val="32"/>
        </w:rPr>
        <w:t>其他资本性支出：</w:t>
      </w:r>
      <w:r>
        <w:rPr>
          <w:rFonts w:hint="default" w:ascii="Times New Roman" w:hAnsi="Times New Roman"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2"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十四、</w:t>
      </w:r>
      <w:r>
        <w:rPr>
          <w:rFonts w:hint="default" w:ascii="Times New Roman" w:hAnsi="Times New Roman" w:eastAsia="仿宋_GB2312" w:cs="Times New Roman"/>
          <w:b/>
          <w:bCs/>
          <w:color w:val="000000"/>
          <w:kern w:val="0"/>
          <w:sz w:val="32"/>
          <w:szCs w:val="32"/>
        </w:rPr>
        <w:t>“三公”经费：</w:t>
      </w:r>
      <w:r>
        <w:rPr>
          <w:rFonts w:hint="default" w:ascii="Times New Roman" w:hAnsi="Times New Roman"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2"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十五、</w:t>
      </w:r>
      <w:r>
        <w:rPr>
          <w:rFonts w:hint="default" w:ascii="Times New Roman" w:hAnsi="Times New Roman" w:eastAsia="仿宋_GB2312" w:cs="Times New Roman"/>
          <w:b/>
          <w:bCs/>
          <w:color w:val="000000"/>
          <w:kern w:val="0"/>
          <w:sz w:val="32"/>
          <w:szCs w:val="32"/>
        </w:rPr>
        <w:t>其他交通费用：</w:t>
      </w:r>
      <w:r>
        <w:rPr>
          <w:rFonts w:hint="default" w:ascii="Times New Roman" w:hAnsi="Times New Roman"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2"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十六、</w:t>
      </w:r>
      <w:r>
        <w:rPr>
          <w:rFonts w:hint="default" w:ascii="Times New Roman" w:hAnsi="Times New Roman" w:eastAsia="仿宋_GB2312" w:cs="Times New Roman"/>
          <w:b/>
          <w:bCs/>
          <w:color w:val="000000"/>
          <w:kern w:val="0"/>
          <w:sz w:val="32"/>
          <w:szCs w:val="32"/>
        </w:rPr>
        <w:t>公务用车购置：</w:t>
      </w:r>
      <w:r>
        <w:rPr>
          <w:rFonts w:hint="default" w:ascii="Times New Roman" w:hAnsi="Times New Roman" w:eastAsia="仿宋_GB2312" w:cs="Times New Roman"/>
          <w:color w:val="000000"/>
          <w:kern w:val="0"/>
          <w:sz w:val="32"/>
          <w:szCs w:val="32"/>
        </w:rPr>
        <w:t>填列单位公务用车车辆购置支出（含车辆购置税、牌照费）。</w:t>
      </w:r>
    </w:p>
    <w:p>
      <w:pPr>
        <w:widowControl/>
        <w:spacing w:line="560" w:lineRule="exact"/>
        <w:ind w:firstLine="642" w:firstLineChars="2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十七、</w:t>
      </w:r>
      <w:r>
        <w:rPr>
          <w:rFonts w:hint="default" w:ascii="Times New Roman" w:hAnsi="Times New Roman" w:eastAsia="仿宋_GB2312" w:cs="Times New Roman"/>
          <w:b/>
          <w:bCs/>
          <w:color w:val="000000"/>
          <w:kern w:val="0"/>
          <w:sz w:val="32"/>
          <w:szCs w:val="32"/>
        </w:rPr>
        <w:t>其他交通工具购置：</w:t>
      </w:r>
      <w:r>
        <w:rPr>
          <w:rFonts w:hint="default" w:ascii="Times New Roman" w:hAnsi="Times New Roman"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2"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十八、机关运行经费：</w:t>
      </w:r>
      <w:r>
        <w:rPr>
          <w:rFonts w:hint="default" w:ascii="Times New Roman" w:hAnsi="Times New Roman"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2" w:firstLineChars="200"/>
        <w:jc w:val="left"/>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b/>
          <w:bCs/>
          <w:color w:val="000000"/>
          <w:kern w:val="0"/>
          <w:sz w:val="32"/>
          <w:szCs w:val="32"/>
        </w:rPr>
        <w:t>十九、经费形式:</w:t>
      </w:r>
      <w:r>
        <w:rPr>
          <w:rFonts w:hint="default" w:ascii="Times New Roman" w:hAnsi="Times New Roman" w:eastAsia="仿宋_GB2312" w:cs="Times New Roman"/>
          <w:color w:val="000000"/>
          <w:kern w:val="0"/>
          <w:sz w:val="32"/>
          <w:szCs w:val="32"/>
        </w:rPr>
        <w:t>按照经费来源，</w:t>
      </w:r>
      <w:r>
        <w:rPr>
          <w:rFonts w:hint="default" w:ascii="Times New Roman" w:hAnsi="Times New Roman" w:eastAsia="仿宋_GB2312" w:cs="Times New Roman"/>
          <w:kern w:val="0"/>
          <w:sz w:val="32"/>
          <w:szCs w:val="32"/>
        </w:rPr>
        <w:t>可分为财政拨款、财政性资金基本保证、财政性资金定额或定项补助、财政性资金零补助四类</w:t>
      </w:r>
      <w:r>
        <w:rPr>
          <w:rFonts w:hint="eastAsia" w:ascii="Times New Roman" w:hAnsi="Times New Roman" w:eastAsia="仿宋_GB2312" w:cs="Times New Roman"/>
          <w:kern w:val="0"/>
          <w:sz w:val="32"/>
          <w:szCs w:val="32"/>
          <w:lang w:eastAsia="zh-CN"/>
        </w:rPr>
        <w:t>。</w:t>
      </w:r>
    </w:p>
    <w:p>
      <w:pPr>
        <w:rPr>
          <w:rFonts w:hint="default" w:ascii="Times New Roman" w:hAnsi="Times New Roman" w:cs="Times New Roma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仿宋_GB2312" w:cs="Times New Roman"/>
          <w:i w:val="0"/>
          <w:iCs w:val="0"/>
          <w:caps w:val="0"/>
          <w:color w:val="333333"/>
          <w:spacing w:val="0"/>
          <w:sz w:val="33"/>
          <w:szCs w:val="33"/>
          <w:highlight w:val="none"/>
          <w:shd w:val="clear" w:fill="FFFFFF"/>
        </w:rPr>
      </w:pPr>
    </w:p>
    <w:p>
      <w:pP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魏碑简体">
    <w:altName w:val="方正魏碑_GBK"/>
    <w:panose1 w:val="00000000000000000000"/>
    <w:charset w:val="86"/>
    <w:family w:val="auto"/>
    <w:pitch w:val="default"/>
    <w:sig w:usb0="00000000" w:usb1="0000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思源黑体 CN Heavy">
    <w:altName w:val="方正黑体_GBK"/>
    <w:panose1 w:val="00000000000000000000"/>
    <w:charset w:val="86"/>
    <w:family w:val="swiss"/>
    <w:pitch w:val="default"/>
    <w:sig w:usb0="00000000" w:usb1="00000000" w:usb2="00000016" w:usb3="00000000" w:csb0="00060107"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F8EBF"/>
    <w:multiLevelType w:val="singleLevel"/>
    <w:tmpl w:val="B13F8EBF"/>
    <w:lvl w:ilvl="0" w:tentative="0">
      <w:start w:val="1"/>
      <w:numFmt w:val="chineseCounting"/>
      <w:suff w:val="nothing"/>
      <w:lvlText w:val="（%1）"/>
      <w:lvlJc w:val="left"/>
      <w:rPr>
        <w:rFonts w:hint="eastAsia"/>
      </w:rPr>
    </w:lvl>
  </w:abstractNum>
  <w:abstractNum w:abstractNumId="1">
    <w:nsid w:val="ED8DA7B6"/>
    <w:multiLevelType w:val="singleLevel"/>
    <w:tmpl w:val="ED8DA7B6"/>
    <w:lvl w:ilvl="0" w:tentative="0">
      <w:start w:val="1"/>
      <w:numFmt w:val="chineseCounting"/>
      <w:suff w:val="nothing"/>
      <w:lvlText w:val="%1、"/>
      <w:lvlJc w:val="left"/>
      <w:rPr>
        <w:rFonts w:hint="eastAsia"/>
      </w:rPr>
    </w:lvl>
  </w:abstractNum>
  <w:abstractNum w:abstractNumId="2">
    <w:nsid w:val="F31EB42C"/>
    <w:multiLevelType w:val="singleLevel"/>
    <w:tmpl w:val="F31EB42C"/>
    <w:lvl w:ilvl="0" w:tentative="0">
      <w:start w:val="4"/>
      <w:numFmt w:val="chineseCounting"/>
      <w:suff w:val="nothing"/>
      <w:lvlText w:val="（%1）"/>
      <w:lvlJc w:val="left"/>
      <w:rPr>
        <w:rFonts w:hint="eastAsia"/>
      </w:rPr>
    </w:lvl>
  </w:abstractNum>
  <w:abstractNum w:abstractNumId="3">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TEsImhkaWQiOiI5NzQ4YmM2MjZkM2M4ZDY2YzhkZWJkY2U5MTg4MmI0NiIsInVzZXJDb3VudCI6MjJ9"/>
  </w:docVars>
  <w:rsids>
    <w:rsidRoot w:val="00000000"/>
    <w:rsid w:val="00086151"/>
    <w:rsid w:val="00236F8C"/>
    <w:rsid w:val="00822154"/>
    <w:rsid w:val="00C65689"/>
    <w:rsid w:val="00C912DB"/>
    <w:rsid w:val="00CC2C8E"/>
    <w:rsid w:val="01A03C5A"/>
    <w:rsid w:val="01A5267D"/>
    <w:rsid w:val="01AF6A8D"/>
    <w:rsid w:val="024808A2"/>
    <w:rsid w:val="025C3821"/>
    <w:rsid w:val="02DA3B1B"/>
    <w:rsid w:val="02E57B4D"/>
    <w:rsid w:val="031E2598"/>
    <w:rsid w:val="03450B90"/>
    <w:rsid w:val="037B12D4"/>
    <w:rsid w:val="03804D63"/>
    <w:rsid w:val="03FB73B0"/>
    <w:rsid w:val="049C1B9D"/>
    <w:rsid w:val="04BD008C"/>
    <w:rsid w:val="04C55939"/>
    <w:rsid w:val="04DA28BB"/>
    <w:rsid w:val="04F528BE"/>
    <w:rsid w:val="050E10CE"/>
    <w:rsid w:val="054F2DFB"/>
    <w:rsid w:val="058E7C4C"/>
    <w:rsid w:val="05991C82"/>
    <w:rsid w:val="061416A9"/>
    <w:rsid w:val="061D60A6"/>
    <w:rsid w:val="06236884"/>
    <w:rsid w:val="065F76C6"/>
    <w:rsid w:val="06982F19"/>
    <w:rsid w:val="06AC0092"/>
    <w:rsid w:val="06B07006"/>
    <w:rsid w:val="06FC7C2A"/>
    <w:rsid w:val="073A500C"/>
    <w:rsid w:val="07533AFE"/>
    <w:rsid w:val="07B3657A"/>
    <w:rsid w:val="07C857D0"/>
    <w:rsid w:val="08AB5AAF"/>
    <w:rsid w:val="09012C64"/>
    <w:rsid w:val="093B2E99"/>
    <w:rsid w:val="095A2027"/>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AA652D"/>
    <w:rsid w:val="0CB23317"/>
    <w:rsid w:val="0D101068"/>
    <w:rsid w:val="0D3063F4"/>
    <w:rsid w:val="0D4E13BE"/>
    <w:rsid w:val="0D7557DF"/>
    <w:rsid w:val="0D853E34"/>
    <w:rsid w:val="0D9C2A57"/>
    <w:rsid w:val="0DFA5D82"/>
    <w:rsid w:val="0E1E52CE"/>
    <w:rsid w:val="0E2F26A5"/>
    <w:rsid w:val="0E866524"/>
    <w:rsid w:val="0E9268D3"/>
    <w:rsid w:val="0E957F1F"/>
    <w:rsid w:val="0F0E7284"/>
    <w:rsid w:val="0F201E01"/>
    <w:rsid w:val="0F28110F"/>
    <w:rsid w:val="0F37083F"/>
    <w:rsid w:val="0F891DB8"/>
    <w:rsid w:val="0FA400C2"/>
    <w:rsid w:val="0FAA3B86"/>
    <w:rsid w:val="10191346"/>
    <w:rsid w:val="102A01A6"/>
    <w:rsid w:val="10754A6C"/>
    <w:rsid w:val="108B537D"/>
    <w:rsid w:val="10B11DB1"/>
    <w:rsid w:val="1106158D"/>
    <w:rsid w:val="11177F57"/>
    <w:rsid w:val="11217C97"/>
    <w:rsid w:val="11464C20"/>
    <w:rsid w:val="115E4926"/>
    <w:rsid w:val="118A1FFA"/>
    <w:rsid w:val="11CF45B6"/>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6457D9F"/>
    <w:rsid w:val="17223EFF"/>
    <w:rsid w:val="17AA5F28"/>
    <w:rsid w:val="17B713F6"/>
    <w:rsid w:val="184350A0"/>
    <w:rsid w:val="18935485"/>
    <w:rsid w:val="18A34206"/>
    <w:rsid w:val="18DE3B2C"/>
    <w:rsid w:val="1906685D"/>
    <w:rsid w:val="19111683"/>
    <w:rsid w:val="19174005"/>
    <w:rsid w:val="19353916"/>
    <w:rsid w:val="193E101D"/>
    <w:rsid w:val="195C2EBB"/>
    <w:rsid w:val="19C10AF1"/>
    <w:rsid w:val="1A017CDA"/>
    <w:rsid w:val="1A2672DE"/>
    <w:rsid w:val="1A7F18ED"/>
    <w:rsid w:val="1AA81D42"/>
    <w:rsid w:val="1AB433D9"/>
    <w:rsid w:val="1AFB6D70"/>
    <w:rsid w:val="1AFF47DC"/>
    <w:rsid w:val="1B1B11EE"/>
    <w:rsid w:val="1B3719E0"/>
    <w:rsid w:val="1B486183"/>
    <w:rsid w:val="1B6261C3"/>
    <w:rsid w:val="1B731730"/>
    <w:rsid w:val="1B882BB5"/>
    <w:rsid w:val="1B9B33C7"/>
    <w:rsid w:val="1B9D7FEC"/>
    <w:rsid w:val="1BA55461"/>
    <w:rsid w:val="1BCD48DA"/>
    <w:rsid w:val="1BE74496"/>
    <w:rsid w:val="1C3D67D1"/>
    <w:rsid w:val="1C40731A"/>
    <w:rsid w:val="1C506572"/>
    <w:rsid w:val="1C560392"/>
    <w:rsid w:val="1C581532"/>
    <w:rsid w:val="1CA15E03"/>
    <w:rsid w:val="1CA24F0C"/>
    <w:rsid w:val="1CF8716C"/>
    <w:rsid w:val="1D1E545A"/>
    <w:rsid w:val="1D4B1F5B"/>
    <w:rsid w:val="1D5C4168"/>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A712F6"/>
    <w:rsid w:val="20D165D5"/>
    <w:rsid w:val="210878E6"/>
    <w:rsid w:val="210E1408"/>
    <w:rsid w:val="211069AD"/>
    <w:rsid w:val="21573FAB"/>
    <w:rsid w:val="2172069C"/>
    <w:rsid w:val="21987BC4"/>
    <w:rsid w:val="21BE314A"/>
    <w:rsid w:val="220451AB"/>
    <w:rsid w:val="2237486E"/>
    <w:rsid w:val="223D1378"/>
    <w:rsid w:val="22451BC7"/>
    <w:rsid w:val="22940650"/>
    <w:rsid w:val="22AD4B1E"/>
    <w:rsid w:val="22D31DF3"/>
    <w:rsid w:val="22FD3CF7"/>
    <w:rsid w:val="232C221B"/>
    <w:rsid w:val="2356249E"/>
    <w:rsid w:val="236E713A"/>
    <w:rsid w:val="23700968"/>
    <w:rsid w:val="238761A6"/>
    <w:rsid w:val="23920578"/>
    <w:rsid w:val="23BB6F9A"/>
    <w:rsid w:val="23FC3864"/>
    <w:rsid w:val="24857B00"/>
    <w:rsid w:val="24F25212"/>
    <w:rsid w:val="24F353B2"/>
    <w:rsid w:val="251A0B90"/>
    <w:rsid w:val="251B0465"/>
    <w:rsid w:val="25216535"/>
    <w:rsid w:val="254B0AC6"/>
    <w:rsid w:val="25571AB6"/>
    <w:rsid w:val="256D3374"/>
    <w:rsid w:val="25B40AD6"/>
    <w:rsid w:val="25BE7872"/>
    <w:rsid w:val="25BF702A"/>
    <w:rsid w:val="264D2D17"/>
    <w:rsid w:val="266C589A"/>
    <w:rsid w:val="26D50E55"/>
    <w:rsid w:val="271A539C"/>
    <w:rsid w:val="274972D4"/>
    <w:rsid w:val="27AA3D97"/>
    <w:rsid w:val="280A3758"/>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3227EF"/>
    <w:rsid w:val="2D4618D2"/>
    <w:rsid w:val="2D5F021B"/>
    <w:rsid w:val="2D6E1286"/>
    <w:rsid w:val="2D70583E"/>
    <w:rsid w:val="2E0725DC"/>
    <w:rsid w:val="2E1B4BB8"/>
    <w:rsid w:val="2E256CB6"/>
    <w:rsid w:val="2E5F27E4"/>
    <w:rsid w:val="2EBD223E"/>
    <w:rsid w:val="2EC10AD1"/>
    <w:rsid w:val="2ECB6A5A"/>
    <w:rsid w:val="2EFA733D"/>
    <w:rsid w:val="2EFC0112"/>
    <w:rsid w:val="2F2B730D"/>
    <w:rsid w:val="2F9F3DC1"/>
    <w:rsid w:val="2FFC7AC2"/>
    <w:rsid w:val="301430AF"/>
    <w:rsid w:val="30630612"/>
    <w:rsid w:val="308E59B0"/>
    <w:rsid w:val="30A10AD0"/>
    <w:rsid w:val="30B10568"/>
    <w:rsid w:val="30E55DD3"/>
    <w:rsid w:val="30E60399"/>
    <w:rsid w:val="31356AA5"/>
    <w:rsid w:val="313E22F0"/>
    <w:rsid w:val="31B0194C"/>
    <w:rsid w:val="31CE17D1"/>
    <w:rsid w:val="32270449"/>
    <w:rsid w:val="323E4515"/>
    <w:rsid w:val="3286389B"/>
    <w:rsid w:val="32CF5C94"/>
    <w:rsid w:val="32D337C7"/>
    <w:rsid w:val="32E200EC"/>
    <w:rsid w:val="32E5408B"/>
    <w:rsid w:val="32EB0D70"/>
    <w:rsid w:val="332868BB"/>
    <w:rsid w:val="333211F3"/>
    <w:rsid w:val="33504B41"/>
    <w:rsid w:val="338B4A07"/>
    <w:rsid w:val="33944811"/>
    <w:rsid w:val="33CE0488"/>
    <w:rsid w:val="33F42203"/>
    <w:rsid w:val="34262463"/>
    <w:rsid w:val="34296F31"/>
    <w:rsid w:val="34340A27"/>
    <w:rsid w:val="343D03F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C453BF"/>
    <w:rsid w:val="36FE3ABA"/>
    <w:rsid w:val="37072BDE"/>
    <w:rsid w:val="37455334"/>
    <w:rsid w:val="37731921"/>
    <w:rsid w:val="37E509C0"/>
    <w:rsid w:val="37E96FB8"/>
    <w:rsid w:val="38222D85"/>
    <w:rsid w:val="38803721"/>
    <w:rsid w:val="38925A62"/>
    <w:rsid w:val="389F5F4F"/>
    <w:rsid w:val="38C36BA2"/>
    <w:rsid w:val="38F6595C"/>
    <w:rsid w:val="391702A7"/>
    <w:rsid w:val="39286EB6"/>
    <w:rsid w:val="39601DF4"/>
    <w:rsid w:val="396960F3"/>
    <w:rsid w:val="39840D35"/>
    <w:rsid w:val="39A97DAF"/>
    <w:rsid w:val="39CD1330"/>
    <w:rsid w:val="39DD1AFF"/>
    <w:rsid w:val="3A2510B9"/>
    <w:rsid w:val="3A2B1DFC"/>
    <w:rsid w:val="3A780F78"/>
    <w:rsid w:val="3AA6422C"/>
    <w:rsid w:val="3AAF46D5"/>
    <w:rsid w:val="3AF562AE"/>
    <w:rsid w:val="3B135A0E"/>
    <w:rsid w:val="3B272BBC"/>
    <w:rsid w:val="3B374FEE"/>
    <w:rsid w:val="3B4410EE"/>
    <w:rsid w:val="3B56159C"/>
    <w:rsid w:val="3B596DF7"/>
    <w:rsid w:val="3B7D732B"/>
    <w:rsid w:val="3BC62A80"/>
    <w:rsid w:val="3BD30423"/>
    <w:rsid w:val="3C6C0B58"/>
    <w:rsid w:val="3CBE41D5"/>
    <w:rsid w:val="3D446B0E"/>
    <w:rsid w:val="3D953A6B"/>
    <w:rsid w:val="3DBB5979"/>
    <w:rsid w:val="3DD56F21"/>
    <w:rsid w:val="3E1057AF"/>
    <w:rsid w:val="3E6C0DFA"/>
    <w:rsid w:val="3E740322"/>
    <w:rsid w:val="3E7F4380"/>
    <w:rsid w:val="3E8D171B"/>
    <w:rsid w:val="3EA5630D"/>
    <w:rsid w:val="3EBA731B"/>
    <w:rsid w:val="3EE33949"/>
    <w:rsid w:val="3EFB5800"/>
    <w:rsid w:val="3F3B4E59"/>
    <w:rsid w:val="3F512D31"/>
    <w:rsid w:val="3F542A99"/>
    <w:rsid w:val="3F6E677C"/>
    <w:rsid w:val="3F712F46"/>
    <w:rsid w:val="3FBC0EF7"/>
    <w:rsid w:val="3FCD2AB9"/>
    <w:rsid w:val="3FD17600"/>
    <w:rsid w:val="4050218A"/>
    <w:rsid w:val="405C7868"/>
    <w:rsid w:val="408B24EB"/>
    <w:rsid w:val="408D1DBF"/>
    <w:rsid w:val="40C652D1"/>
    <w:rsid w:val="417044B8"/>
    <w:rsid w:val="418D4436"/>
    <w:rsid w:val="41A203A0"/>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C85ABB"/>
    <w:rsid w:val="45344EFF"/>
    <w:rsid w:val="454C3FF1"/>
    <w:rsid w:val="45513D03"/>
    <w:rsid w:val="45541E1C"/>
    <w:rsid w:val="45FE7734"/>
    <w:rsid w:val="461F0A8B"/>
    <w:rsid w:val="4648721E"/>
    <w:rsid w:val="46663E71"/>
    <w:rsid w:val="466A37AC"/>
    <w:rsid w:val="46CB071B"/>
    <w:rsid w:val="46DE140B"/>
    <w:rsid w:val="46E77334"/>
    <w:rsid w:val="46F22E29"/>
    <w:rsid w:val="46F7142F"/>
    <w:rsid w:val="47107AE3"/>
    <w:rsid w:val="472B054C"/>
    <w:rsid w:val="473C62ED"/>
    <w:rsid w:val="47617242"/>
    <w:rsid w:val="478C16C9"/>
    <w:rsid w:val="47BD246B"/>
    <w:rsid w:val="47CB2B0C"/>
    <w:rsid w:val="47E773CE"/>
    <w:rsid w:val="47EE2C9A"/>
    <w:rsid w:val="47F00499"/>
    <w:rsid w:val="48015FF5"/>
    <w:rsid w:val="483820D2"/>
    <w:rsid w:val="48692CD0"/>
    <w:rsid w:val="48AE3D01"/>
    <w:rsid w:val="49067B2F"/>
    <w:rsid w:val="49677E31"/>
    <w:rsid w:val="496C2225"/>
    <w:rsid w:val="49AE2880"/>
    <w:rsid w:val="49F42EAF"/>
    <w:rsid w:val="4A337323"/>
    <w:rsid w:val="4A5B28DC"/>
    <w:rsid w:val="4AA06B93"/>
    <w:rsid w:val="4AAC3789"/>
    <w:rsid w:val="4ADB18EB"/>
    <w:rsid w:val="4B96118E"/>
    <w:rsid w:val="4BAE1B66"/>
    <w:rsid w:val="4BED4708"/>
    <w:rsid w:val="4BF133DC"/>
    <w:rsid w:val="4C507D4A"/>
    <w:rsid w:val="4CDF5563"/>
    <w:rsid w:val="4CFB2214"/>
    <w:rsid w:val="4D2C4D26"/>
    <w:rsid w:val="4D335E0E"/>
    <w:rsid w:val="4D4E4EA3"/>
    <w:rsid w:val="4D9A5B1B"/>
    <w:rsid w:val="4DA55D85"/>
    <w:rsid w:val="4DBB20DB"/>
    <w:rsid w:val="4DDC3F22"/>
    <w:rsid w:val="4DE66FB2"/>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503C6C22"/>
    <w:rsid w:val="503D1C79"/>
    <w:rsid w:val="50451CAA"/>
    <w:rsid w:val="507A6406"/>
    <w:rsid w:val="50853863"/>
    <w:rsid w:val="508A4590"/>
    <w:rsid w:val="50C23D07"/>
    <w:rsid w:val="50F1461D"/>
    <w:rsid w:val="50FE5411"/>
    <w:rsid w:val="51051E45"/>
    <w:rsid w:val="510B072E"/>
    <w:rsid w:val="511B0BF4"/>
    <w:rsid w:val="51264306"/>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9D2FD6"/>
    <w:rsid w:val="53A639C0"/>
    <w:rsid w:val="53F00A24"/>
    <w:rsid w:val="53F63DBA"/>
    <w:rsid w:val="5448624E"/>
    <w:rsid w:val="546E2B1A"/>
    <w:rsid w:val="5482555F"/>
    <w:rsid w:val="54AA6F8B"/>
    <w:rsid w:val="54D26583"/>
    <w:rsid w:val="54E3249D"/>
    <w:rsid w:val="54F93A6F"/>
    <w:rsid w:val="55363E67"/>
    <w:rsid w:val="556E6DF7"/>
    <w:rsid w:val="55965CE3"/>
    <w:rsid w:val="559D47CE"/>
    <w:rsid w:val="55BE1959"/>
    <w:rsid w:val="56232437"/>
    <w:rsid w:val="56541A75"/>
    <w:rsid w:val="568832FC"/>
    <w:rsid w:val="568C4181"/>
    <w:rsid w:val="569278FF"/>
    <w:rsid w:val="570725A9"/>
    <w:rsid w:val="5714693E"/>
    <w:rsid w:val="571D0C9C"/>
    <w:rsid w:val="573A16CE"/>
    <w:rsid w:val="579C7F80"/>
    <w:rsid w:val="57B30D7C"/>
    <w:rsid w:val="58166B03"/>
    <w:rsid w:val="583E3C94"/>
    <w:rsid w:val="585711D8"/>
    <w:rsid w:val="58672986"/>
    <w:rsid w:val="58721734"/>
    <w:rsid w:val="58900246"/>
    <w:rsid w:val="58977358"/>
    <w:rsid w:val="58D53944"/>
    <w:rsid w:val="58D65478"/>
    <w:rsid w:val="58F52487"/>
    <w:rsid w:val="590422E6"/>
    <w:rsid w:val="592257E5"/>
    <w:rsid w:val="59655E33"/>
    <w:rsid w:val="59CF5BD9"/>
    <w:rsid w:val="59E11824"/>
    <w:rsid w:val="59E20C3C"/>
    <w:rsid w:val="5A1D5B0A"/>
    <w:rsid w:val="5A3B4B4E"/>
    <w:rsid w:val="5A4804CA"/>
    <w:rsid w:val="5A594C85"/>
    <w:rsid w:val="5A8842AA"/>
    <w:rsid w:val="5AEB1E3C"/>
    <w:rsid w:val="5B2507CA"/>
    <w:rsid w:val="5B2A474A"/>
    <w:rsid w:val="5B830730"/>
    <w:rsid w:val="5BA97BA1"/>
    <w:rsid w:val="5BAD55B3"/>
    <w:rsid w:val="5BBB2DD6"/>
    <w:rsid w:val="5BE263B6"/>
    <w:rsid w:val="5C4352FA"/>
    <w:rsid w:val="5C8E5C5A"/>
    <w:rsid w:val="5C965E61"/>
    <w:rsid w:val="5CF0089C"/>
    <w:rsid w:val="5CF5796F"/>
    <w:rsid w:val="5D242A11"/>
    <w:rsid w:val="5D9217C2"/>
    <w:rsid w:val="5DAD06BF"/>
    <w:rsid w:val="5DE23CB3"/>
    <w:rsid w:val="5DE97EEC"/>
    <w:rsid w:val="5DF70D68"/>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C5944"/>
    <w:rsid w:val="632F3F8A"/>
    <w:rsid w:val="637279B4"/>
    <w:rsid w:val="63817D2B"/>
    <w:rsid w:val="63BD1FA9"/>
    <w:rsid w:val="63D175D1"/>
    <w:rsid w:val="63D27965"/>
    <w:rsid w:val="63F4667E"/>
    <w:rsid w:val="64095516"/>
    <w:rsid w:val="641A2468"/>
    <w:rsid w:val="64372F20"/>
    <w:rsid w:val="64DC72D7"/>
    <w:rsid w:val="653619A6"/>
    <w:rsid w:val="65610A02"/>
    <w:rsid w:val="65A11EA3"/>
    <w:rsid w:val="65AC3D66"/>
    <w:rsid w:val="65BB5334"/>
    <w:rsid w:val="663E1DBA"/>
    <w:rsid w:val="665D0213"/>
    <w:rsid w:val="669E59F1"/>
    <w:rsid w:val="66A2024B"/>
    <w:rsid w:val="6704732B"/>
    <w:rsid w:val="670F6731"/>
    <w:rsid w:val="67585CB0"/>
    <w:rsid w:val="67770F0C"/>
    <w:rsid w:val="67B03535"/>
    <w:rsid w:val="67CA2EA5"/>
    <w:rsid w:val="68174F69"/>
    <w:rsid w:val="682C436A"/>
    <w:rsid w:val="6832586F"/>
    <w:rsid w:val="68382778"/>
    <w:rsid w:val="68391F41"/>
    <w:rsid w:val="68436B8C"/>
    <w:rsid w:val="68797358"/>
    <w:rsid w:val="6884624F"/>
    <w:rsid w:val="68A519DF"/>
    <w:rsid w:val="68BF50C3"/>
    <w:rsid w:val="68C4160B"/>
    <w:rsid w:val="68C41C30"/>
    <w:rsid w:val="68CF3BA4"/>
    <w:rsid w:val="68FF2D27"/>
    <w:rsid w:val="69257FA7"/>
    <w:rsid w:val="693F26C7"/>
    <w:rsid w:val="697E12B2"/>
    <w:rsid w:val="69965AF9"/>
    <w:rsid w:val="69C8706D"/>
    <w:rsid w:val="6A0E3FB4"/>
    <w:rsid w:val="6A292754"/>
    <w:rsid w:val="6A5E3B28"/>
    <w:rsid w:val="6A6B1EBE"/>
    <w:rsid w:val="6A8F43F7"/>
    <w:rsid w:val="6AD625F3"/>
    <w:rsid w:val="6B7218BE"/>
    <w:rsid w:val="6B750BA9"/>
    <w:rsid w:val="6BB93285"/>
    <w:rsid w:val="6C0C698C"/>
    <w:rsid w:val="6C222401"/>
    <w:rsid w:val="6C56267F"/>
    <w:rsid w:val="6C6920F9"/>
    <w:rsid w:val="6C826EF9"/>
    <w:rsid w:val="6CAE4C93"/>
    <w:rsid w:val="6CB14F16"/>
    <w:rsid w:val="6CEC2069"/>
    <w:rsid w:val="6D0B1869"/>
    <w:rsid w:val="6D5839EF"/>
    <w:rsid w:val="6D65402D"/>
    <w:rsid w:val="6D683822"/>
    <w:rsid w:val="6D8D136C"/>
    <w:rsid w:val="6DB14A8F"/>
    <w:rsid w:val="6DBF2759"/>
    <w:rsid w:val="6DC96F36"/>
    <w:rsid w:val="6DFA3EBF"/>
    <w:rsid w:val="6E3E63D2"/>
    <w:rsid w:val="6E5F7BE6"/>
    <w:rsid w:val="6E6918C6"/>
    <w:rsid w:val="6EDA3463"/>
    <w:rsid w:val="6EEB4AC4"/>
    <w:rsid w:val="6F212DD6"/>
    <w:rsid w:val="6F3B5912"/>
    <w:rsid w:val="6FA14A81"/>
    <w:rsid w:val="6FA3261F"/>
    <w:rsid w:val="700D6539"/>
    <w:rsid w:val="704203E3"/>
    <w:rsid w:val="7058046B"/>
    <w:rsid w:val="707F2079"/>
    <w:rsid w:val="70922734"/>
    <w:rsid w:val="70CE6DC7"/>
    <w:rsid w:val="710B3646"/>
    <w:rsid w:val="711759F2"/>
    <w:rsid w:val="713C4ED8"/>
    <w:rsid w:val="71407642"/>
    <w:rsid w:val="71641210"/>
    <w:rsid w:val="71D95B7C"/>
    <w:rsid w:val="71EA6A50"/>
    <w:rsid w:val="71FE31A8"/>
    <w:rsid w:val="720C30AE"/>
    <w:rsid w:val="721F6113"/>
    <w:rsid w:val="7233782C"/>
    <w:rsid w:val="73177841"/>
    <w:rsid w:val="733774FE"/>
    <w:rsid w:val="73617E1B"/>
    <w:rsid w:val="736D7653"/>
    <w:rsid w:val="738035CB"/>
    <w:rsid w:val="73852C46"/>
    <w:rsid w:val="7396335C"/>
    <w:rsid w:val="73C372CA"/>
    <w:rsid w:val="73F46595"/>
    <w:rsid w:val="74283FA2"/>
    <w:rsid w:val="742C135B"/>
    <w:rsid w:val="74463733"/>
    <w:rsid w:val="748A2F40"/>
    <w:rsid w:val="74F85778"/>
    <w:rsid w:val="75272439"/>
    <w:rsid w:val="758F1E9B"/>
    <w:rsid w:val="75A01376"/>
    <w:rsid w:val="75CE266B"/>
    <w:rsid w:val="76120141"/>
    <w:rsid w:val="768216BE"/>
    <w:rsid w:val="76C23B43"/>
    <w:rsid w:val="76FD6F97"/>
    <w:rsid w:val="770218E8"/>
    <w:rsid w:val="773D256C"/>
    <w:rsid w:val="779469CE"/>
    <w:rsid w:val="77C875A5"/>
    <w:rsid w:val="78A27DF6"/>
    <w:rsid w:val="78C714D4"/>
    <w:rsid w:val="79285B3A"/>
    <w:rsid w:val="79625CA9"/>
    <w:rsid w:val="79A91196"/>
    <w:rsid w:val="7A0B32D3"/>
    <w:rsid w:val="7AC13CD3"/>
    <w:rsid w:val="7AE10264"/>
    <w:rsid w:val="7AE4248E"/>
    <w:rsid w:val="7B4A207F"/>
    <w:rsid w:val="7B936F45"/>
    <w:rsid w:val="7BA47419"/>
    <w:rsid w:val="7BB10D45"/>
    <w:rsid w:val="7BB44151"/>
    <w:rsid w:val="7C4276DA"/>
    <w:rsid w:val="7C656A39"/>
    <w:rsid w:val="7CB93996"/>
    <w:rsid w:val="7CBE0F99"/>
    <w:rsid w:val="7D4E45F1"/>
    <w:rsid w:val="7DFB6D82"/>
    <w:rsid w:val="7E1D71D1"/>
    <w:rsid w:val="7E246254"/>
    <w:rsid w:val="7E6D090F"/>
    <w:rsid w:val="7ECC66B2"/>
    <w:rsid w:val="7F2914C3"/>
    <w:rsid w:val="7F5F2ED6"/>
    <w:rsid w:val="7FA837EF"/>
    <w:rsid w:val="7FC36955"/>
    <w:rsid w:val="7FE903A0"/>
    <w:rsid w:val="7FF07065"/>
    <w:rsid w:val="7FF97946"/>
    <w:rsid w:val="7FFE7888"/>
    <w:rsid w:val="FAEF05B0"/>
    <w:rsid w:val="FBFFBFF4"/>
    <w:rsid w:val="FCBF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81"/>
    <w:basedOn w:val="13"/>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sv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33</Pages>
  <Words>1691</Words>
  <Characters>2186</Characters>
  <Lines>86</Lines>
  <Paragraphs>24</Paragraphs>
  <TotalTime>1</TotalTime>
  <ScaleCrop>false</ScaleCrop>
  <LinksUpToDate>false</LinksUpToDate>
  <CharactersWithSpaces>2440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TFPC</cp:lastModifiedBy>
  <cp:lastPrinted>2024-11-04T11:16:00Z</cp:lastPrinted>
  <dcterms:modified xsi:type="dcterms:W3CDTF">2024-11-05T15:58:50Z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E3943BC5722641F6AF2F009BA59D61BF_13</vt:lpwstr>
  </property>
  <property fmtid="{D5CDD505-2E9C-101B-9397-08002B2CF9AE}" pid="4" name="KSOTemplateUUID">
    <vt:lpwstr>v1.0_mb_S7ajbG3IpAnL1wSthNCxfw==</vt:lpwstr>
  </property>
</Properties>
</file>