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cs="宋体"/>
          <w:b/>
          <w:sz w:val="44"/>
        </w:rPr>
      </w:pPr>
      <w:bookmarkStart w:id="0" w:name="_GoBack"/>
      <w:bookmarkEnd w:id="0"/>
      <w:r>
        <w:rPr>
          <w:rFonts w:ascii="宋体" w:hAnsi="宋体" w:eastAsia="宋体" w:cs="宋体"/>
          <w:b/>
          <w:sz w:val="44"/>
        </w:rPr>
        <w:t>沙河市</w:t>
      </w:r>
      <w:r>
        <w:rPr>
          <w:rFonts w:hint="eastAsia" w:ascii="宋体" w:hAnsi="宋体" w:eastAsia="宋体" w:cs="宋体"/>
          <w:b/>
          <w:sz w:val="44"/>
          <w:lang w:eastAsia="zh-CN"/>
        </w:rPr>
        <w:t>民政</w:t>
      </w:r>
      <w:r>
        <w:rPr>
          <w:rFonts w:ascii="宋体" w:hAnsi="宋体" w:eastAsia="宋体" w:cs="宋体"/>
          <w:b/>
          <w:sz w:val="44"/>
        </w:rPr>
        <w:t>局</w:t>
      </w:r>
    </w:p>
    <w:p>
      <w:pPr>
        <w:spacing w:line="240" w:lineRule="auto"/>
        <w:jc w:val="center"/>
        <w:rPr>
          <w:rFonts w:ascii="宋体" w:hAnsi="宋体" w:eastAsia="宋体" w:cs="宋体"/>
          <w:b/>
          <w:sz w:val="44"/>
        </w:rPr>
      </w:pPr>
      <w:r>
        <w:rPr>
          <w:rFonts w:hint="eastAsia" w:ascii="宋体" w:hAnsi="宋体" w:eastAsia="宋体" w:cs="宋体"/>
          <w:b/>
          <w:sz w:val="44"/>
        </w:rPr>
        <w:t>202</w:t>
      </w:r>
      <w:r>
        <w:rPr>
          <w:rFonts w:ascii="宋体" w:hAnsi="宋体" w:eastAsia="宋体" w:cs="宋体"/>
          <w:b/>
          <w:sz w:val="44"/>
        </w:rPr>
        <w:t>1</w:t>
      </w:r>
      <w:r>
        <w:rPr>
          <w:rFonts w:hint="eastAsia" w:ascii="宋体" w:hAnsi="宋体" w:eastAsia="宋体" w:cs="宋体"/>
          <w:b/>
          <w:sz w:val="44"/>
        </w:rPr>
        <w:t>年</w:t>
      </w:r>
      <w:r>
        <w:rPr>
          <w:rFonts w:ascii="宋体" w:hAnsi="宋体" w:eastAsia="宋体" w:cs="宋体"/>
          <w:b/>
          <w:sz w:val="44"/>
        </w:rPr>
        <w:t>部门整体支出绩效评价</w:t>
      </w:r>
    </w:p>
    <w:p>
      <w:pPr>
        <w:widowControl/>
        <w:spacing w:line="400" w:lineRule="exact"/>
        <w:jc w:val="left"/>
        <w:rPr>
          <w:rFonts w:ascii="仿宋" w:hAnsi="仿宋" w:eastAsia="仿宋" w:cs="仿宋"/>
          <w:kern w:val="0"/>
          <w:sz w:val="32"/>
          <w:szCs w:val="32"/>
          <w:shd w:val="clear" w:color="auto" w:fill="FFFFFF"/>
          <w:lang w:bidi="ar"/>
        </w:rPr>
      </w:pPr>
    </w:p>
    <w:p>
      <w:pPr>
        <w:rPr>
          <w:rFonts w:hint="eastAsia" w:ascii="黑体" w:hAnsi="黑体" w:eastAsia="黑体" w:cs="Times New Roman"/>
          <w:sz w:val="32"/>
          <w:szCs w:val="32"/>
          <w:lang w:eastAsia="zh-CN"/>
        </w:rPr>
      </w:pPr>
      <w:r>
        <w:rPr>
          <w:rFonts w:hint="eastAsia" w:ascii="黑体" w:hAnsi="黑体" w:eastAsia="黑体" w:cs="Times New Roman"/>
          <w:sz w:val="32"/>
          <w:szCs w:val="32"/>
        </w:rPr>
        <w:t>一、</w:t>
      </w:r>
      <w:r>
        <w:rPr>
          <w:rFonts w:hint="eastAsia" w:ascii="黑体" w:hAnsi="黑体" w:eastAsia="黑体" w:cs="Times New Roman"/>
          <w:sz w:val="32"/>
          <w:szCs w:val="32"/>
          <w:lang w:eastAsia="zh-CN"/>
        </w:rPr>
        <w:t>基本概况</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部门职责：</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（一）贯彻执行国家、省、邢台市民政事业发展和扶贫开发工作的法律法规、政策、规划和计划，结合我市实际，拟订政府规范性文件、政策、规划和计划，经市政府批准后组织实施。</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（二）拟订全市社会团体、社会服务机构等社会组织监督管理办法并组织实施，承担依法对社会团体、社会服务机构等社会组织的登记管理和监察责任；承担市社会组织党委日常工作。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（三）牵头拟订全市社会救助政策、标准，统筹社会救助体系建设。负责城乡居民最低生活保障、特困人员救助供养、临时救助、生活无着流浪乞讨人员救助工作。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订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（六）拟订全市婚姻管理政策并组织实施，推进婚俗改革，指导婚姻服务机构管理工作。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（七）拟订全市殡葬管理政策、服务规范并组织实施，推进殡葬改革，指导殡葬服务机构管理工作。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（八）统筹推进、督促指导、监督管理全市养老服务工作。拟订全市养老服务体系建设规划、政策、标准并组织实施，承担老年人福利和特殊困难老年人救助工作。</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（九）拟订全市残疾人权益保护政策并组织实施。统筹推进残疾人福利制度建设和康复辅助器具产业发展。</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（十）拟订全市儿童福利、孤弃儿童保障、儿童收养、儿童救助保护政策、标准。健全农村留守儿童关爱服务体系和困境儿童保障制度。</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拟订促进全市慈善事业发展政策，指导社会捐助工作。拟订全市社会福利事业发展规划及各类福利机构的管理办法和服务标准；按照有关规定，配合上级做好福利彩票发行管理工作，管理本市福利资金。</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（十二）拟订全市社会工作、志愿服务政策和标准，会同有关部门推进社会工作人才队伍建设和志愿者队伍建设。</w:t>
      </w:r>
    </w:p>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（十三）完成市委、市政府交办的其他任务。</w:t>
      </w:r>
    </w:p>
    <w:p>
      <w:pPr>
        <w:pStyle w:val="17"/>
        <w:rPr>
          <w:rFonts w:hint="eastAsia" w:ascii="仿宋_GB2312" w:hAnsi="仿宋_GB2312" w:eastAsia="仿宋_GB2312" w:cs="仿宋_GB2312"/>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b/>
          <w:color w:val="000000"/>
          <w:sz w:val="32"/>
          <w:szCs w:val="32"/>
        </w:rPr>
      </w:pPr>
    </w:p>
    <w:p>
      <w:pPr>
        <w:spacing w:before="0" w:after="0" w:line="240" w:lineRule="auto"/>
        <w:ind w:firstLine="64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部门机构设置情况</w:t>
      </w:r>
    </w:p>
    <w:p>
      <w:pPr>
        <w:spacing w:before="0" w:after="0" w:line="240" w:lineRule="auto"/>
        <w:ind w:firstLine="0"/>
        <w:jc w:val="center"/>
        <w:outlineLvl w:val="9"/>
        <w:rPr>
          <w:rFonts w:hint="eastAsia" w:ascii="仿宋_GB2312" w:hAnsi="仿宋_GB2312" w:eastAsia="仿宋_GB2312" w:cs="仿宋_GB2312"/>
          <w:b/>
          <w:bCs/>
          <w:color w:val="000000"/>
          <w:sz w:val="32"/>
          <w:szCs w:val="3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2"/>
        <w:gridCol w:w="1536"/>
        <w:gridCol w:w="2223"/>
        <w:gridCol w:w="3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2"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536"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223"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413" w:type="dxa"/>
            <w:vAlign w:val="center"/>
          </w:tcPr>
          <w:p>
            <w:pPr>
              <w:pStyle w:val="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沙河市民政局</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tc>
        <w:tc>
          <w:tcPr>
            <w:tcW w:w="222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正科级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沙河市</w:t>
            </w:r>
            <w:r>
              <w:rPr>
                <w:rFonts w:hint="eastAsia" w:ascii="仿宋_GB2312" w:hAnsi="仿宋_GB2312" w:eastAsia="仿宋_GB2312" w:cs="仿宋_GB2312"/>
                <w:sz w:val="30"/>
                <w:szCs w:val="30"/>
                <w:lang w:eastAsia="zh-CN"/>
              </w:rPr>
              <w:t>民政综合服务中心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副科级</w:t>
            </w:r>
          </w:p>
        </w:tc>
        <w:tc>
          <w:tcPr>
            <w:tcW w:w="341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沙河市</w:t>
            </w:r>
            <w:r>
              <w:rPr>
                <w:rFonts w:hint="eastAsia" w:ascii="仿宋_GB2312" w:hAnsi="仿宋_GB2312" w:eastAsia="仿宋_GB2312" w:cs="仿宋_GB2312"/>
                <w:sz w:val="30"/>
                <w:szCs w:val="30"/>
                <w:lang w:eastAsia="zh-CN"/>
              </w:rPr>
              <w:t>第一民政事业服务中心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沙河市第二民政事业服务中心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沙河市救助站</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沙河市殡葬管理</w:t>
            </w:r>
            <w:r>
              <w:rPr>
                <w:rFonts w:hint="eastAsia" w:ascii="仿宋_GB2312" w:hAnsi="仿宋_GB2312" w:eastAsia="仿宋_GB2312" w:cs="仿宋_GB2312"/>
                <w:sz w:val="30"/>
                <w:szCs w:val="30"/>
                <w:lang w:eastAsia="zh-CN"/>
              </w:rPr>
              <w:t>服务中心</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2" w:type="dxa"/>
            <w:vAlign w:val="center"/>
          </w:tcPr>
          <w:p>
            <w:pPr>
              <w:pStyle w:val="1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沙河市凤凰台公墓</w:t>
            </w:r>
          </w:p>
        </w:tc>
        <w:tc>
          <w:tcPr>
            <w:tcW w:w="1536"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事业</w:t>
            </w:r>
          </w:p>
        </w:tc>
        <w:tc>
          <w:tcPr>
            <w:tcW w:w="2223" w:type="dxa"/>
            <w:vAlign w:val="center"/>
          </w:tcPr>
          <w:p>
            <w:pPr>
              <w:pStyle w:val="2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股级</w:t>
            </w:r>
          </w:p>
        </w:tc>
        <w:tc>
          <w:tcPr>
            <w:tcW w:w="3413" w:type="dxa"/>
            <w:vAlign w:val="center"/>
          </w:tcPr>
          <w:p>
            <w:pPr>
              <w:pStyle w:val="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财政性资金零补助</w:t>
            </w:r>
          </w:p>
        </w:tc>
      </w:tr>
    </w:tbl>
    <w:p>
      <w:pPr>
        <w:autoSpaceDE w:val="0"/>
        <w:autoSpaceDN w:val="0"/>
        <w:rPr>
          <w:rFonts w:hint="eastAsia" w:ascii="仿宋" w:hAnsi="仿宋" w:eastAsia="仿宋" w:cs="仿宋"/>
          <w:sz w:val="32"/>
          <w:szCs w:val="32"/>
          <w:lang w:val="en-US" w:eastAsia="zh-CN"/>
        </w:rPr>
      </w:pPr>
    </w:p>
    <w:p>
      <w:pPr>
        <w:autoSpaceDE w:val="0"/>
        <w:autoSpaceDN w:val="0"/>
        <w:ind w:firstLine="640" w:firstLineChars="200"/>
        <w:rPr>
          <w:rFonts w:hint="eastAsia" w:ascii="黑体" w:hAnsi="黑体" w:eastAsia="黑体" w:cs="黑体"/>
          <w:b/>
          <w:bCs/>
          <w:sz w:val="32"/>
          <w:szCs w:val="32"/>
        </w:rPr>
      </w:pPr>
      <w:r>
        <w:rPr>
          <w:rFonts w:hint="eastAsia" w:ascii="黑体" w:hAnsi="黑体" w:eastAsia="黑体" w:cs="黑体"/>
          <w:sz w:val="32"/>
          <w:szCs w:val="32"/>
          <w:lang w:val="en-US" w:eastAsia="zh-CN"/>
        </w:rPr>
        <w:t>预算资金安排及资金支出情况</w:t>
      </w:r>
    </w:p>
    <w:p>
      <w:pPr>
        <w:spacing w:line="4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02</w:t>
      </w:r>
      <w:r>
        <w:rPr>
          <w:rFonts w:ascii="仿宋_GB2312" w:hAnsi="Calibri" w:eastAsia="仿宋_GB2312" w:cs="Times New Roman"/>
          <w:sz w:val="32"/>
          <w:szCs w:val="32"/>
        </w:rPr>
        <w:t>1</w:t>
      </w:r>
      <w:r>
        <w:rPr>
          <w:rFonts w:hint="eastAsia" w:ascii="仿宋_GB2312" w:hAnsi="Calibri" w:eastAsia="仿宋_GB2312" w:cs="Times New Roman"/>
          <w:sz w:val="32"/>
          <w:szCs w:val="32"/>
        </w:rPr>
        <w:t>年财政拨款预算收入</w:t>
      </w:r>
      <w:r>
        <w:rPr>
          <w:rFonts w:hint="eastAsia" w:ascii="仿宋_GB2312" w:hAnsi="Calibri" w:eastAsia="仿宋_GB2312" w:cs="Times New Roman"/>
          <w:sz w:val="32"/>
          <w:szCs w:val="32"/>
          <w:lang w:val="en-US" w:eastAsia="zh-CN"/>
        </w:rPr>
        <w:t>9627.37</w:t>
      </w:r>
      <w:r>
        <w:rPr>
          <w:rFonts w:hint="eastAsia" w:ascii="仿宋_GB2312" w:hAnsi="Calibri" w:eastAsia="仿宋_GB2312" w:cs="Times New Roman"/>
          <w:sz w:val="32"/>
          <w:szCs w:val="32"/>
        </w:rPr>
        <w:t>万元。202</w:t>
      </w:r>
      <w:r>
        <w:rPr>
          <w:rFonts w:ascii="仿宋_GB2312" w:hAnsi="Calibri" w:eastAsia="仿宋_GB2312" w:cs="Times New Roman"/>
          <w:sz w:val="32"/>
          <w:szCs w:val="32"/>
        </w:rPr>
        <w:t>1</w:t>
      </w:r>
      <w:r>
        <w:rPr>
          <w:rFonts w:hint="eastAsia" w:ascii="仿宋_GB2312" w:hAnsi="Calibri" w:eastAsia="仿宋_GB2312" w:cs="Times New Roman"/>
          <w:sz w:val="32"/>
          <w:szCs w:val="32"/>
        </w:rPr>
        <w:t>年支出</w:t>
      </w:r>
      <w:r>
        <w:rPr>
          <w:rFonts w:hint="eastAsia" w:ascii="仿宋_GB2312" w:hAnsi="Calibri" w:eastAsia="仿宋_GB2312" w:cs="Times New Roman"/>
          <w:sz w:val="32"/>
          <w:szCs w:val="32"/>
          <w:lang w:val="en-US" w:eastAsia="zh-CN"/>
        </w:rPr>
        <w:t>9837.19</w:t>
      </w:r>
      <w:r>
        <w:rPr>
          <w:rFonts w:hint="eastAsia" w:ascii="仿宋_GB2312" w:hAnsi="Calibri" w:eastAsia="仿宋_GB2312" w:cs="Times New Roman"/>
          <w:sz w:val="32"/>
          <w:szCs w:val="32"/>
        </w:rPr>
        <w:t>万元，其中</w:t>
      </w:r>
      <w:r>
        <w:rPr>
          <w:rFonts w:hint="eastAsia" w:ascii="仿宋_GB2312" w:hAnsi="Calibri" w:eastAsia="仿宋_GB2312" w:cs="Times New Roman"/>
          <w:sz w:val="32"/>
          <w:szCs w:val="32"/>
          <w:lang w:eastAsia="zh-CN"/>
        </w:rPr>
        <w:t>基本支出</w:t>
      </w:r>
      <w:r>
        <w:rPr>
          <w:rFonts w:hint="eastAsia" w:ascii="仿宋_GB2312" w:hAnsi="Calibri" w:eastAsia="仿宋_GB2312" w:cs="Times New Roman"/>
          <w:sz w:val="32"/>
          <w:szCs w:val="32"/>
          <w:lang w:val="en-US" w:eastAsia="zh-CN"/>
        </w:rPr>
        <w:t>985.78万元，项目支出8851.41万元。</w:t>
      </w:r>
    </w:p>
    <w:p>
      <w:pPr>
        <w:numPr>
          <w:ilvl w:val="0"/>
          <w:numId w:val="0"/>
        </w:numPr>
        <w:spacing w:line="240" w:lineRule="auto"/>
        <w:rPr>
          <w:rFonts w:hint="eastAsia" w:ascii="黑体" w:hAnsi="黑体" w:eastAsia="黑体" w:cs="黑体"/>
          <w:sz w:val="32"/>
          <w:szCs w:val="32"/>
          <w:lang w:val="en-US" w:eastAsia="zh-CN"/>
        </w:rPr>
      </w:pPr>
    </w:p>
    <w:p>
      <w:pPr>
        <w:numPr>
          <w:ilvl w:val="0"/>
          <w:numId w:val="0"/>
        </w:num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二、预算绩效管理开展及整体绩效实现情况。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（一）总体绩效目标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（二）分项绩效目标</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（一）社会组织管理工作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绩效目标：加强社会组织管理工作。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绩效指标：要进一步加强社会组织党的建设，大力推进社会组织党组织工作全覆盖和规范化建设。</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（二）养老服务事业</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绩效目标：不断推进养老服务事业发展。</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绩效指标：一要大力加强公办养老服务机构建设。</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（三）社会救助工作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绩效目标：全面加强社会救助工作。</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绩效指标：继续扎实推进城乡低保全面核查，对符合低保标准的农村贫困人口全部纳入低保政策兜底。</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（四）留守儿童与困境儿童</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绩效目标：认真落实好市政府出台的关于留守儿童和困境儿童关爱服务的文件精神。</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绩效指标：各乡镇办要配备儿童福利督导员并建立台账，通过低保、特困人员救助、临时救助等方式全面落实基本生活保障制度。</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（三）工作保障措施</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（一）完善制度建设。制定完善预算绩效管理制度、资金管理办法、工作保障制度等，为全年预算绩效目标的实现奠定制度基础。</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（二）加强支出管理。通过优化支出结构、编细编实预算、加快履行政府采购手续、尽快启动项目、及时支付资金、6月底前细化代编预算、按规定及时下达资金等多种措施、确保支出进度达标。</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（三）加强绩效运行监控。按要求开展绩效运行监控，发现问题及时采取措施，确保绩效目标如期保质实现。</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（四）做好绩效自评。按要求开展上年度部门预算绩效自评和重点评价工作，对评价中发现的问题及时整改，调整优化支出结构，提高财政资金使用效益。</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（五）规范财务资产管理。完善财务管理制度，严格审批程序，加强固定资产登记、使用和报废处置管理，做到支出合理，物尽其用。</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3"/>
        <w:rPr>
          <w:rFonts w:hint="eastAsia" w:ascii="仿宋" w:hAnsi="仿宋" w:eastAsia="仿宋" w:cs="仿宋"/>
          <w:sz w:val="32"/>
          <w:szCs w:val="32"/>
          <w:lang w:val="en-US" w:eastAsia="zh-CN"/>
        </w:rPr>
      </w:pPr>
    </w:p>
    <w:p>
      <w:pPr>
        <w:pStyle w:val="23"/>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三、绩效评价的组织实施情况。</w:t>
      </w:r>
    </w:p>
    <w:p>
      <w:pPr>
        <w:pStyle w:val="23"/>
        <w:numPr>
          <w:ilvl w:val="0"/>
          <w:numId w:val="0"/>
        </w:numPr>
        <w:rPr>
          <w:rFonts w:hint="eastAsia" w:ascii="黑体" w:hAnsi="黑体" w:eastAsia="黑体" w:cs="黑体"/>
          <w:sz w:val="32"/>
          <w:szCs w:val="32"/>
          <w:lang w:val="en-US" w:eastAsia="zh-CN"/>
        </w:rPr>
      </w:pPr>
    </w:p>
    <w:p>
      <w:pPr>
        <w:spacing w:before="0" w:after="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、艾滋病家庭健康儿童生活困难补助绩效目标表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1.进一步做好我市艾滋病特殊人群医疗救治和关怀救助工作</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患者数量</w:t>
            </w:r>
          </w:p>
        </w:tc>
        <w:tc>
          <w:tcPr>
            <w:tcW w:w="2835" w:type="dxa"/>
            <w:vAlign w:val="center"/>
          </w:tcPr>
          <w:p>
            <w:pPr>
              <w:pStyle w:val="19"/>
            </w:pPr>
            <w:r>
              <w:t>成人艾滋病患者</w:t>
            </w:r>
          </w:p>
        </w:tc>
        <w:tc>
          <w:tcPr>
            <w:tcW w:w="2551" w:type="dxa"/>
            <w:vAlign w:val="center"/>
          </w:tcPr>
          <w:p>
            <w:pPr>
              <w:pStyle w:val="19"/>
            </w:pPr>
            <w:r>
              <w:t>120人</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补助标准</w:t>
            </w:r>
          </w:p>
        </w:tc>
        <w:tc>
          <w:tcPr>
            <w:tcW w:w="2835" w:type="dxa"/>
            <w:vAlign w:val="center"/>
          </w:tcPr>
          <w:p>
            <w:pPr>
              <w:pStyle w:val="19"/>
            </w:pPr>
            <w:r>
              <w:t>成人艾滋病患者补助标准</w:t>
            </w:r>
          </w:p>
        </w:tc>
        <w:tc>
          <w:tcPr>
            <w:tcW w:w="2551" w:type="dxa"/>
            <w:vAlign w:val="center"/>
          </w:tcPr>
          <w:p>
            <w:pPr>
              <w:pStyle w:val="19"/>
            </w:pPr>
            <w:r>
              <w:t>600元/月/人</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补助发放率</w:t>
            </w:r>
          </w:p>
        </w:tc>
        <w:tc>
          <w:tcPr>
            <w:tcW w:w="2835" w:type="dxa"/>
            <w:vAlign w:val="center"/>
          </w:tcPr>
          <w:p>
            <w:pPr>
              <w:pStyle w:val="19"/>
            </w:pPr>
            <w:r>
              <w:t>补助发放及时率</w:t>
            </w:r>
          </w:p>
        </w:tc>
        <w:tc>
          <w:tcPr>
            <w:tcW w:w="2551" w:type="dxa"/>
            <w:vAlign w:val="center"/>
          </w:tcPr>
          <w:p>
            <w:pPr>
              <w:pStyle w:val="19"/>
            </w:pPr>
            <w:r>
              <w:t>≥90%</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救助率</w:t>
            </w:r>
          </w:p>
        </w:tc>
        <w:tc>
          <w:tcPr>
            <w:tcW w:w="2835" w:type="dxa"/>
            <w:vAlign w:val="center"/>
          </w:tcPr>
          <w:p>
            <w:pPr>
              <w:pStyle w:val="19"/>
            </w:pPr>
            <w:r>
              <w:t>被救助占应救助比例</w:t>
            </w:r>
          </w:p>
        </w:tc>
        <w:tc>
          <w:tcPr>
            <w:tcW w:w="2551" w:type="dxa"/>
            <w:vAlign w:val="center"/>
          </w:tcPr>
          <w:p>
            <w:pPr>
              <w:pStyle w:val="19"/>
            </w:pPr>
            <w:r>
              <w:t>≥90%</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生活水平</w:t>
            </w:r>
          </w:p>
        </w:tc>
        <w:tc>
          <w:tcPr>
            <w:tcW w:w="2835" w:type="dxa"/>
            <w:vAlign w:val="center"/>
          </w:tcPr>
          <w:p>
            <w:pPr>
              <w:pStyle w:val="19"/>
            </w:pPr>
            <w:r>
              <w:t>生活水平提高程度</w:t>
            </w:r>
          </w:p>
        </w:tc>
        <w:tc>
          <w:tcPr>
            <w:tcW w:w="2551" w:type="dxa"/>
            <w:vAlign w:val="center"/>
          </w:tcPr>
          <w:p>
            <w:pPr>
              <w:pStyle w:val="19"/>
            </w:pPr>
            <w:r>
              <w:t>有所提高</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患者满意度</w:t>
            </w:r>
          </w:p>
        </w:tc>
        <w:tc>
          <w:tcPr>
            <w:tcW w:w="2835" w:type="dxa"/>
            <w:vAlign w:val="center"/>
          </w:tcPr>
          <w:p>
            <w:pPr>
              <w:pStyle w:val="19"/>
            </w:pPr>
            <w:r>
              <w:t>患者满意程度</w:t>
            </w:r>
          </w:p>
        </w:tc>
        <w:tc>
          <w:tcPr>
            <w:tcW w:w="2551" w:type="dxa"/>
            <w:vAlign w:val="center"/>
          </w:tcPr>
          <w:p>
            <w:pPr>
              <w:pStyle w:val="19"/>
            </w:pPr>
            <w:r>
              <w:t>≥90%</w:t>
            </w:r>
          </w:p>
        </w:tc>
        <w:tc>
          <w:tcPr>
            <w:tcW w:w="2268" w:type="dxa"/>
            <w:vAlign w:val="center"/>
          </w:tcPr>
          <w:p>
            <w:pPr>
              <w:pStyle w:val="19"/>
            </w:pPr>
            <w:r>
              <w:t>政字【2012】112号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、艾滋病特殊人群生活困难救助绩效目标表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1.进一步做好我市艾滋病特殊人群医疗救治和关怀救助工作</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患者数量</w:t>
            </w:r>
          </w:p>
        </w:tc>
        <w:tc>
          <w:tcPr>
            <w:tcW w:w="2835" w:type="dxa"/>
            <w:vAlign w:val="center"/>
          </w:tcPr>
          <w:p>
            <w:pPr>
              <w:pStyle w:val="19"/>
            </w:pPr>
            <w:r>
              <w:t>成人艾滋病患者</w:t>
            </w:r>
          </w:p>
        </w:tc>
        <w:tc>
          <w:tcPr>
            <w:tcW w:w="2551" w:type="dxa"/>
            <w:vAlign w:val="center"/>
          </w:tcPr>
          <w:p>
            <w:pPr>
              <w:pStyle w:val="19"/>
            </w:pPr>
            <w:r>
              <w:t>120人</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补助标准</w:t>
            </w:r>
          </w:p>
        </w:tc>
        <w:tc>
          <w:tcPr>
            <w:tcW w:w="2835" w:type="dxa"/>
            <w:vAlign w:val="center"/>
          </w:tcPr>
          <w:p>
            <w:pPr>
              <w:pStyle w:val="19"/>
            </w:pPr>
            <w:r>
              <w:t>成人艾滋病患者补助标准</w:t>
            </w:r>
          </w:p>
        </w:tc>
        <w:tc>
          <w:tcPr>
            <w:tcW w:w="2551" w:type="dxa"/>
            <w:vAlign w:val="center"/>
          </w:tcPr>
          <w:p>
            <w:pPr>
              <w:pStyle w:val="19"/>
            </w:pPr>
            <w:r>
              <w:t>600元/月/人</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补助发放率</w:t>
            </w:r>
          </w:p>
        </w:tc>
        <w:tc>
          <w:tcPr>
            <w:tcW w:w="2835" w:type="dxa"/>
            <w:vAlign w:val="center"/>
          </w:tcPr>
          <w:p>
            <w:pPr>
              <w:pStyle w:val="19"/>
            </w:pPr>
            <w:r>
              <w:t>补助发放及时率</w:t>
            </w:r>
          </w:p>
        </w:tc>
        <w:tc>
          <w:tcPr>
            <w:tcW w:w="2551" w:type="dxa"/>
            <w:vAlign w:val="center"/>
          </w:tcPr>
          <w:p>
            <w:pPr>
              <w:pStyle w:val="19"/>
            </w:pPr>
            <w:r>
              <w:t>≥90%</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救助率</w:t>
            </w:r>
          </w:p>
        </w:tc>
        <w:tc>
          <w:tcPr>
            <w:tcW w:w="2835" w:type="dxa"/>
            <w:vAlign w:val="center"/>
          </w:tcPr>
          <w:p>
            <w:pPr>
              <w:pStyle w:val="19"/>
            </w:pPr>
            <w:r>
              <w:t>被救助占应救助比例</w:t>
            </w:r>
          </w:p>
        </w:tc>
        <w:tc>
          <w:tcPr>
            <w:tcW w:w="2551" w:type="dxa"/>
            <w:vAlign w:val="center"/>
          </w:tcPr>
          <w:p>
            <w:pPr>
              <w:pStyle w:val="19"/>
            </w:pPr>
            <w:r>
              <w:t>≥90%</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生活水平</w:t>
            </w:r>
          </w:p>
        </w:tc>
        <w:tc>
          <w:tcPr>
            <w:tcW w:w="2835" w:type="dxa"/>
            <w:vAlign w:val="center"/>
          </w:tcPr>
          <w:p>
            <w:pPr>
              <w:pStyle w:val="19"/>
            </w:pPr>
            <w:r>
              <w:t>生活水平提高程度</w:t>
            </w:r>
          </w:p>
        </w:tc>
        <w:tc>
          <w:tcPr>
            <w:tcW w:w="2551" w:type="dxa"/>
            <w:vAlign w:val="center"/>
          </w:tcPr>
          <w:p>
            <w:pPr>
              <w:pStyle w:val="19"/>
            </w:pPr>
            <w:r>
              <w:t>有所提高</w:t>
            </w:r>
          </w:p>
        </w:tc>
        <w:tc>
          <w:tcPr>
            <w:tcW w:w="2268" w:type="dxa"/>
            <w:vAlign w:val="center"/>
          </w:tcPr>
          <w:p>
            <w:pPr>
              <w:pStyle w:val="19"/>
            </w:pPr>
            <w:r>
              <w:t>政字【2012】112号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患者满意度</w:t>
            </w:r>
          </w:p>
        </w:tc>
        <w:tc>
          <w:tcPr>
            <w:tcW w:w="2835" w:type="dxa"/>
            <w:vAlign w:val="center"/>
          </w:tcPr>
          <w:p>
            <w:pPr>
              <w:pStyle w:val="19"/>
            </w:pPr>
            <w:r>
              <w:t>患者满意程度</w:t>
            </w:r>
          </w:p>
        </w:tc>
        <w:tc>
          <w:tcPr>
            <w:tcW w:w="2551" w:type="dxa"/>
            <w:vAlign w:val="center"/>
          </w:tcPr>
          <w:p>
            <w:pPr>
              <w:pStyle w:val="19"/>
            </w:pPr>
            <w:r>
              <w:t>≥90%</w:t>
            </w:r>
          </w:p>
        </w:tc>
        <w:tc>
          <w:tcPr>
            <w:tcW w:w="2268" w:type="dxa"/>
            <w:vAlign w:val="center"/>
          </w:tcPr>
          <w:p>
            <w:pPr>
              <w:pStyle w:val="19"/>
            </w:pPr>
            <w:r>
              <w:t>政字【2012】112号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、残疾人生活和护理补贴绩效目标表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1.保障困难残疾人生活补贴、重度残疾人护理补贴及时足额发放。</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质量指标</w:t>
            </w:r>
          </w:p>
        </w:tc>
        <w:tc>
          <w:tcPr>
            <w:tcW w:w="2835" w:type="dxa"/>
            <w:vAlign w:val="center"/>
          </w:tcPr>
          <w:p>
            <w:pPr>
              <w:pStyle w:val="19"/>
            </w:pPr>
            <w:r>
              <w:t>残疾人两项补贴享受人员核实率</w:t>
            </w:r>
          </w:p>
        </w:tc>
        <w:tc>
          <w:tcPr>
            <w:tcW w:w="2835" w:type="dxa"/>
            <w:vAlign w:val="center"/>
          </w:tcPr>
          <w:p>
            <w:pPr>
              <w:pStyle w:val="19"/>
            </w:pPr>
            <w:r>
              <w:t>残疾人两项补贴享受人员核实率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困难残疾人生活补贴、重度残疾人护理补贴及时足额发放率</w:t>
            </w:r>
          </w:p>
        </w:tc>
        <w:tc>
          <w:tcPr>
            <w:tcW w:w="2835" w:type="dxa"/>
            <w:vAlign w:val="center"/>
          </w:tcPr>
          <w:p>
            <w:pPr>
              <w:pStyle w:val="19"/>
            </w:pPr>
            <w:r>
              <w:t>困难残疾人生活补贴、重度残疾人护理补贴及时足额发放率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残疾人两项补贴保障率</w:t>
            </w:r>
          </w:p>
        </w:tc>
        <w:tc>
          <w:tcPr>
            <w:tcW w:w="2835" w:type="dxa"/>
            <w:vAlign w:val="center"/>
          </w:tcPr>
          <w:p>
            <w:pPr>
              <w:pStyle w:val="19"/>
            </w:pPr>
            <w:r>
              <w:t>残疾人两项补贴保障率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残疾人生活补贴标准</w:t>
            </w:r>
          </w:p>
        </w:tc>
        <w:tc>
          <w:tcPr>
            <w:tcW w:w="2835" w:type="dxa"/>
            <w:vAlign w:val="center"/>
          </w:tcPr>
          <w:p>
            <w:pPr>
              <w:pStyle w:val="19"/>
            </w:pPr>
            <w:r>
              <w:t>残疾人生活补贴标准</w:t>
            </w:r>
          </w:p>
        </w:tc>
        <w:tc>
          <w:tcPr>
            <w:tcW w:w="2551" w:type="dxa"/>
            <w:vAlign w:val="center"/>
          </w:tcPr>
          <w:p>
            <w:pPr>
              <w:pStyle w:val="19"/>
            </w:pPr>
            <w:r>
              <w:t>66元/月</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受助人群生活水平</w:t>
            </w:r>
          </w:p>
        </w:tc>
        <w:tc>
          <w:tcPr>
            <w:tcW w:w="2835" w:type="dxa"/>
            <w:vAlign w:val="center"/>
          </w:tcPr>
          <w:p>
            <w:pPr>
              <w:pStyle w:val="19"/>
            </w:pPr>
            <w:r>
              <w:t>受助人群生活水平</w:t>
            </w:r>
          </w:p>
        </w:tc>
        <w:tc>
          <w:tcPr>
            <w:tcW w:w="2551" w:type="dxa"/>
            <w:vAlign w:val="center"/>
          </w:tcPr>
          <w:p>
            <w:pPr>
              <w:pStyle w:val="19"/>
            </w:pPr>
            <w:r>
              <w:t>明显提高</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受助人群满意度</w:t>
            </w:r>
          </w:p>
          <w:p>
            <w:pPr>
              <w:pStyle w:val="19"/>
            </w:pPr>
          </w:p>
        </w:tc>
        <w:tc>
          <w:tcPr>
            <w:tcW w:w="2835" w:type="dxa"/>
            <w:vAlign w:val="center"/>
          </w:tcPr>
          <w:p>
            <w:pPr>
              <w:pStyle w:val="19"/>
            </w:pPr>
            <w:r>
              <w:t>受助人群满意度</w:t>
            </w:r>
          </w:p>
        </w:tc>
        <w:tc>
          <w:tcPr>
            <w:tcW w:w="2551" w:type="dxa"/>
            <w:vAlign w:val="center"/>
          </w:tcPr>
          <w:p>
            <w:pPr>
              <w:pStyle w:val="19"/>
            </w:pPr>
            <w:r>
              <w:t>≥90%</w:t>
            </w:r>
          </w:p>
        </w:tc>
        <w:tc>
          <w:tcPr>
            <w:tcW w:w="2268"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、城乡最低生活保障金支出绩效目标表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1.将符合条件的及时纳入保障范围，定时发放救助资金。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低保对象人数</w:t>
            </w:r>
          </w:p>
        </w:tc>
        <w:tc>
          <w:tcPr>
            <w:tcW w:w="2835" w:type="dxa"/>
            <w:vAlign w:val="center"/>
          </w:tcPr>
          <w:p>
            <w:pPr>
              <w:pStyle w:val="19"/>
            </w:pPr>
            <w:r>
              <w:t>低保对象人数</w:t>
            </w:r>
          </w:p>
        </w:tc>
        <w:tc>
          <w:tcPr>
            <w:tcW w:w="2551" w:type="dxa"/>
            <w:vAlign w:val="center"/>
          </w:tcPr>
          <w:p>
            <w:pPr>
              <w:pStyle w:val="19"/>
            </w:pPr>
            <w:r>
              <w:t>应保尽保</w:t>
            </w:r>
          </w:p>
        </w:tc>
        <w:tc>
          <w:tcPr>
            <w:tcW w:w="2268" w:type="dxa"/>
            <w:vAlign w:val="center"/>
          </w:tcPr>
          <w:p>
            <w:pPr>
              <w:pStyle w:val="19"/>
            </w:pPr>
            <w:r>
              <w:t>最低生活保障审核审批办法</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城乡低保标准</w:t>
            </w:r>
          </w:p>
        </w:tc>
        <w:tc>
          <w:tcPr>
            <w:tcW w:w="2835" w:type="dxa"/>
            <w:vAlign w:val="center"/>
          </w:tcPr>
          <w:p>
            <w:pPr>
              <w:pStyle w:val="19"/>
            </w:pPr>
            <w:r>
              <w:t>城乡低保标准</w:t>
            </w:r>
          </w:p>
        </w:tc>
        <w:tc>
          <w:tcPr>
            <w:tcW w:w="2551" w:type="dxa"/>
            <w:vAlign w:val="center"/>
          </w:tcPr>
          <w:p>
            <w:pPr>
              <w:pStyle w:val="19"/>
            </w:pPr>
            <w:r>
              <w:t>稳步提高</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低保资金社会化发放率</w:t>
            </w:r>
          </w:p>
        </w:tc>
        <w:tc>
          <w:tcPr>
            <w:tcW w:w="2835" w:type="dxa"/>
            <w:vAlign w:val="center"/>
          </w:tcPr>
          <w:p>
            <w:pPr>
              <w:pStyle w:val="19"/>
            </w:pPr>
            <w:r>
              <w:t>低保资金社会化发放率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低保资金发放及时率</w:t>
            </w:r>
          </w:p>
        </w:tc>
        <w:tc>
          <w:tcPr>
            <w:tcW w:w="2835" w:type="dxa"/>
            <w:vAlign w:val="center"/>
          </w:tcPr>
          <w:p>
            <w:pPr>
              <w:pStyle w:val="19"/>
            </w:pPr>
            <w:r>
              <w:t>低保资金发放及时率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低保对象生活水平</w:t>
            </w:r>
          </w:p>
        </w:tc>
        <w:tc>
          <w:tcPr>
            <w:tcW w:w="2835" w:type="dxa"/>
            <w:vAlign w:val="center"/>
          </w:tcPr>
          <w:p>
            <w:pPr>
              <w:pStyle w:val="19"/>
            </w:pPr>
            <w:r>
              <w:t>低保对象生活水平</w:t>
            </w:r>
          </w:p>
        </w:tc>
        <w:tc>
          <w:tcPr>
            <w:tcW w:w="2551" w:type="dxa"/>
            <w:vAlign w:val="center"/>
          </w:tcPr>
          <w:p>
            <w:pPr>
              <w:pStyle w:val="19"/>
            </w:pPr>
            <w:r>
              <w:t>明显改善</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保障人员满意度</w:t>
            </w:r>
          </w:p>
        </w:tc>
        <w:tc>
          <w:tcPr>
            <w:tcW w:w="2835" w:type="dxa"/>
            <w:vAlign w:val="center"/>
          </w:tcPr>
          <w:p>
            <w:pPr>
              <w:pStyle w:val="19"/>
            </w:pPr>
            <w:r>
              <w:t>保障人员满意度</w:t>
            </w:r>
          </w:p>
        </w:tc>
        <w:tc>
          <w:tcPr>
            <w:tcW w:w="2551" w:type="dxa"/>
            <w:vAlign w:val="center"/>
          </w:tcPr>
          <w:p>
            <w:pPr>
              <w:pStyle w:val="19"/>
            </w:pPr>
            <w:r>
              <w:t>≥90%</w:t>
            </w:r>
          </w:p>
        </w:tc>
        <w:tc>
          <w:tcPr>
            <w:tcW w:w="2268" w:type="dxa"/>
            <w:vAlign w:val="center"/>
          </w:tcPr>
          <w:p>
            <w:pPr>
              <w:pStyle w:val="19"/>
            </w:pPr>
            <w:r>
              <w:t>最低生活保障审核审批办法</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、低保核查地名等民政系统专项业务经费绩效目标表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1.推动我市低保核查工作的顺利开展，切实保障城乡困难群众基本生活权益</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现完成占预计完成比例</w:t>
            </w:r>
          </w:p>
        </w:tc>
        <w:tc>
          <w:tcPr>
            <w:tcW w:w="2835" w:type="dxa"/>
            <w:vAlign w:val="center"/>
          </w:tcPr>
          <w:p>
            <w:pPr>
              <w:pStyle w:val="19"/>
            </w:pPr>
            <w:r>
              <w:t>现完成占预计完成比例</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正确人数占总审核人数比例</w:t>
            </w:r>
          </w:p>
        </w:tc>
        <w:tc>
          <w:tcPr>
            <w:tcW w:w="2835" w:type="dxa"/>
            <w:vAlign w:val="center"/>
          </w:tcPr>
          <w:p>
            <w:pPr>
              <w:pStyle w:val="19"/>
            </w:pPr>
            <w:r>
              <w:t>正确人数占总审核人数比例</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核查进展程度</w:t>
            </w:r>
          </w:p>
        </w:tc>
        <w:tc>
          <w:tcPr>
            <w:tcW w:w="2835" w:type="dxa"/>
            <w:vAlign w:val="center"/>
          </w:tcPr>
          <w:p>
            <w:pPr>
              <w:pStyle w:val="19"/>
            </w:pPr>
            <w:r>
              <w:t>核查进展程度</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核查平均成本</w:t>
            </w:r>
          </w:p>
        </w:tc>
        <w:tc>
          <w:tcPr>
            <w:tcW w:w="2835" w:type="dxa"/>
            <w:vAlign w:val="center"/>
          </w:tcPr>
          <w:p>
            <w:pPr>
              <w:pStyle w:val="19"/>
            </w:pPr>
            <w:r>
              <w:t>核查平均成本</w:t>
            </w:r>
          </w:p>
        </w:tc>
        <w:tc>
          <w:tcPr>
            <w:tcW w:w="2551" w:type="dxa"/>
            <w:vAlign w:val="center"/>
          </w:tcPr>
          <w:p>
            <w:pPr>
              <w:pStyle w:val="19"/>
            </w:pPr>
            <w:r>
              <w:t>按需付费</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困难群众生活水平</w:t>
            </w:r>
          </w:p>
        </w:tc>
        <w:tc>
          <w:tcPr>
            <w:tcW w:w="2835" w:type="dxa"/>
            <w:vAlign w:val="center"/>
          </w:tcPr>
          <w:p>
            <w:pPr>
              <w:pStyle w:val="19"/>
            </w:pPr>
            <w:r>
              <w:t>困难群众生活水平</w:t>
            </w:r>
          </w:p>
        </w:tc>
        <w:tc>
          <w:tcPr>
            <w:tcW w:w="2551" w:type="dxa"/>
            <w:vAlign w:val="center"/>
          </w:tcPr>
          <w:p>
            <w:pPr>
              <w:pStyle w:val="19"/>
            </w:pPr>
            <w:r>
              <w:t>明显提高</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群众满意度</w:t>
            </w:r>
          </w:p>
        </w:tc>
        <w:tc>
          <w:tcPr>
            <w:tcW w:w="2835" w:type="dxa"/>
            <w:vAlign w:val="center"/>
          </w:tcPr>
          <w:p>
            <w:pPr>
              <w:pStyle w:val="19"/>
            </w:pPr>
            <w:r>
              <w:t>群众满意度</w:t>
            </w:r>
          </w:p>
        </w:tc>
        <w:tc>
          <w:tcPr>
            <w:tcW w:w="2551" w:type="dxa"/>
            <w:vAlign w:val="center"/>
          </w:tcPr>
          <w:p>
            <w:pPr>
              <w:pStyle w:val="19"/>
            </w:pPr>
            <w:r>
              <w:t>≥90%</w:t>
            </w:r>
          </w:p>
        </w:tc>
        <w:tc>
          <w:tcPr>
            <w:tcW w:w="2268"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、第二民政中心儿童救助养育经费绩效目标表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1.孤、弃婴儿基本生活条件保障到位</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提高集中供养率</w:t>
            </w:r>
          </w:p>
        </w:tc>
        <w:tc>
          <w:tcPr>
            <w:tcW w:w="2835" w:type="dxa"/>
            <w:vAlign w:val="center"/>
          </w:tcPr>
          <w:p>
            <w:pPr>
              <w:pStyle w:val="19"/>
            </w:pPr>
            <w:r>
              <w:t>提高集中供养率</w:t>
            </w:r>
          </w:p>
        </w:tc>
        <w:tc>
          <w:tcPr>
            <w:tcW w:w="2551" w:type="dxa"/>
            <w:vAlign w:val="center"/>
          </w:tcPr>
          <w:p>
            <w:pPr>
              <w:pStyle w:val="19"/>
            </w:pPr>
            <w:r>
              <w:t>≥90%</w:t>
            </w:r>
          </w:p>
        </w:tc>
        <w:tc>
          <w:tcPr>
            <w:tcW w:w="2268"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提高服务水平</w:t>
            </w:r>
          </w:p>
        </w:tc>
        <w:tc>
          <w:tcPr>
            <w:tcW w:w="2835" w:type="dxa"/>
            <w:vAlign w:val="center"/>
          </w:tcPr>
          <w:p>
            <w:pPr>
              <w:pStyle w:val="19"/>
            </w:pPr>
            <w:r>
              <w:t>入住人员满意率</w:t>
            </w:r>
          </w:p>
        </w:tc>
        <w:tc>
          <w:tcPr>
            <w:tcW w:w="2551" w:type="dxa"/>
            <w:vAlign w:val="center"/>
          </w:tcPr>
          <w:p>
            <w:pPr>
              <w:pStyle w:val="19"/>
            </w:pPr>
            <w:r>
              <w:t>≥90%</w:t>
            </w:r>
          </w:p>
        </w:tc>
        <w:tc>
          <w:tcPr>
            <w:tcW w:w="2268"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孤、弃婴儿生病及时医治</w:t>
            </w:r>
          </w:p>
        </w:tc>
        <w:tc>
          <w:tcPr>
            <w:tcW w:w="2835" w:type="dxa"/>
            <w:vAlign w:val="center"/>
          </w:tcPr>
          <w:p>
            <w:pPr>
              <w:pStyle w:val="19"/>
            </w:pPr>
            <w:r>
              <w:t>按医务室处置规定执行</w:t>
            </w:r>
          </w:p>
        </w:tc>
        <w:tc>
          <w:tcPr>
            <w:tcW w:w="2551" w:type="dxa"/>
            <w:vAlign w:val="center"/>
          </w:tcPr>
          <w:p>
            <w:pPr>
              <w:pStyle w:val="19"/>
            </w:pPr>
            <w:r>
              <w:t>≥90%</w:t>
            </w:r>
          </w:p>
        </w:tc>
        <w:tc>
          <w:tcPr>
            <w:tcW w:w="2268"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年度运转经费使用比例</w:t>
            </w:r>
          </w:p>
        </w:tc>
        <w:tc>
          <w:tcPr>
            <w:tcW w:w="2835" w:type="dxa"/>
            <w:vAlign w:val="center"/>
          </w:tcPr>
          <w:p>
            <w:pPr>
              <w:pStyle w:val="19"/>
            </w:pPr>
            <w:r>
              <w:t>年度运转经费使用比例</w:t>
            </w:r>
          </w:p>
        </w:tc>
        <w:tc>
          <w:tcPr>
            <w:tcW w:w="2551" w:type="dxa"/>
            <w:vAlign w:val="center"/>
          </w:tcPr>
          <w:p>
            <w:pPr>
              <w:pStyle w:val="19"/>
            </w:pPr>
            <w:r>
              <w:t>≥90%</w:t>
            </w:r>
          </w:p>
        </w:tc>
        <w:tc>
          <w:tcPr>
            <w:tcW w:w="2268"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基本生活保障的质量</w:t>
            </w:r>
          </w:p>
        </w:tc>
        <w:tc>
          <w:tcPr>
            <w:tcW w:w="2835" w:type="dxa"/>
            <w:vAlign w:val="center"/>
          </w:tcPr>
          <w:p>
            <w:pPr>
              <w:pStyle w:val="19"/>
            </w:pPr>
            <w:r>
              <w:t>基本生活保障的质量</w:t>
            </w:r>
          </w:p>
        </w:tc>
        <w:tc>
          <w:tcPr>
            <w:tcW w:w="2551" w:type="dxa"/>
            <w:vAlign w:val="center"/>
          </w:tcPr>
          <w:p>
            <w:pPr>
              <w:pStyle w:val="19"/>
            </w:pPr>
            <w:r>
              <w:t>≥90%</w:t>
            </w:r>
          </w:p>
        </w:tc>
        <w:tc>
          <w:tcPr>
            <w:tcW w:w="2268" w:type="dxa"/>
            <w:vAlign w:val="center"/>
          </w:tcPr>
          <w:p>
            <w:pPr>
              <w:pStyle w:val="19"/>
            </w:pPr>
            <w:r>
              <w:t>河北省社会福利机构管理办法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入住人员满意率</w:t>
            </w:r>
          </w:p>
        </w:tc>
        <w:tc>
          <w:tcPr>
            <w:tcW w:w="2835" w:type="dxa"/>
            <w:vAlign w:val="center"/>
          </w:tcPr>
          <w:p>
            <w:pPr>
              <w:pStyle w:val="19"/>
            </w:pPr>
            <w:r>
              <w:t>稳步提高服务水平</w:t>
            </w:r>
          </w:p>
        </w:tc>
        <w:tc>
          <w:tcPr>
            <w:tcW w:w="2551" w:type="dxa"/>
            <w:vAlign w:val="center"/>
          </w:tcPr>
          <w:p>
            <w:pPr>
              <w:pStyle w:val="19"/>
            </w:pPr>
            <w:r>
              <w:t>≥90%</w:t>
            </w:r>
          </w:p>
        </w:tc>
        <w:tc>
          <w:tcPr>
            <w:tcW w:w="2268" w:type="dxa"/>
            <w:vAlign w:val="center"/>
          </w:tcPr>
          <w:p>
            <w:pPr>
              <w:pStyle w:val="19"/>
            </w:pPr>
            <w:r>
              <w:t>河北省社会福利机构管理办法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、第一民政事业服务中心看护管理资金绩效目标表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1.确保第一民政事业服务中心安全维护并及早完成建设</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按规定配备看护管理人员</w:t>
            </w:r>
          </w:p>
        </w:tc>
        <w:tc>
          <w:tcPr>
            <w:tcW w:w="2835" w:type="dxa"/>
            <w:vAlign w:val="center"/>
          </w:tcPr>
          <w:p>
            <w:pPr>
              <w:pStyle w:val="19"/>
            </w:pPr>
            <w:r>
              <w:t>按规定配备看护管理人员</w:t>
            </w:r>
          </w:p>
        </w:tc>
        <w:tc>
          <w:tcPr>
            <w:tcW w:w="2551" w:type="dxa"/>
            <w:vAlign w:val="center"/>
          </w:tcPr>
          <w:p>
            <w:pPr>
              <w:pStyle w:val="19"/>
            </w:pPr>
            <w:r>
              <w:t>≥2人</w:t>
            </w:r>
          </w:p>
        </w:tc>
        <w:tc>
          <w:tcPr>
            <w:tcW w:w="2268"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建筑设施等无损坏、无丢失</w:t>
            </w:r>
          </w:p>
        </w:tc>
        <w:tc>
          <w:tcPr>
            <w:tcW w:w="2835" w:type="dxa"/>
            <w:vAlign w:val="center"/>
          </w:tcPr>
          <w:p>
            <w:pPr>
              <w:pStyle w:val="19"/>
            </w:pPr>
            <w:r>
              <w:t>建筑设施等无损坏、无丢失</w:t>
            </w:r>
          </w:p>
        </w:tc>
        <w:tc>
          <w:tcPr>
            <w:tcW w:w="2551" w:type="dxa"/>
            <w:vAlign w:val="center"/>
          </w:tcPr>
          <w:p>
            <w:pPr>
              <w:pStyle w:val="19"/>
            </w:pPr>
            <w:r>
              <w:t>≥100%</w:t>
            </w:r>
          </w:p>
        </w:tc>
        <w:tc>
          <w:tcPr>
            <w:tcW w:w="2268"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完成量占工程总量比例</w:t>
            </w:r>
          </w:p>
        </w:tc>
        <w:tc>
          <w:tcPr>
            <w:tcW w:w="2835" w:type="dxa"/>
            <w:vAlign w:val="center"/>
          </w:tcPr>
          <w:p>
            <w:pPr>
              <w:pStyle w:val="19"/>
            </w:pPr>
            <w:r>
              <w:t>完成量占工程总量比例</w:t>
            </w:r>
          </w:p>
        </w:tc>
        <w:tc>
          <w:tcPr>
            <w:tcW w:w="2551" w:type="dxa"/>
            <w:vAlign w:val="center"/>
          </w:tcPr>
          <w:p>
            <w:pPr>
              <w:pStyle w:val="19"/>
            </w:pPr>
            <w:r>
              <w:t>≥90%</w:t>
            </w:r>
          </w:p>
        </w:tc>
        <w:tc>
          <w:tcPr>
            <w:tcW w:w="2268"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可使用的年限</w:t>
            </w:r>
          </w:p>
        </w:tc>
        <w:tc>
          <w:tcPr>
            <w:tcW w:w="2835" w:type="dxa"/>
            <w:vAlign w:val="center"/>
          </w:tcPr>
          <w:p>
            <w:pPr>
              <w:pStyle w:val="19"/>
            </w:pPr>
            <w:r>
              <w:t>可使用的年限</w:t>
            </w:r>
          </w:p>
        </w:tc>
        <w:tc>
          <w:tcPr>
            <w:tcW w:w="2551" w:type="dxa"/>
            <w:vAlign w:val="center"/>
          </w:tcPr>
          <w:p>
            <w:pPr>
              <w:pStyle w:val="19"/>
            </w:pPr>
            <w:r>
              <w:t>≥50年</w:t>
            </w:r>
          </w:p>
        </w:tc>
        <w:tc>
          <w:tcPr>
            <w:tcW w:w="2268"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基本生活保障的质量</w:t>
            </w:r>
          </w:p>
        </w:tc>
        <w:tc>
          <w:tcPr>
            <w:tcW w:w="2835" w:type="dxa"/>
            <w:vAlign w:val="center"/>
          </w:tcPr>
          <w:p>
            <w:pPr>
              <w:pStyle w:val="19"/>
            </w:pPr>
            <w:r>
              <w:t>基本生活保障的质量</w:t>
            </w:r>
          </w:p>
        </w:tc>
        <w:tc>
          <w:tcPr>
            <w:tcW w:w="2551" w:type="dxa"/>
            <w:vAlign w:val="center"/>
          </w:tcPr>
          <w:p>
            <w:pPr>
              <w:pStyle w:val="19"/>
            </w:pPr>
            <w:r>
              <w:t>≥90%</w:t>
            </w:r>
          </w:p>
        </w:tc>
        <w:tc>
          <w:tcPr>
            <w:tcW w:w="2268" w:type="dxa"/>
            <w:vAlign w:val="center"/>
          </w:tcPr>
          <w:p>
            <w:pPr>
              <w:pStyle w:val="19"/>
            </w:pPr>
            <w:r>
              <w:t>沙发改[2011]133号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满意程度</w:t>
            </w:r>
          </w:p>
        </w:tc>
        <w:tc>
          <w:tcPr>
            <w:tcW w:w="2835" w:type="dxa"/>
            <w:vAlign w:val="center"/>
          </w:tcPr>
          <w:p>
            <w:pPr>
              <w:pStyle w:val="19"/>
            </w:pPr>
            <w:r>
              <w:t>满意程度</w:t>
            </w:r>
          </w:p>
        </w:tc>
        <w:tc>
          <w:tcPr>
            <w:tcW w:w="2551" w:type="dxa"/>
            <w:vAlign w:val="center"/>
          </w:tcPr>
          <w:p>
            <w:pPr>
              <w:pStyle w:val="19"/>
            </w:pPr>
            <w:r>
              <w:t>≥90%</w:t>
            </w:r>
          </w:p>
        </w:tc>
        <w:tc>
          <w:tcPr>
            <w:tcW w:w="2268" w:type="dxa"/>
            <w:vAlign w:val="center"/>
          </w:tcPr>
          <w:p>
            <w:pPr>
              <w:pStyle w:val="19"/>
            </w:pPr>
            <w:r>
              <w:t>沙发改[2011]133号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、婚姻免费登记经费绩效目标表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1.保证结婚登记工作正常运行。</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年登记人数</w:t>
            </w:r>
          </w:p>
        </w:tc>
        <w:tc>
          <w:tcPr>
            <w:tcW w:w="2835" w:type="dxa"/>
            <w:vAlign w:val="center"/>
          </w:tcPr>
          <w:p>
            <w:pPr>
              <w:pStyle w:val="19"/>
            </w:pPr>
            <w:r>
              <w:t>年登记人数</w:t>
            </w:r>
          </w:p>
        </w:tc>
        <w:tc>
          <w:tcPr>
            <w:tcW w:w="2551" w:type="dxa"/>
            <w:vAlign w:val="center"/>
          </w:tcPr>
          <w:p>
            <w:pPr>
              <w:pStyle w:val="19"/>
            </w:pPr>
            <w:r>
              <w:t>≥2000人</w:t>
            </w:r>
          </w:p>
        </w:tc>
        <w:tc>
          <w:tcPr>
            <w:tcW w:w="2268"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办理效率</w:t>
            </w:r>
          </w:p>
        </w:tc>
        <w:tc>
          <w:tcPr>
            <w:tcW w:w="2835" w:type="dxa"/>
            <w:vAlign w:val="center"/>
          </w:tcPr>
          <w:p>
            <w:pPr>
              <w:pStyle w:val="19"/>
            </w:pPr>
            <w:r>
              <w:t>办理效率</w:t>
            </w:r>
          </w:p>
        </w:tc>
        <w:tc>
          <w:tcPr>
            <w:tcW w:w="2551" w:type="dxa"/>
            <w:vAlign w:val="center"/>
          </w:tcPr>
          <w:p>
            <w:pPr>
              <w:pStyle w:val="19"/>
            </w:pPr>
            <w:r>
              <w:t>当场发放</w:t>
            </w:r>
          </w:p>
        </w:tc>
        <w:tc>
          <w:tcPr>
            <w:tcW w:w="2268"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办理成功率</w:t>
            </w:r>
          </w:p>
        </w:tc>
        <w:tc>
          <w:tcPr>
            <w:tcW w:w="2835" w:type="dxa"/>
            <w:vAlign w:val="center"/>
          </w:tcPr>
          <w:p>
            <w:pPr>
              <w:pStyle w:val="19"/>
            </w:pPr>
            <w:r>
              <w:t>办理成功率</w:t>
            </w:r>
          </w:p>
        </w:tc>
        <w:tc>
          <w:tcPr>
            <w:tcW w:w="2551" w:type="dxa"/>
            <w:vAlign w:val="center"/>
          </w:tcPr>
          <w:p>
            <w:pPr>
              <w:pStyle w:val="19"/>
            </w:pPr>
            <w:r>
              <w:t>≥100%</w:t>
            </w:r>
          </w:p>
        </w:tc>
        <w:tc>
          <w:tcPr>
            <w:tcW w:w="2268"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收费标准</w:t>
            </w:r>
          </w:p>
        </w:tc>
        <w:tc>
          <w:tcPr>
            <w:tcW w:w="2835" w:type="dxa"/>
            <w:vAlign w:val="center"/>
          </w:tcPr>
          <w:p>
            <w:pPr>
              <w:pStyle w:val="19"/>
            </w:pPr>
            <w:r>
              <w:t>收费标准</w:t>
            </w:r>
          </w:p>
        </w:tc>
        <w:tc>
          <w:tcPr>
            <w:tcW w:w="2551" w:type="dxa"/>
            <w:vAlign w:val="center"/>
          </w:tcPr>
          <w:p>
            <w:pPr>
              <w:pStyle w:val="19"/>
            </w:pPr>
            <w:r>
              <w:t>免费办理发放</w:t>
            </w:r>
          </w:p>
        </w:tc>
        <w:tc>
          <w:tcPr>
            <w:tcW w:w="2268"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使用时限</w:t>
            </w:r>
          </w:p>
        </w:tc>
        <w:tc>
          <w:tcPr>
            <w:tcW w:w="2835" w:type="dxa"/>
            <w:vAlign w:val="center"/>
          </w:tcPr>
          <w:p>
            <w:pPr>
              <w:pStyle w:val="19"/>
            </w:pPr>
            <w:r>
              <w:t>使用时限</w:t>
            </w:r>
          </w:p>
        </w:tc>
        <w:tc>
          <w:tcPr>
            <w:tcW w:w="2551" w:type="dxa"/>
            <w:vAlign w:val="center"/>
          </w:tcPr>
          <w:p>
            <w:pPr>
              <w:pStyle w:val="19"/>
            </w:pPr>
            <w:r>
              <w:t>如无破损可一直使用</w:t>
            </w:r>
          </w:p>
        </w:tc>
        <w:tc>
          <w:tcPr>
            <w:tcW w:w="2268" w:type="dxa"/>
            <w:vAlign w:val="center"/>
          </w:tcPr>
          <w:p>
            <w:pPr>
              <w:pStyle w:val="19"/>
            </w:pPr>
            <w:r>
              <w:t>婚姻登记免费制度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结婚登记的群众满意率</w:t>
            </w:r>
          </w:p>
          <w:p>
            <w:pPr>
              <w:pStyle w:val="19"/>
            </w:pPr>
          </w:p>
        </w:tc>
        <w:tc>
          <w:tcPr>
            <w:tcW w:w="2835" w:type="dxa"/>
            <w:vAlign w:val="center"/>
          </w:tcPr>
          <w:p>
            <w:pPr>
              <w:pStyle w:val="19"/>
            </w:pPr>
            <w:r>
              <w:t>结婚登记的群众满意率</w:t>
            </w:r>
          </w:p>
        </w:tc>
        <w:tc>
          <w:tcPr>
            <w:tcW w:w="2551" w:type="dxa"/>
            <w:vAlign w:val="center"/>
          </w:tcPr>
          <w:p>
            <w:pPr>
              <w:pStyle w:val="19"/>
            </w:pPr>
            <w:r>
              <w:t>≥90%</w:t>
            </w:r>
          </w:p>
        </w:tc>
        <w:tc>
          <w:tcPr>
            <w:tcW w:w="2268" w:type="dxa"/>
            <w:vAlign w:val="center"/>
          </w:tcPr>
          <w:p>
            <w:pPr>
              <w:pStyle w:val="19"/>
            </w:pPr>
            <w:r>
              <w:t>婚姻登记免费制度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、基层民政协理员绩效目标表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1.进一步加强和改进基层民政机构组织建设、队伍建设。</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年终发放补助资金占应发放资金总数的比例</w:t>
            </w:r>
          </w:p>
        </w:tc>
        <w:tc>
          <w:tcPr>
            <w:tcW w:w="2835" w:type="dxa"/>
            <w:vAlign w:val="center"/>
          </w:tcPr>
          <w:p>
            <w:pPr>
              <w:pStyle w:val="19"/>
            </w:pPr>
            <w:r>
              <w:t>年终发放补助资金占应发放资金总数的比例</w:t>
            </w:r>
          </w:p>
        </w:tc>
        <w:tc>
          <w:tcPr>
            <w:tcW w:w="2551" w:type="dxa"/>
            <w:vAlign w:val="center"/>
          </w:tcPr>
          <w:p>
            <w:pPr>
              <w:pStyle w:val="19"/>
            </w:pPr>
            <w:r>
              <w:t>≥90%</w:t>
            </w:r>
          </w:p>
        </w:tc>
        <w:tc>
          <w:tcPr>
            <w:tcW w:w="2268"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配备村级协理员数量占要求配备数量比例</w:t>
            </w:r>
          </w:p>
        </w:tc>
        <w:tc>
          <w:tcPr>
            <w:tcW w:w="2835" w:type="dxa"/>
            <w:vAlign w:val="center"/>
          </w:tcPr>
          <w:p>
            <w:pPr>
              <w:pStyle w:val="19"/>
            </w:pPr>
            <w:r>
              <w:t>配备村级协理员数量占要求配备数量比例</w:t>
            </w:r>
          </w:p>
        </w:tc>
        <w:tc>
          <w:tcPr>
            <w:tcW w:w="2551" w:type="dxa"/>
            <w:vAlign w:val="center"/>
          </w:tcPr>
          <w:p>
            <w:pPr>
              <w:pStyle w:val="19"/>
            </w:pPr>
            <w:r>
              <w:t>≥90%</w:t>
            </w:r>
          </w:p>
        </w:tc>
        <w:tc>
          <w:tcPr>
            <w:tcW w:w="2268"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按时发放补助资金占应发资金总额比例</w:t>
            </w:r>
          </w:p>
        </w:tc>
        <w:tc>
          <w:tcPr>
            <w:tcW w:w="2835" w:type="dxa"/>
            <w:vAlign w:val="center"/>
          </w:tcPr>
          <w:p>
            <w:pPr>
              <w:pStyle w:val="19"/>
            </w:pPr>
            <w:r>
              <w:t>按时发放补助资金占应发资金总额比例</w:t>
            </w:r>
          </w:p>
        </w:tc>
        <w:tc>
          <w:tcPr>
            <w:tcW w:w="2551" w:type="dxa"/>
            <w:vAlign w:val="center"/>
          </w:tcPr>
          <w:p>
            <w:pPr>
              <w:pStyle w:val="19"/>
            </w:pPr>
            <w:r>
              <w:t>≥90%</w:t>
            </w:r>
          </w:p>
        </w:tc>
        <w:tc>
          <w:tcPr>
            <w:tcW w:w="2268"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年度资金发放比例</w:t>
            </w:r>
          </w:p>
        </w:tc>
        <w:tc>
          <w:tcPr>
            <w:tcW w:w="2835" w:type="dxa"/>
            <w:vAlign w:val="center"/>
          </w:tcPr>
          <w:p>
            <w:pPr>
              <w:pStyle w:val="19"/>
            </w:pPr>
            <w:r>
              <w:t>年度资金发放比例</w:t>
            </w:r>
          </w:p>
        </w:tc>
        <w:tc>
          <w:tcPr>
            <w:tcW w:w="2551" w:type="dxa"/>
            <w:vAlign w:val="center"/>
          </w:tcPr>
          <w:p>
            <w:pPr>
              <w:pStyle w:val="19"/>
            </w:pPr>
            <w:r>
              <w:t>≥90%</w:t>
            </w:r>
          </w:p>
        </w:tc>
        <w:tc>
          <w:tcPr>
            <w:tcW w:w="2268"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工作按时完成比例</w:t>
            </w:r>
          </w:p>
        </w:tc>
        <w:tc>
          <w:tcPr>
            <w:tcW w:w="2835" w:type="dxa"/>
            <w:vAlign w:val="center"/>
          </w:tcPr>
          <w:p>
            <w:pPr>
              <w:pStyle w:val="19"/>
            </w:pPr>
            <w:r>
              <w:t>工作按时完成比例</w:t>
            </w:r>
          </w:p>
        </w:tc>
        <w:tc>
          <w:tcPr>
            <w:tcW w:w="2551" w:type="dxa"/>
            <w:vAlign w:val="center"/>
          </w:tcPr>
          <w:p>
            <w:pPr>
              <w:pStyle w:val="19"/>
            </w:pPr>
            <w:r>
              <w:t>≥90%</w:t>
            </w:r>
          </w:p>
        </w:tc>
        <w:tc>
          <w:tcPr>
            <w:tcW w:w="2268" w:type="dxa"/>
            <w:vAlign w:val="center"/>
          </w:tcPr>
          <w:p>
            <w:pPr>
              <w:pStyle w:val="19"/>
            </w:pPr>
            <w:r>
              <w:t>沙河市人民政府《加强基层民政服务能力建设实施意见》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满意服务对象占所有服务对象总数比例</w:t>
            </w:r>
          </w:p>
        </w:tc>
        <w:tc>
          <w:tcPr>
            <w:tcW w:w="2835" w:type="dxa"/>
            <w:vAlign w:val="center"/>
          </w:tcPr>
          <w:p>
            <w:pPr>
              <w:pStyle w:val="19"/>
            </w:pPr>
            <w:r>
              <w:t>满意服务对象占所有服务对象总数比例</w:t>
            </w:r>
          </w:p>
        </w:tc>
        <w:tc>
          <w:tcPr>
            <w:tcW w:w="2551" w:type="dxa"/>
            <w:vAlign w:val="center"/>
          </w:tcPr>
          <w:p>
            <w:pPr>
              <w:pStyle w:val="19"/>
            </w:pPr>
            <w:r>
              <w:t>≥90%</w:t>
            </w:r>
          </w:p>
        </w:tc>
        <w:tc>
          <w:tcPr>
            <w:tcW w:w="2268" w:type="dxa"/>
            <w:vAlign w:val="center"/>
          </w:tcPr>
          <w:p>
            <w:pPr>
              <w:pStyle w:val="19"/>
            </w:pPr>
            <w:r>
              <w:t>沙河市人民政府《加强基层民政服务能力建设实施意见》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、基层政权和社区党组织服务群众专项经费绩效目标表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1.社区居民委员会按照“四有”标准开展城市社区建设，进一步加强社区居民委员会建设工作</w:t>
            </w:r>
            <w:r>
              <w:tab/>
            </w:r>
            <w:r>
              <w:tab/>
            </w:r>
            <w:r>
              <w:tab/>
            </w:r>
            <w:r>
              <w:tab/>
            </w:r>
            <w:r>
              <w:tab/>
            </w:r>
            <w:r>
              <w:tab/>
            </w:r>
            <w:r>
              <w:tab/>
            </w:r>
          </w:p>
          <w:p>
            <w:pPr>
              <w:pStyle w:val="19"/>
            </w:pP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工资发放率</w:t>
            </w:r>
          </w:p>
        </w:tc>
        <w:tc>
          <w:tcPr>
            <w:tcW w:w="2835" w:type="dxa"/>
            <w:vAlign w:val="center"/>
          </w:tcPr>
          <w:p>
            <w:pPr>
              <w:pStyle w:val="19"/>
            </w:pPr>
            <w:r>
              <w:t>已发放资金占应发放资金的比例</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完成质量</w:t>
            </w:r>
          </w:p>
        </w:tc>
        <w:tc>
          <w:tcPr>
            <w:tcW w:w="2835" w:type="dxa"/>
            <w:vAlign w:val="center"/>
          </w:tcPr>
          <w:p>
            <w:pPr>
              <w:pStyle w:val="19"/>
            </w:pPr>
            <w:r>
              <w:t>按时发放工资、保险及信息化建设和培训经费</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办公经费发放率</w:t>
            </w:r>
          </w:p>
        </w:tc>
        <w:tc>
          <w:tcPr>
            <w:tcW w:w="2835" w:type="dxa"/>
            <w:vAlign w:val="center"/>
          </w:tcPr>
          <w:p>
            <w:pPr>
              <w:pStyle w:val="19"/>
            </w:pPr>
            <w:r>
              <w:t>已发放资金占应发放资金的比例</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项目资金</w:t>
            </w:r>
          </w:p>
        </w:tc>
        <w:tc>
          <w:tcPr>
            <w:tcW w:w="2835" w:type="dxa"/>
            <w:vAlign w:val="center"/>
          </w:tcPr>
          <w:p>
            <w:pPr>
              <w:pStyle w:val="19"/>
            </w:pPr>
            <w:r>
              <w:t>工资、保险及信息化建设和培训经费</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工作按时完成比例</w:t>
            </w:r>
          </w:p>
        </w:tc>
        <w:tc>
          <w:tcPr>
            <w:tcW w:w="2835" w:type="dxa"/>
            <w:vAlign w:val="center"/>
          </w:tcPr>
          <w:p>
            <w:pPr>
              <w:pStyle w:val="19"/>
            </w:pPr>
            <w:r>
              <w:t>工作按时完成比例</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工作人员满意度</w:t>
            </w:r>
          </w:p>
        </w:tc>
        <w:tc>
          <w:tcPr>
            <w:tcW w:w="2835" w:type="dxa"/>
            <w:vAlign w:val="center"/>
          </w:tcPr>
          <w:p>
            <w:pPr>
              <w:pStyle w:val="19"/>
            </w:pPr>
            <w:r>
              <w:t>按时发放工资、保险和信息化建设和培训经费</w:t>
            </w:r>
          </w:p>
        </w:tc>
        <w:tc>
          <w:tcPr>
            <w:tcW w:w="2551" w:type="dxa"/>
            <w:vAlign w:val="center"/>
          </w:tcPr>
          <w:p>
            <w:pPr>
              <w:pStyle w:val="19"/>
            </w:pPr>
            <w:r>
              <w:t>≥90%</w:t>
            </w:r>
          </w:p>
        </w:tc>
        <w:tc>
          <w:tcPr>
            <w:tcW w:w="2268"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、经济困难的高龄、失能老人养老服务补贴绩效目标表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1.经第三方评估机构依据《老年人能力评估》标准对老年人进行评估，并确认为重度、中度失能等级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资金使用率</w:t>
            </w:r>
          </w:p>
        </w:tc>
        <w:tc>
          <w:tcPr>
            <w:tcW w:w="2835" w:type="dxa"/>
            <w:vAlign w:val="center"/>
          </w:tcPr>
          <w:p>
            <w:pPr>
              <w:pStyle w:val="19"/>
            </w:pPr>
            <w:r>
              <w:t>资金使用率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养老覆盖率</w:t>
            </w:r>
          </w:p>
        </w:tc>
        <w:tc>
          <w:tcPr>
            <w:tcW w:w="2835" w:type="dxa"/>
            <w:vAlign w:val="center"/>
          </w:tcPr>
          <w:p>
            <w:pPr>
              <w:pStyle w:val="19"/>
            </w:pPr>
            <w:r>
              <w:t>养老覆盖率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及时发放</w:t>
            </w:r>
          </w:p>
        </w:tc>
        <w:tc>
          <w:tcPr>
            <w:tcW w:w="2835" w:type="dxa"/>
            <w:vAlign w:val="center"/>
          </w:tcPr>
          <w:p>
            <w:pPr>
              <w:pStyle w:val="19"/>
            </w:pPr>
            <w:r>
              <w:t>及时发放</w:t>
            </w:r>
          </w:p>
        </w:tc>
        <w:tc>
          <w:tcPr>
            <w:tcW w:w="2551" w:type="dxa"/>
            <w:vAlign w:val="center"/>
          </w:tcPr>
          <w:p>
            <w:pPr>
              <w:pStyle w:val="19"/>
            </w:pPr>
            <w:r>
              <w:t>当月申请，当月审核</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100元每人每月</w:t>
            </w:r>
          </w:p>
        </w:tc>
        <w:tc>
          <w:tcPr>
            <w:tcW w:w="2835" w:type="dxa"/>
            <w:vAlign w:val="center"/>
          </w:tcPr>
          <w:p>
            <w:pPr>
              <w:pStyle w:val="19"/>
            </w:pPr>
            <w:r>
              <w:t>100元每人每月</w:t>
            </w:r>
          </w:p>
        </w:tc>
        <w:tc>
          <w:tcPr>
            <w:tcW w:w="2551" w:type="dxa"/>
            <w:vAlign w:val="center"/>
          </w:tcPr>
          <w:p>
            <w:pPr>
              <w:pStyle w:val="19"/>
            </w:pPr>
            <w:r>
              <w:t>100元每人每月</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失能政策知晓率</w:t>
            </w:r>
          </w:p>
        </w:tc>
        <w:tc>
          <w:tcPr>
            <w:tcW w:w="2835" w:type="dxa"/>
            <w:vAlign w:val="center"/>
          </w:tcPr>
          <w:p>
            <w:pPr>
              <w:pStyle w:val="19"/>
            </w:pPr>
            <w:r>
              <w:t>失能政策知晓率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老人满意度</w:t>
            </w:r>
          </w:p>
        </w:tc>
        <w:tc>
          <w:tcPr>
            <w:tcW w:w="2835" w:type="dxa"/>
            <w:vAlign w:val="center"/>
          </w:tcPr>
          <w:p>
            <w:pPr>
              <w:pStyle w:val="19"/>
            </w:pPr>
            <w:r>
              <w:t>老人满意度</w:t>
            </w:r>
          </w:p>
        </w:tc>
        <w:tc>
          <w:tcPr>
            <w:tcW w:w="2551" w:type="dxa"/>
            <w:vAlign w:val="center"/>
          </w:tcPr>
          <w:p>
            <w:pPr>
              <w:pStyle w:val="19"/>
            </w:pPr>
            <w:r>
              <w:t>≥90%</w:t>
            </w:r>
          </w:p>
        </w:tc>
        <w:tc>
          <w:tcPr>
            <w:tcW w:w="2268"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、敬老院生活补贴及取暖等绩效目标表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1.保障集中供养对象基本生活</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提高集中供养率</w:t>
            </w:r>
          </w:p>
        </w:tc>
        <w:tc>
          <w:tcPr>
            <w:tcW w:w="2835" w:type="dxa"/>
            <w:vAlign w:val="center"/>
          </w:tcPr>
          <w:p>
            <w:pPr>
              <w:pStyle w:val="19"/>
            </w:pPr>
            <w:r>
              <w:t>适度提高</w:t>
            </w:r>
          </w:p>
        </w:tc>
        <w:tc>
          <w:tcPr>
            <w:tcW w:w="2551" w:type="dxa"/>
            <w:vAlign w:val="center"/>
          </w:tcPr>
          <w:p>
            <w:pPr>
              <w:pStyle w:val="19"/>
            </w:pPr>
            <w:r>
              <w:t>≥85%</w:t>
            </w:r>
          </w:p>
        </w:tc>
        <w:tc>
          <w:tcPr>
            <w:tcW w:w="2268"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提高服务水平</w:t>
            </w:r>
          </w:p>
        </w:tc>
        <w:tc>
          <w:tcPr>
            <w:tcW w:w="2835" w:type="dxa"/>
            <w:vAlign w:val="center"/>
          </w:tcPr>
          <w:p>
            <w:pPr>
              <w:pStyle w:val="19"/>
            </w:pPr>
            <w:r>
              <w:t>入住人员满意率</w:t>
            </w:r>
          </w:p>
        </w:tc>
        <w:tc>
          <w:tcPr>
            <w:tcW w:w="2551" w:type="dxa"/>
            <w:vAlign w:val="center"/>
          </w:tcPr>
          <w:p>
            <w:pPr>
              <w:pStyle w:val="19"/>
            </w:pPr>
            <w:r>
              <w:t>≥90%</w:t>
            </w:r>
          </w:p>
        </w:tc>
        <w:tc>
          <w:tcPr>
            <w:tcW w:w="2268"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集中供养对象生病及时医治</w:t>
            </w:r>
          </w:p>
        </w:tc>
        <w:tc>
          <w:tcPr>
            <w:tcW w:w="2835" w:type="dxa"/>
            <w:vAlign w:val="center"/>
          </w:tcPr>
          <w:p>
            <w:pPr>
              <w:pStyle w:val="19"/>
            </w:pPr>
            <w:r>
              <w:t>按医务室处置规定执行</w:t>
            </w:r>
          </w:p>
        </w:tc>
        <w:tc>
          <w:tcPr>
            <w:tcW w:w="2551" w:type="dxa"/>
            <w:vAlign w:val="center"/>
          </w:tcPr>
          <w:p>
            <w:pPr>
              <w:pStyle w:val="19"/>
            </w:pPr>
            <w:r>
              <w:t>≥90%</w:t>
            </w:r>
          </w:p>
        </w:tc>
        <w:tc>
          <w:tcPr>
            <w:tcW w:w="2268"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年度运转经费使用比例</w:t>
            </w:r>
          </w:p>
        </w:tc>
        <w:tc>
          <w:tcPr>
            <w:tcW w:w="2835" w:type="dxa"/>
            <w:vAlign w:val="center"/>
          </w:tcPr>
          <w:p>
            <w:pPr>
              <w:pStyle w:val="19"/>
            </w:pPr>
            <w:r>
              <w:t>年度运转经费使用比例</w:t>
            </w:r>
          </w:p>
        </w:tc>
        <w:tc>
          <w:tcPr>
            <w:tcW w:w="2551" w:type="dxa"/>
            <w:vAlign w:val="center"/>
          </w:tcPr>
          <w:p>
            <w:pPr>
              <w:pStyle w:val="19"/>
            </w:pPr>
            <w:r>
              <w:t>≥90%</w:t>
            </w:r>
          </w:p>
        </w:tc>
        <w:tc>
          <w:tcPr>
            <w:tcW w:w="2268"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基本生活保障的质量</w:t>
            </w:r>
          </w:p>
        </w:tc>
        <w:tc>
          <w:tcPr>
            <w:tcW w:w="2835" w:type="dxa"/>
            <w:vAlign w:val="center"/>
          </w:tcPr>
          <w:p>
            <w:pPr>
              <w:pStyle w:val="19"/>
            </w:pPr>
            <w:r>
              <w:t>基本生活保障的质量</w:t>
            </w:r>
          </w:p>
        </w:tc>
        <w:tc>
          <w:tcPr>
            <w:tcW w:w="2551" w:type="dxa"/>
            <w:vAlign w:val="center"/>
          </w:tcPr>
          <w:p>
            <w:pPr>
              <w:pStyle w:val="19"/>
            </w:pPr>
            <w:r>
              <w:t>≥90%</w:t>
            </w:r>
          </w:p>
        </w:tc>
        <w:tc>
          <w:tcPr>
            <w:tcW w:w="2268" w:type="dxa"/>
            <w:vAlign w:val="center"/>
          </w:tcPr>
          <w:p>
            <w:pPr>
              <w:pStyle w:val="19"/>
            </w:pPr>
            <w:r>
              <w:t>五保供养条例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入住人员满意率</w:t>
            </w:r>
          </w:p>
        </w:tc>
        <w:tc>
          <w:tcPr>
            <w:tcW w:w="2835" w:type="dxa"/>
            <w:vAlign w:val="center"/>
          </w:tcPr>
          <w:p>
            <w:pPr>
              <w:pStyle w:val="19"/>
            </w:pPr>
            <w:r>
              <w:t>稳步提高服务水平</w:t>
            </w:r>
          </w:p>
        </w:tc>
        <w:tc>
          <w:tcPr>
            <w:tcW w:w="2551" w:type="dxa"/>
            <w:vAlign w:val="center"/>
          </w:tcPr>
          <w:p>
            <w:pPr>
              <w:pStyle w:val="19"/>
            </w:pPr>
            <w:r>
              <w:t>≥90%</w:t>
            </w:r>
          </w:p>
        </w:tc>
        <w:tc>
          <w:tcPr>
            <w:tcW w:w="2268" w:type="dxa"/>
            <w:vAlign w:val="center"/>
          </w:tcPr>
          <w:p>
            <w:pPr>
              <w:pStyle w:val="19"/>
            </w:pPr>
            <w:r>
              <w:t>五保供养条例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、救助站经费绩效目标表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1."保障救助站工作正常运转，保障流浪乞讨人员自主和护送返乡支出，保障流浪乞讨精神病人的医疗救治支出，保障流浪乞讨人员站内生活救助支出。</w:t>
            </w:r>
          </w:p>
          <w:p>
            <w:pPr>
              <w:pStyle w:val="19"/>
            </w:pPr>
            <w:r>
              <w:t>"</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流浪乞讨人员救助服务保障率</w:t>
            </w:r>
          </w:p>
          <w:p>
            <w:pPr>
              <w:pStyle w:val="19"/>
            </w:pPr>
          </w:p>
        </w:tc>
        <w:tc>
          <w:tcPr>
            <w:tcW w:w="2835" w:type="dxa"/>
            <w:vAlign w:val="center"/>
          </w:tcPr>
          <w:p>
            <w:pPr>
              <w:pStyle w:val="19"/>
            </w:pPr>
            <w:r>
              <w:t>流浪乞讨人员救助服务保障率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流浪应救人员的救助率</w:t>
            </w:r>
          </w:p>
          <w:p>
            <w:pPr>
              <w:pStyle w:val="19"/>
            </w:pPr>
          </w:p>
        </w:tc>
        <w:tc>
          <w:tcPr>
            <w:tcW w:w="2835" w:type="dxa"/>
            <w:vAlign w:val="center"/>
          </w:tcPr>
          <w:p>
            <w:pPr>
              <w:pStyle w:val="19"/>
            </w:pPr>
            <w:r>
              <w:t>流浪应救人员的救助率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补助资金及时发放率</w:t>
            </w:r>
          </w:p>
          <w:p>
            <w:pPr>
              <w:pStyle w:val="19"/>
            </w:pPr>
          </w:p>
        </w:tc>
        <w:tc>
          <w:tcPr>
            <w:tcW w:w="2835" w:type="dxa"/>
            <w:vAlign w:val="center"/>
          </w:tcPr>
          <w:p>
            <w:pPr>
              <w:pStyle w:val="19"/>
            </w:pPr>
            <w:r>
              <w:t>补助资金及时发放率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救助标准</w:t>
            </w:r>
          </w:p>
        </w:tc>
        <w:tc>
          <w:tcPr>
            <w:tcW w:w="2835" w:type="dxa"/>
            <w:vAlign w:val="center"/>
          </w:tcPr>
          <w:p>
            <w:pPr>
              <w:pStyle w:val="19"/>
            </w:pPr>
            <w:r>
              <w:t>救助标准</w:t>
            </w:r>
          </w:p>
        </w:tc>
        <w:tc>
          <w:tcPr>
            <w:tcW w:w="2551" w:type="dxa"/>
            <w:vAlign w:val="center"/>
          </w:tcPr>
          <w:p>
            <w:pPr>
              <w:pStyle w:val="19"/>
            </w:pPr>
            <w:r>
              <w:t>按需救助</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社会影响</w:t>
            </w:r>
          </w:p>
        </w:tc>
        <w:tc>
          <w:tcPr>
            <w:tcW w:w="2835" w:type="dxa"/>
            <w:vAlign w:val="center"/>
          </w:tcPr>
          <w:p>
            <w:pPr>
              <w:pStyle w:val="19"/>
            </w:pPr>
            <w:r>
              <w:t>社会影响</w:t>
            </w:r>
          </w:p>
        </w:tc>
        <w:tc>
          <w:tcPr>
            <w:tcW w:w="2551" w:type="dxa"/>
            <w:vAlign w:val="center"/>
          </w:tcPr>
          <w:p>
            <w:pPr>
              <w:pStyle w:val="19"/>
            </w:pPr>
            <w:r>
              <w:t>社会稳定</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服务对象满意度</w:t>
            </w:r>
          </w:p>
        </w:tc>
        <w:tc>
          <w:tcPr>
            <w:tcW w:w="2551" w:type="dxa"/>
            <w:vAlign w:val="center"/>
          </w:tcPr>
          <w:p>
            <w:pPr>
              <w:pStyle w:val="19"/>
            </w:pPr>
            <w:r>
              <w:t>≥90%</w:t>
            </w:r>
          </w:p>
        </w:tc>
        <w:tc>
          <w:tcPr>
            <w:tcW w:w="2268"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、农村特困人员救助供养支出绩效目标表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1.将符合条件的及时纳入保障范围，定时发放救助资金。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成本指标</w:t>
            </w:r>
          </w:p>
        </w:tc>
        <w:tc>
          <w:tcPr>
            <w:tcW w:w="2835" w:type="dxa"/>
            <w:vAlign w:val="center"/>
          </w:tcPr>
          <w:p>
            <w:pPr>
              <w:pStyle w:val="19"/>
            </w:pPr>
            <w:r>
              <w:t>特困供养资金社会化发放率</w:t>
            </w:r>
          </w:p>
        </w:tc>
        <w:tc>
          <w:tcPr>
            <w:tcW w:w="2835" w:type="dxa"/>
            <w:vAlign w:val="center"/>
          </w:tcPr>
          <w:p>
            <w:pPr>
              <w:pStyle w:val="19"/>
            </w:pPr>
            <w:r>
              <w:t>特困供养资金社会化发放率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特困供养人数</w:t>
            </w:r>
          </w:p>
        </w:tc>
        <w:tc>
          <w:tcPr>
            <w:tcW w:w="2835" w:type="dxa"/>
            <w:vAlign w:val="center"/>
          </w:tcPr>
          <w:p>
            <w:pPr>
              <w:pStyle w:val="19"/>
            </w:pPr>
            <w:r>
              <w:t>特困供养人数</w:t>
            </w:r>
          </w:p>
        </w:tc>
        <w:tc>
          <w:tcPr>
            <w:tcW w:w="2551" w:type="dxa"/>
            <w:vAlign w:val="center"/>
          </w:tcPr>
          <w:p>
            <w:pPr>
              <w:pStyle w:val="19"/>
            </w:pPr>
            <w:r>
              <w:t>应保尽保</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特困供养标准</w:t>
            </w:r>
          </w:p>
        </w:tc>
        <w:tc>
          <w:tcPr>
            <w:tcW w:w="2835" w:type="dxa"/>
            <w:vAlign w:val="center"/>
          </w:tcPr>
          <w:p>
            <w:pPr>
              <w:pStyle w:val="19"/>
            </w:pPr>
            <w:r>
              <w:t>特困供养标准</w:t>
            </w:r>
          </w:p>
        </w:tc>
        <w:tc>
          <w:tcPr>
            <w:tcW w:w="2551" w:type="dxa"/>
            <w:vAlign w:val="center"/>
          </w:tcPr>
          <w:p>
            <w:pPr>
              <w:pStyle w:val="19"/>
            </w:pPr>
            <w:r>
              <w:t>稳步提高</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特困供养资金发放及时率</w:t>
            </w:r>
          </w:p>
        </w:tc>
        <w:tc>
          <w:tcPr>
            <w:tcW w:w="2835" w:type="dxa"/>
            <w:vAlign w:val="center"/>
          </w:tcPr>
          <w:p>
            <w:pPr>
              <w:pStyle w:val="19"/>
            </w:pPr>
            <w:r>
              <w:t>特困供养资金发放及时率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特困人员生活水平</w:t>
            </w:r>
          </w:p>
        </w:tc>
        <w:tc>
          <w:tcPr>
            <w:tcW w:w="2835" w:type="dxa"/>
            <w:vAlign w:val="center"/>
          </w:tcPr>
          <w:p>
            <w:pPr>
              <w:pStyle w:val="19"/>
            </w:pPr>
            <w:r>
              <w:t>特困人员生活水平</w:t>
            </w:r>
          </w:p>
        </w:tc>
        <w:tc>
          <w:tcPr>
            <w:tcW w:w="2551" w:type="dxa"/>
            <w:vAlign w:val="center"/>
          </w:tcPr>
          <w:p>
            <w:pPr>
              <w:pStyle w:val="19"/>
            </w:pPr>
            <w:r>
              <w:t>明显改善</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保障人员满意度</w:t>
            </w:r>
          </w:p>
        </w:tc>
        <w:tc>
          <w:tcPr>
            <w:tcW w:w="2835" w:type="dxa"/>
            <w:vAlign w:val="center"/>
          </w:tcPr>
          <w:p>
            <w:pPr>
              <w:pStyle w:val="19"/>
            </w:pPr>
            <w:r>
              <w:t>保障人员满意度</w:t>
            </w:r>
          </w:p>
        </w:tc>
        <w:tc>
          <w:tcPr>
            <w:tcW w:w="2551" w:type="dxa"/>
            <w:vAlign w:val="center"/>
          </w:tcPr>
          <w:p>
            <w:pPr>
              <w:pStyle w:val="19"/>
            </w:pPr>
            <w:r>
              <w:t>≥90%</w:t>
            </w:r>
          </w:p>
        </w:tc>
        <w:tc>
          <w:tcPr>
            <w:tcW w:w="2268" w:type="dxa"/>
            <w:vAlign w:val="center"/>
          </w:tcPr>
          <w:p>
            <w:pPr>
              <w:pStyle w:val="19"/>
            </w:pPr>
            <w:r>
              <w:t>最低生活保障审核审批办法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、社会救助经办人员、特困供养机构服务人员工资及劳务派遣服务费绩效目标表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1.发放社会救助经办人员工资</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经办人员人数</w:t>
            </w:r>
          </w:p>
        </w:tc>
        <w:tc>
          <w:tcPr>
            <w:tcW w:w="2835" w:type="dxa"/>
            <w:vAlign w:val="center"/>
          </w:tcPr>
          <w:p>
            <w:pPr>
              <w:pStyle w:val="19"/>
            </w:pPr>
            <w:r>
              <w:t>经办人员人数</w:t>
            </w:r>
          </w:p>
        </w:tc>
        <w:tc>
          <w:tcPr>
            <w:tcW w:w="2551" w:type="dxa"/>
            <w:vAlign w:val="center"/>
          </w:tcPr>
          <w:p>
            <w:pPr>
              <w:pStyle w:val="19"/>
            </w:pPr>
            <w:r>
              <w:t>≥60人</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工资及时发放率</w:t>
            </w:r>
          </w:p>
        </w:tc>
        <w:tc>
          <w:tcPr>
            <w:tcW w:w="2835" w:type="dxa"/>
            <w:vAlign w:val="center"/>
          </w:tcPr>
          <w:p>
            <w:pPr>
              <w:pStyle w:val="19"/>
            </w:pPr>
            <w:r>
              <w:t>工资及时发放率</w:t>
            </w:r>
          </w:p>
        </w:tc>
        <w:tc>
          <w:tcPr>
            <w:tcW w:w="2551" w:type="dxa"/>
            <w:vAlign w:val="center"/>
          </w:tcPr>
          <w:p>
            <w:pPr>
              <w:pStyle w:val="19"/>
            </w:pPr>
            <w:r>
              <w:t>≥90%</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经办人员绩效</w:t>
            </w:r>
          </w:p>
        </w:tc>
        <w:tc>
          <w:tcPr>
            <w:tcW w:w="2835" w:type="dxa"/>
            <w:vAlign w:val="center"/>
          </w:tcPr>
          <w:p>
            <w:pPr>
              <w:pStyle w:val="19"/>
            </w:pPr>
            <w:r>
              <w:t>经办人员绩效（含个人社保）</w:t>
            </w:r>
          </w:p>
        </w:tc>
        <w:tc>
          <w:tcPr>
            <w:tcW w:w="2551" w:type="dxa"/>
            <w:vAlign w:val="center"/>
          </w:tcPr>
          <w:p>
            <w:pPr>
              <w:pStyle w:val="19"/>
            </w:pPr>
            <w:r>
              <w:t>700元/月</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经办人员工资</w:t>
            </w:r>
          </w:p>
        </w:tc>
        <w:tc>
          <w:tcPr>
            <w:tcW w:w="2835" w:type="dxa"/>
            <w:vAlign w:val="center"/>
          </w:tcPr>
          <w:p>
            <w:pPr>
              <w:pStyle w:val="19"/>
            </w:pPr>
            <w:r>
              <w:t>经办人员工资</w:t>
            </w:r>
          </w:p>
        </w:tc>
        <w:tc>
          <w:tcPr>
            <w:tcW w:w="2551" w:type="dxa"/>
            <w:vAlign w:val="center"/>
          </w:tcPr>
          <w:p>
            <w:pPr>
              <w:pStyle w:val="19"/>
            </w:pPr>
            <w:r>
              <w:t>1790元/月</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可持续发放期限</w:t>
            </w:r>
          </w:p>
        </w:tc>
        <w:tc>
          <w:tcPr>
            <w:tcW w:w="2835" w:type="dxa"/>
            <w:vAlign w:val="center"/>
          </w:tcPr>
          <w:p>
            <w:pPr>
              <w:pStyle w:val="19"/>
            </w:pPr>
            <w:r>
              <w:t>可持续发放期限</w:t>
            </w:r>
          </w:p>
        </w:tc>
        <w:tc>
          <w:tcPr>
            <w:tcW w:w="2551" w:type="dxa"/>
            <w:vAlign w:val="center"/>
          </w:tcPr>
          <w:p>
            <w:pPr>
              <w:pStyle w:val="19"/>
            </w:pPr>
            <w:r>
              <w:t>按文件执行</w:t>
            </w:r>
          </w:p>
        </w:tc>
        <w:tc>
          <w:tcPr>
            <w:tcW w:w="2268" w:type="dxa"/>
            <w:vAlign w:val="center"/>
          </w:tcPr>
          <w:p>
            <w:pPr>
              <w:pStyle w:val="19"/>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人员满意度</w:t>
            </w:r>
          </w:p>
        </w:tc>
        <w:tc>
          <w:tcPr>
            <w:tcW w:w="2835" w:type="dxa"/>
            <w:vAlign w:val="center"/>
          </w:tcPr>
          <w:p>
            <w:pPr>
              <w:pStyle w:val="19"/>
            </w:pPr>
            <w:r>
              <w:t>人员满意度</w:t>
            </w:r>
          </w:p>
        </w:tc>
        <w:tc>
          <w:tcPr>
            <w:tcW w:w="2551" w:type="dxa"/>
            <w:vAlign w:val="center"/>
          </w:tcPr>
          <w:p>
            <w:pPr>
              <w:pStyle w:val="19"/>
            </w:pPr>
            <w:r>
              <w:t>≥90%</w:t>
            </w:r>
          </w:p>
        </w:tc>
        <w:tc>
          <w:tcPr>
            <w:tcW w:w="2268" w:type="dxa"/>
            <w:vAlign w:val="center"/>
          </w:tcPr>
          <w:p>
            <w:pPr>
              <w:pStyle w:val="19"/>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、业务补助经费绩效目标表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1.将符合条件的及时纳入保障范围，定时发放救助资金。</w:t>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城乡低保保障率</w:t>
            </w:r>
          </w:p>
        </w:tc>
        <w:tc>
          <w:tcPr>
            <w:tcW w:w="2835" w:type="dxa"/>
            <w:vAlign w:val="center"/>
          </w:tcPr>
          <w:p>
            <w:pPr>
              <w:pStyle w:val="19"/>
            </w:pPr>
            <w:r>
              <w:t>城乡低保保障率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申请低保人员核实率</w:t>
            </w:r>
          </w:p>
        </w:tc>
        <w:tc>
          <w:tcPr>
            <w:tcW w:w="2835" w:type="dxa"/>
            <w:vAlign w:val="center"/>
          </w:tcPr>
          <w:p>
            <w:pPr>
              <w:pStyle w:val="19"/>
            </w:pPr>
            <w:r>
              <w:t>申请低保人员核实率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应保未保比率</w:t>
            </w:r>
          </w:p>
        </w:tc>
        <w:tc>
          <w:tcPr>
            <w:tcW w:w="2835" w:type="dxa"/>
            <w:vAlign w:val="center"/>
          </w:tcPr>
          <w:p>
            <w:pPr>
              <w:pStyle w:val="19"/>
            </w:pPr>
            <w:r>
              <w:t>符合低保条件的建档立卡贫困人口应保未保比率</w:t>
            </w:r>
          </w:p>
        </w:tc>
        <w:tc>
          <w:tcPr>
            <w:tcW w:w="2551" w:type="dxa"/>
            <w:vAlign w:val="center"/>
          </w:tcPr>
          <w:p>
            <w:pPr>
              <w:pStyle w:val="19"/>
            </w:pPr>
            <w:r>
              <w:t>≥90%</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救助资金发放标准</w:t>
            </w:r>
          </w:p>
        </w:tc>
        <w:tc>
          <w:tcPr>
            <w:tcW w:w="2835" w:type="dxa"/>
            <w:vAlign w:val="center"/>
          </w:tcPr>
          <w:p>
            <w:pPr>
              <w:pStyle w:val="19"/>
            </w:pPr>
            <w:r>
              <w:t>救助资金发放标准</w:t>
            </w:r>
          </w:p>
        </w:tc>
        <w:tc>
          <w:tcPr>
            <w:tcW w:w="2551" w:type="dxa"/>
            <w:vAlign w:val="center"/>
          </w:tcPr>
          <w:p>
            <w:pPr>
              <w:pStyle w:val="19"/>
            </w:pPr>
            <w:r>
              <w:t>按标准发放</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保障对象生活水平</w:t>
            </w:r>
          </w:p>
        </w:tc>
        <w:tc>
          <w:tcPr>
            <w:tcW w:w="2835" w:type="dxa"/>
            <w:vAlign w:val="center"/>
          </w:tcPr>
          <w:p>
            <w:pPr>
              <w:pStyle w:val="19"/>
            </w:pPr>
            <w:r>
              <w:t>保障对象生活水平</w:t>
            </w:r>
          </w:p>
        </w:tc>
        <w:tc>
          <w:tcPr>
            <w:tcW w:w="2551" w:type="dxa"/>
            <w:vAlign w:val="center"/>
          </w:tcPr>
          <w:p>
            <w:pPr>
              <w:pStyle w:val="19"/>
            </w:pPr>
            <w:r>
              <w:t>显著提高</w:t>
            </w:r>
          </w:p>
        </w:tc>
        <w:tc>
          <w:tcPr>
            <w:tcW w:w="2268" w:type="dxa"/>
            <w:vAlign w:val="center"/>
          </w:tcPr>
          <w:p>
            <w:pPr>
              <w:pStyle w:val="19"/>
            </w:pPr>
            <w:r>
              <w:t>最低生活保障审核审批办法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保障人员满意度</w:t>
            </w:r>
          </w:p>
        </w:tc>
        <w:tc>
          <w:tcPr>
            <w:tcW w:w="2835" w:type="dxa"/>
            <w:vAlign w:val="center"/>
          </w:tcPr>
          <w:p>
            <w:pPr>
              <w:pStyle w:val="19"/>
            </w:pPr>
            <w:r>
              <w:t>保障人员满意度</w:t>
            </w:r>
          </w:p>
        </w:tc>
        <w:tc>
          <w:tcPr>
            <w:tcW w:w="2551" w:type="dxa"/>
            <w:vAlign w:val="center"/>
          </w:tcPr>
          <w:p>
            <w:pPr>
              <w:pStyle w:val="19"/>
            </w:pPr>
            <w:r>
              <w:t>≥90%</w:t>
            </w:r>
          </w:p>
        </w:tc>
        <w:tc>
          <w:tcPr>
            <w:tcW w:w="2268" w:type="dxa"/>
            <w:vAlign w:val="center"/>
          </w:tcPr>
          <w:p>
            <w:pPr>
              <w:pStyle w:val="19"/>
            </w:pPr>
            <w:r>
              <w:t>最低生活保障审核审批办法</w:t>
            </w:r>
          </w:p>
        </w:tc>
      </w:tr>
    </w:tbl>
    <w:p>
      <w:pPr>
        <w:spacing w:before="0" w:after="0" w:line="2" w:lineRule="exact"/>
        <w:ind w:firstLine="0"/>
        <w:jc w:val="both"/>
        <w:outlineLvl w:val="9"/>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、殡仪馆火化补助绩效目标表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1.用于殡葬火化设备及车辆日常运行</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时效指标</w:t>
            </w:r>
          </w:p>
        </w:tc>
        <w:tc>
          <w:tcPr>
            <w:tcW w:w="2835" w:type="dxa"/>
            <w:vAlign w:val="center"/>
          </w:tcPr>
          <w:p>
            <w:pPr>
              <w:pStyle w:val="19"/>
            </w:pPr>
            <w:r>
              <w:t>殡葬改革进展情况</w:t>
            </w:r>
          </w:p>
        </w:tc>
        <w:tc>
          <w:tcPr>
            <w:tcW w:w="2835" w:type="dxa"/>
            <w:vAlign w:val="center"/>
          </w:tcPr>
          <w:p>
            <w:pPr>
              <w:pStyle w:val="19"/>
            </w:pPr>
            <w:r>
              <w:t>殡葬改革进展情况</w:t>
            </w:r>
          </w:p>
        </w:tc>
        <w:tc>
          <w:tcPr>
            <w:tcW w:w="2551" w:type="dxa"/>
            <w:vAlign w:val="center"/>
          </w:tcPr>
          <w:p>
            <w:pPr>
              <w:pStyle w:val="19"/>
            </w:pPr>
            <w:r>
              <w:t>逐步提升</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数量指标</w:t>
            </w:r>
          </w:p>
        </w:tc>
        <w:tc>
          <w:tcPr>
            <w:tcW w:w="2835" w:type="dxa"/>
            <w:vAlign w:val="center"/>
          </w:tcPr>
          <w:p>
            <w:pPr>
              <w:pStyle w:val="19"/>
            </w:pPr>
            <w:r>
              <w:t>火化数量</w:t>
            </w:r>
          </w:p>
        </w:tc>
        <w:tc>
          <w:tcPr>
            <w:tcW w:w="2835" w:type="dxa"/>
            <w:vAlign w:val="center"/>
          </w:tcPr>
          <w:p>
            <w:pPr>
              <w:pStyle w:val="19"/>
            </w:pPr>
            <w:r>
              <w:t>火化数量</w:t>
            </w:r>
          </w:p>
          <w:p>
            <w:pPr>
              <w:pStyle w:val="19"/>
            </w:pPr>
          </w:p>
        </w:tc>
        <w:tc>
          <w:tcPr>
            <w:tcW w:w="2551" w:type="dxa"/>
            <w:vAlign w:val="center"/>
          </w:tcPr>
          <w:p>
            <w:pPr>
              <w:pStyle w:val="19"/>
            </w:pPr>
            <w:r>
              <w:t>≥300具</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全面提升火化率</w:t>
            </w:r>
          </w:p>
        </w:tc>
        <w:tc>
          <w:tcPr>
            <w:tcW w:w="2835" w:type="dxa"/>
            <w:vAlign w:val="center"/>
          </w:tcPr>
          <w:p>
            <w:pPr>
              <w:pStyle w:val="19"/>
            </w:pPr>
            <w:r>
              <w:t>全面提升火化率</w:t>
            </w:r>
          </w:p>
          <w:p>
            <w:pPr>
              <w:pStyle w:val="19"/>
            </w:pPr>
          </w:p>
        </w:tc>
        <w:tc>
          <w:tcPr>
            <w:tcW w:w="2551" w:type="dxa"/>
            <w:vAlign w:val="center"/>
          </w:tcPr>
          <w:p>
            <w:pPr>
              <w:pStyle w:val="19"/>
            </w:pPr>
            <w:r>
              <w:t>逐步提升</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火化每具遗体补贴</w:t>
            </w:r>
          </w:p>
        </w:tc>
        <w:tc>
          <w:tcPr>
            <w:tcW w:w="2835" w:type="dxa"/>
            <w:vAlign w:val="center"/>
          </w:tcPr>
          <w:p>
            <w:pPr>
              <w:pStyle w:val="19"/>
            </w:pPr>
            <w:r>
              <w:t>火化每具遗体补贴</w:t>
            </w:r>
          </w:p>
          <w:p>
            <w:pPr>
              <w:pStyle w:val="19"/>
            </w:pPr>
          </w:p>
        </w:tc>
        <w:tc>
          <w:tcPr>
            <w:tcW w:w="2551" w:type="dxa"/>
            <w:vAlign w:val="center"/>
          </w:tcPr>
          <w:p>
            <w:pPr>
              <w:pStyle w:val="19"/>
            </w:pPr>
            <w:r>
              <w:t>1500元/具</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殡改工作基本保障</w:t>
            </w:r>
          </w:p>
        </w:tc>
        <w:tc>
          <w:tcPr>
            <w:tcW w:w="2835" w:type="dxa"/>
            <w:vAlign w:val="center"/>
          </w:tcPr>
          <w:p>
            <w:pPr>
              <w:pStyle w:val="19"/>
            </w:pPr>
          </w:p>
          <w:p>
            <w:pPr>
              <w:pStyle w:val="19"/>
            </w:pPr>
            <w:r>
              <w:t>推动殡改工作可持续开展</w:t>
            </w:r>
          </w:p>
          <w:p>
            <w:pPr>
              <w:pStyle w:val="19"/>
            </w:pP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丧主满意度指标</w:t>
            </w:r>
          </w:p>
        </w:tc>
        <w:tc>
          <w:tcPr>
            <w:tcW w:w="2835" w:type="dxa"/>
            <w:vAlign w:val="center"/>
          </w:tcPr>
          <w:p>
            <w:pPr>
              <w:pStyle w:val="19"/>
            </w:pPr>
            <w:r>
              <w:t>丧主满意度指标</w:t>
            </w:r>
          </w:p>
          <w:p>
            <w:pPr>
              <w:pStyle w:val="19"/>
            </w:pPr>
          </w:p>
        </w:tc>
        <w:tc>
          <w:tcPr>
            <w:tcW w:w="2551" w:type="dxa"/>
            <w:vAlign w:val="center"/>
          </w:tcPr>
          <w:p>
            <w:pPr>
              <w:pStyle w:val="19"/>
            </w:pPr>
            <w:r>
              <w:t>100%</w:t>
            </w:r>
          </w:p>
        </w:tc>
        <w:tc>
          <w:tcPr>
            <w:tcW w:w="2268" w:type="dxa"/>
            <w:vAlign w:val="center"/>
          </w:tcPr>
          <w:p>
            <w:pPr>
              <w:pStyle w:val="19"/>
            </w:pPr>
            <w:r>
              <w:t>沙办字【2020】10号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、殡葬管理补助绩效目标表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1.进一步深化殡葬改革工作落实到位</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殡葬服务配套设施建设等</w:t>
            </w:r>
          </w:p>
        </w:tc>
        <w:tc>
          <w:tcPr>
            <w:tcW w:w="2835" w:type="dxa"/>
            <w:vAlign w:val="center"/>
          </w:tcPr>
          <w:p>
            <w:pPr>
              <w:pStyle w:val="19"/>
            </w:pPr>
            <w:r>
              <w:t>殡葬服务配套设施建设等</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按规定要求落实</w:t>
            </w:r>
          </w:p>
        </w:tc>
        <w:tc>
          <w:tcPr>
            <w:tcW w:w="2835" w:type="dxa"/>
            <w:vAlign w:val="center"/>
          </w:tcPr>
          <w:p>
            <w:pPr>
              <w:pStyle w:val="19"/>
            </w:pPr>
            <w:r>
              <w:t>按规定要求落实</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按实施方案贯彻落实</w:t>
            </w:r>
          </w:p>
        </w:tc>
        <w:tc>
          <w:tcPr>
            <w:tcW w:w="2835" w:type="dxa"/>
            <w:vAlign w:val="center"/>
          </w:tcPr>
          <w:p>
            <w:pPr>
              <w:pStyle w:val="19"/>
            </w:pPr>
            <w:r>
              <w:t>按实施方案贯彻落实</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年度补助运行落实</w:t>
            </w:r>
          </w:p>
        </w:tc>
        <w:tc>
          <w:tcPr>
            <w:tcW w:w="2835" w:type="dxa"/>
            <w:vAlign w:val="center"/>
          </w:tcPr>
          <w:p>
            <w:pPr>
              <w:pStyle w:val="19"/>
            </w:pPr>
            <w:r>
              <w:t>年度补助运行落实</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保证殡改工作落实到位</w:t>
            </w:r>
          </w:p>
        </w:tc>
        <w:tc>
          <w:tcPr>
            <w:tcW w:w="2835" w:type="dxa"/>
            <w:vAlign w:val="center"/>
          </w:tcPr>
          <w:p>
            <w:pPr>
              <w:pStyle w:val="19"/>
            </w:pPr>
            <w:r>
              <w:t>保证殡改工作落实到位</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满意程度</w:t>
            </w:r>
          </w:p>
        </w:tc>
        <w:tc>
          <w:tcPr>
            <w:tcW w:w="2835" w:type="dxa"/>
            <w:vAlign w:val="center"/>
          </w:tcPr>
          <w:p>
            <w:pPr>
              <w:pStyle w:val="19"/>
            </w:pPr>
            <w:r>
              <w:t>满意程度</w:t>
            </w:r>
          </w:p>
        </w:tc>
        <w:tc>
          <w:tcPr>
            <w:tcW w:w="2551" w:type="dxa"/>
            <w:vAlign w:val="center"/>
          </w:tcPr>
          <w:p>
            <w:pPr>
              <w:pStyle w:val="19"/>
            </w:pPr>
            <w:r>
              <w:t>≥90%</w:t>
            </w:r>
          </w:p>
        </w:tc>
        <w:tc>
          <w:tcPr>
            <w:tcW w:w="2268" w:type="dxa"/>
            <w:vAlign w:val="center"/>
          </w:tcPr>
          <w:p>
            <w:pPr>
              <w:pStyle w:val="19"/>
            </w:pPr>
            <w:r>
              <w:t>沙办字【2020】10号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、殡葬事业运行补助绩效目标表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1.进一步深化殡葬改革工作落实到位</w:t>
            </w:r>
            <w:r>
              <w:tab/>
            </w:r>
            <w:r>
              <w:tab/>
            </w:r>
            <w:r>
              <w:tab/>
            </w:r>
            <w:r>
              <w:tab/>
            </w:r>
            <w:r>
              <w:tab/>
            </w:r>
            <w:r>
              <w:tab/>
            </w:r>
            <w:r>
              <w:tab/>
            </w:r>
          </w:p>
          <w:p>
            <w:pPr>
              <w:pStyle w:val="1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遗体接运、火化等各项服务规范齐备</w:t>
            </w:r>
          </w:p>
        </w:tc>
        <w:tc>
          <w:tcPr>
            <w:tcW w:w="2835" w:type="dxa"/>
            <w:vAlign w:val="center"/>
          </w:tcPr>
          <w:p>
            <w:pPr>
              <w:pStyle w:val="19"/>
            </w:pPr>
            <w:r>
              <w:t>遗体接运、火化等各项服务规范齐备</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质量指标</w:t>
            </w:r>
          </w:p>
        </w:tc>
        <w:tc>
          <w:tcPr>
            <w:tcW w:w="2835" w:type="dxa"/>
            <w:vAlign w:val="center"/>
          </w:tcPr>
          <w:p>
            <w:pPr>
              <w:pStyle w:val="19"/>
            </w:pPr>
            <w:r>
              <w:t>按规定要求落实</w:t>
            </w:r>
          </w:p>
        </w:tc>
        <w:tc>
          <w:tcPr>
            <w:tcW w:w="2835" w:type="dxa"/>
            <w:vAlign w:val="center"/>
          </w:tcPr>
          <w:p>
            <w:pPr>
              <w:pStyle w:val="19"/>
            </w:pPr>
            <w:r>
              <w:t>按规定要求落实</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时效指标</w:t>
            </w:r>
          </w:p>
        </w:tc>
        <w:tc>
          <w:tcPr>
            <w:tcW w:w="2835" w:type="dxa"/>
            <w:vAlign w:val="center"/>
          </w:tcPr>
          <w:p>
            <w:pPr>
              <w:pStyle w:val="19"/>
            </w:pPr>
            <w:r>
              <w:t>按实施方案贯彻落实</w:t>
            </w:r>
          </w:p>
        </w:tc>
        <w:tc>
          <w:tcPr>
            <w:tcW w:w="2835" w:type="dxa"/>
            <w:vAlign w:val="center"/>
          </w:tcPr>
          <w:p>
            <w:pPr>
              <w:pStyle w:val="19"/>
            </w:pPr>
            <w:r>
              <w:t>按实施方案贯彻落实</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pPr>
            <w:r>
              <w:t>成本指标</w:t>
            </w:r>
          </w:p>
        </w:tc>
        <w:tc>
          <w:tcPr>
            <w:tcW w:w="2835" w:type="dxa"/>
            <w:vAlign w:val="center"/>
          </w:tcPr>
          <w:p>
            <w:pPr>
              <w:pStyle w:val="19"/>
            </w:pPr>
            <w:r>
              <w:t>年度补助运行落实</w:t>
            </w:r>
          </w:p>
        </w:tc>
        <w:tc>
          <w:tcPr>
            <w:tcW w:w="2835" w:type="dxa"/>
            <w:vAlign w:val="center"/>
          </w:tcPr>
          <w:p>
            <w:pPr>
              <w:pStyle w:val="19"/>
            </w:pPr>
            <w:r>
              <w:t>年度补助运行落实</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保证殡改工作落实到位</w:t>
            </w:r>
          </w:p>
        </w:tc>
        <w:tc>
          <w:tcPr>
            <w:tcW w:w="2835" w:type="dxa"/>
            <w:vAlign w:val="center"/>
          </w:tcPr>
          <w:p>
            <w:pPr>
              <w:pStyle w:val="19"/>
            </w:pPr>
            <w:r>
              <w:t>保证殡改工作落实到位</w:t>
            </w:r>
          </w:p>
        </w:tc>
        <w:tc>
          <w:tcPr>
            <w:tcW w:w="2551" w:type="dxa"/>
            <w:vAlign w:val="center"/>
          </w:tcPr>
          <w:p>
            <w:pPr>
              <w:pStyle w:val="19"/>
            </w:pPr>
            <w:r>
              <w:t>≥90%</w:t>
            </w:r>
          </w:p>
        </w:tc>
        <w:tc>
          <w:tcPr>
            <w:tcW w:w="2268" w:type="dxa"/>
            <w:vAlign w:val="center"/>
          </w:tcPr>
          <w:p>
            <w:pPr>
              <w:pStyle w:val="19"/>
            </w:pPr>
            <w:r>
              <w:t>沙办字【2020】10号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满意程度</w:t>
            </w:r>
          </w:p>
        </w:tc>
        <w:tc>
          <w:tcPr>
            <w:tcW w:w="2835" w:type="dxa"/>
            <w:vAlign w:val="center"/>
          </w:tcPr>
          <w:p>
            <w:pPr>
              <w:pStyle w:val="19"/>
            </w:pPr>
            <w:r>
              <w:t>满意程度</w:t>
            </w:r>
          </w:p>
        </w:tc>
        <w:tc>
          <w:tcPr>
            <w:tcW w:w="2551" w:type="dxa"/>
            <w:vAlign w:val="center"/>
          </w:tcPr>
          <w:p>
            <w:pPr>
              <w:pStyle w:val="19"/>
            </w:pPr>
            <w:r>
              <w:t>≥90%</w:t>
            </w:r>
          </w:p>
        </w:tc>
        <w:tc>
          <w:tcPr>
            <w:tcW w:w="2268" w:type="dxa"/>
            <w:vAlign w:val="center"/>
          </w:tcPr>
          <w:p>
            <w:pPr>
              <w:pStyle w:val="19"/>
            </w:pPr>
            <w:r>
              <w:t>沙办字【2020】10号</w:t>
            </w:r>
          </w:p>
        </w:tc>
      </w:tr>
    </w:tbl>
    <w:p/>
    <w:p/>
    <w:p/>
    <w:p/>
    <w:p/>
    <w:p/>
    <w:p/>
    <w:p/>
    <w:p/>
    <w:p/>
    <w:p/>
    <w:p/>
    <w:p/>
    <w:p/>
    <w:p/>
    <w:p/>
    <w:p/>
    <w:p/>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四、各项绩效目标的实现程度及差异性原因分析。</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总体绩效目标和绩效指标已全部完成。</w:t>
      </w:r>
    </w:p>
    <w:p>
      <w:pPr>
        <w:numPr>
          <w:ilvl w:val="0"/>
          <w:numId w:val="0"/>
        </w:numPr>
        <w:spacing w:line="240" w:lineRule="auto"/>
        <w:rPr>
          <w:rFonts w:hint="eastAsia" w:ascii="黑体" w:hAnsi="黑体" w:eastAsia="黑体" w:cs="黑体"/>
          <w:sz w:val="32"/>
          <w:szCs w:val="32"/>
          <w:lang w:val="en-US" w:eastAsia="zh-CN"/>
        </w:rPr>
      </w:pPr>
    </w:p>
    <w:p>
      <w:pPr>
        <w:numPr>
          <w:ilvl w:val="0"/>
          <w:numId w:val="0"/>
        </w:num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五、存在问题、采取的纠偏措施及改进绩效管理建议。</w:t>
      </w:r>
    </w:p>
    <w:p>
      <w:pPr>
        <w:numPr>
          <w:ilvl w:val="0"/>
          <w:numId w:val="0"/>
        </w:numPr>
        <w:spacing w:line="240" w:lineRule="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无</w:t>
      </w:r>
    </w:p>
    <w:p>
      <w:pPr>
        <w:numPr>
          <w:ilvl w:val="0"/>
          <w:numId w:val="0"/>
        </w:numPr>
        <w:spacing w:line="240" w:lineRule="auto"/>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六、其他需要说明的问题。</w:t>
      </w:r>
    </w:p>
    <w:p>
      <w:pPr>
        <w:ind w:firstLine="640" w:firstLineChars="200"/>
        <w:rPr>
          <w:rFonts w:hint="eastAsia" w:eastAsia="仿宋_GB2312"/>
          <w:lang w:eastAsia="zh-CN"/>
        </w:rPr>
      </w:pPr>
      <w:r>
        <w:rPr>
          <w:rFonts w:hint="eastAsia" w:ascii="仿宋_GB2312" w:hAnsi="仿宋_GB2312" w:eastAsia="仿宋_GB2312" w:cs="仿宋_GB2312"/>
          <w:sz w:val="32"/>
          <w:szCs w:val="32"/>
        </w:rPr>
        <w:t>各级巡视、各级审计和财政监督中</w:t>
      </w:r>
      <w:r>
        <w:rPr>
          <w:rFonts w:hint="eastAsia" w:ascii="仿宋_GB2312" w:hAnsi="仿宋_GB2312" w:eastAsia="仿宋_GB2312" w:cs="仿宋_GB2312"/>
          <w:sz w:val="32"/>
          <w:szCs w:val="32"/>
          <w:lang w:eastAsia="zh-CN"/>
        </w:rPr>
        <w:t>未发现问题。</w:t>
      </w:r>
    </w:p>
    <w:p>
      <w:pPr>
        <w:numPr>
          <w:ilvl w:val="0"/>
          <w:numId w:val="0"/>
        </w:numPr>
        <w:spacing w:line="240" w:lineRule="auto"/>
        <w:ind w:leftChars="0"/>
        <w:rPr>
          <w:rFonts w:hint="default" w:ascii="仿宋" w:hAnsi="仿宋" w:eastAsia="仿宋" w:cs="仿宋"/>
          <w:sz w:val="32"/>
          <w:szCs w:val="32"/>
          <w:lang w:val="en-US" w:eastAsia="zh-CN"/>
        </w:rPr>
      </w:pPr>
    </w:p>
    <w:p>
      <w:pPr>
        <w:numPr>
          <w:ilvl w:val="0"/>
          <w:numId w:val="0"/>
        </w:numPr>
        <w:ind w:firstLine="640" w:firstLineChars="200"/>
        <w:rPr>
          <w:rFonts w:hint="eastAsia" w:ascii="仿宋_GB2312"/>
          <w:sz w:val="32"/>
          <w:szCs w:val="32"/>
        </w:rPr>
      </w:pPr>
    </w:p>
    <w:p>
      <w:pPr>
        <w:rPr>
          <w:rFonts w:hint="eastAsia" w:ascii="仿宋" w:hAnsi="仿宋" w:eastAsia="仿宋" w:cs="仿宋"/>
          <w:sz w:val="32"/>
          <w:szCs w:val="32"/>
          <w:lang w:val="en-US" w:eastAsia="zh-CN"/>
        </w:rPr>
        <w:sectPr>
          <w:pgSz w:w="16840" w:h="11900" w:orient="landscape"/>
          <w:pgMar w:top="1361" w:right="1020" w:bottom="1134" w:left="1020" w:header="720" w:footer="720" w:gutter="0"/>
          <w:cols w:space="720" w:num="1"/>
        </w:sectPr>
      </w:pPr>
    </w:p>
    <w:p>
      <w:pPr>
        <w:spacing w:line="480" w:lineRule="exact"/>
        <w:jc w:val="both"/>
        <w:rPr>
          <w:rFonts w:hint="eastAsia" w:ascii="宋体" w:hAnsi="宋体"/>
          <w:b/>
          <w:sz w:val="44"/>
          <w:szCs w:val="44"/>
          <w:lang w:val="en-US" w:eastAsia="zh-CN"/>
        </w:rPr>
      </w:pPr>
    </w:p>
    <w:p>
      <w:pPr>
        <w:spacing w:line="480" w:lineRule="exact"/>
        <w:jc w:val="both"/>
        <w:rPr>
          <w:rFonts w:hint="default" w:ascii="宋体" w:hAnsi="宋体" w:eastAsiaTheme="minorEastAsia"/>
          <w:b/>
          <w:sz w:val="44"/>
          <w:szCs w:val="44"/>
          <w:lang w:val="en-US" w:eastAsia="zh-CN"/>
        </w:rPr>
      </w:pPr>
      <w:r>
        <w:rPr>
          <w:rFonts w:hint="eastAsia" w:ascii="宋体" w:hAnsi="宋体"/>
          <w:b/>
          <w:sz w:val="44"/>
          <w:szCs w:val="44"/>
          <w:lang w:val="en-US" w:eastAsia="zh-CN"/>
        </w:rPr>
        <w:t>二、</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投入（1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绩效</w:t>
            </w:r>
            <w:r>
              <w:rPr>
                <w:rFonts w:ascii="仿宋_GB2312" w:hAnsi="新宋体" w:eastAsia="仿宋_GB2312" w:cs="仿宋_GB2312"/>
                <w:kern w:val="0"/>
                <w:szCs w:val="21"/>
                <w:lang w:bidi="ar"/>
              </w:rPr>
              <w:t>目标设定</w:t>
            </w:r>
            <w:r>
              <w:rPr>
                <w:rFonts w:hint="eastAsia" w:ascii="仿宋_GB2312" w:hAnsi="新宋体" w:eastAsia="仿宋_GB2312" w:cs="仿宋_GB2312"/>
                <w:kern w:val="0"/>
                <w:szCs w:val="21"/>
                <w:lang w:bidi="ar"/>
              </w:rPr>
              <w:t>情况</w:t>
            </w:r>
          </w:p>
          <w:p>
            <w:pPr>
              <w:widowControl/>
              <w:spacing w:line="240" w:lineRule="exact"/>
              <w:jc w:val="left"/>
              <w:rPr>
                <w:color w:val="FF0000"/>
                <w:szCs w:val="21"/>
              </w:rPr>
            </w:pP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职责明确</w:t>
            </w:r>
            <w:r>
              <w:rPr>
                <w:rFonts w:hint="eastAsia" w:ascii="仿宋_GB2312" w:hAnsi="新宋体" w:eastAsia="仿宋_GB2312" w:cs="仿宋_GB2312"/>
                <w:kern w:val="0"/>
                <w:szCs w:val="21"/>
                <w:lang w:bidi="ar"/>
              </w:rPr>
              <w:t xml:space="preserve"> </w:t>
            </w:r>
            <w:r>
              <w:rPr>
                <w:rFonts w:ascii="仿宋_GB2312" w:hAnsi="新宋体" w:eastAsia="仿宋_GB2312" w:cs="仿宋_GB2312"/>
                <w:kern w:val="0"/>
                <w:szCs w:val="21"/>
                <w:lang w:bidi="ar"/>
              </w:rPr>
              <w:t>（1</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符合（1）；</w:t>
            </w:r>
          </w:p>
          <w:p>
            <w:pPr>
              <w:widowControl/>
              <w:spacing w:line="240" w:lineRule="exact"/>
              <w:jc w:val="left"/>
              <w:rPr>
                <w:szCs w:val="21"/>
              </w:rPr>
            </w:pPr>
            <w:r>
              <w:rPr>
                <w:rFonts w:ascii="仿宋_GB2312" w:hAnsi="新宋体" w:eastAsia="仿宋_GB2312" w:cs="仿宋_GB2312"/>
                <w:kern w:val="0"/>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活动合规性（2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lang w:bidi="ar"/>
              </w:rPr>
              <w:t>2.部门活动符合</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委、</w:t>
            </w:r>
            <w:r>
              <w:rPr>
                <w:rFonts w:hint="eastAsia" w:ascii="仿宋_GB2312" w:hAnsi="新宋体" w:eastAsia="仿宋_GB2312" w:cs="仿宋_GB2312"/>
                <w:kern w:val="0"/>
                <w:szCs w:val="21"/>
                <w:lang w:bidi="ar"/>
              </w:rPr>
              <w:t>市</w:t>
            </w:r>
            <w:r>
              <w:rPr>
                <w:rFonts w:ascii="仿宋_GB2312" w:hAnsi="新宋体" w:eastAsia="仿宋_GB2312" w:cs="仿宋_GB2312"/>
                <w:kern w:val="0"/>
                <w:szCs w:val="21"/>
                <w:lang w:bidi="ar"/>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活动合理性（2</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全部符合（2）；</w:t>
            </w:r>
          </w:p>
          <w:p>
            <w:pPr>
              <w:widowControl/>
              <w:spacing w:line="240" w:lineRule="exact"/>
              <w:jc w:val="left"/>
              <w:rPr>
                <w:szCs w:val="21"/>
              </w:rPr>
            </w:pPr>
            <w:r>
              <w:rPr>
                <w:rFonts w:ascii="仿宋_GB2312" w:hAnsi="新宋体" w:eastAsia="仿宋_GB2312" w:cs="仿宋_GB2312"/>
                <w:kern w:val="0"/>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预算配置</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在职人员控制率（</w:t>
            </w:r>
            <w:r>
              <w:rPr>
                <w:rFonts w:hint="eastAsia" w:ascii="仿宋_GB2312" w:hAnsi="新宋体" w:eastAsia="仿宋_GB2312" w:cs="仿宋_GB2312"/>
                <w:kern w:val="0"/>
                <w:szCs w:val="21"/>
                <w:lang w:bidi="ar"/>
              </w:rPr>
              <w:t>1分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“三公经费”变动率（2分）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小于或等于</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大于或等于1</w:t>
            </w:r>
            <w:r>
              <w:rPr>
                <w:rFonts w:hint="eastAsia" w:ascii="仿宋_GB2312" w:hAnsi="新宋体" w:eastAsia="仿宋_GB2312" w:cs="仿宋_GB2312"/>
                <w:kern w:val="0"/>
                <w:szCs w:val="21"/>
                <w:lang w:bidi="ar"/>
              </w:rPr>
              <w:t>0</w:t>
            </w:r>
            <w:r>
              <w:rPr>
                <w:rFonts w:ascii="仿宋_GB2312" w:hAnsi="新宋体" w:eastAsia="仿宋_GB2312" w:cs="仿宋_GB2312"/>
                <w:kern w:val="0"/>
                <w:szCs w:val="21"/>
                <w:lang w:bidi="ar"/>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3.在职人员控制率在</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w:t>
            </w:r>
            <w:r>
              <w:rPr>
                <w:rFonts w:ascii="仿宋_GB2312" w:hAnsi="新宋体" w:eastAsia="仿宋_GB2312" w:cs="仿宋_GB2312"/>
                <w:kern w:val="0"/>
                <w:szCs w:val="21"/>
                <w:lang w:bidi="ar"/>
              </w:rPr>
              <w:t>%之间的，在0分和满分之间计算确定：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“三公经费”变动率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lang w:bidi="ar"/>
              </w:rPr>
            </w:pPr>
            <w:r>
              <w:rPr>
                <w:rFonts w:hint="eastAsia" w:ascii="仿宋" w:hAnsi="仿宋" w:eastAsia="仿宋" w:cs="仿宋"/>
                <w:color w:val="000000"/>
                <w:kern w:val="0"/>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在85%-95%之间的，在0分和满分之间计算确定：</w:t>
            </w:r>
          </w:p>
          <w:p>
            <w:pPr>
              <w:widowControl/>
              <w:spacing w:line="240" w:lineRule="exact"/>
              <w:jc w:val="left"/>
              <w:textAlignment w:val="center"/>
              <w:rPr>
                <w:rFonts w:ascii="仿宋" w:hAnsi="仿宋" w:eastAsia="仿宋" w:cs="仿宋"/>
                <w:kern w:val="0"/>
                <w:szCs w:val="21"/>
                <w:lang w:bidi="ar"/>
              </w:rPr>
            </w:pPr>
            <w:r>
              <w:rPr>
                <w:rFonts w:ascii="仿宋_GB2312" w:hAnsi="新宋体" w:eastAsia="仿宋_GB2312" w:cs="仿宋_GB2312"/>
                <w:kern w:val="0"/>
                <w:szCs w:val="21"/>
                <w:lang w:bidi="ar"/>
              </w:rPr>
              <w:t>得分=[某部门</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）]/[max（</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）－min（</w:t>
            </w:r>
            <w:r>
              <w:rPr>
                <w:rFonts w:hint="eastAsia" w:ascii="仿宋" w:hAnsi="仿宋" w:eastAsia="仿宋" w:cs="仿宋"/>
                <w:color w:val="000000"/>
                <w:kern w:val="0"/>
                <w:szCs w:val="21"/>
                <w:lang w:bidi="ar"/>
              </w:rPr>
              <w:t>重点支出安排率</w:t>
            </w:r>
            <w:r>
              <w:rPr>
                <w:rFonts w:ascii="仿宋_GB2312" w:hAnsi="新宋体" w:eastAsia="仿宋_GB2312" w:cs="仿宋_GB2312"/>
                <w:kern w:val="0"/>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过程(</w:t>
            </w:r>
            <w:r>
              <w:rPr>
                <w:rFonts w:hint="eastAsia" w:ascii="仿宋_GB2312" w:hAnsi="新宋体" w:eastAsia="仿宋_GB2312" w:cs="仿宋_GB2312"/>
                <w:kern w:val="0"/>
                <w:szCs w:val="21"/>
                <w:lang w:bidi="ar"/>
              </w:rPr>
              <w:t>45分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预算执行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25分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预算完成率（5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预算调整率（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支付进度率</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度支付数与</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lang w:bidi="ar"/>
              </w:rPr>
              <w:t>支付进度率=（</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按</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度的执行情况进行打分</w:t>
            </w:r>
            <w:r>
              <w:rPr>
                <w:rFonts w:hint="eastAsia" w:ascii="仿宋_GB2312" w:hAnsi="新宋体" w:eastAsia="仿宋_GB2312" w:cs="仿宋_GB2312"/>
                <w:kern w:val="0"/>
                <w:szCs w:val="21"/>
                <w:lang w:bidi="ar"/>
              </w:rPr>
              <w:t>。</w:t>
            </w:r>
            <w:r>
              <w:rPr>
                <w:rFonts w:ascii="仿宋_GB2312" w:hAnsi="新宋体" w:eastAsia="仿宋_GB2312" w:cs="仿宋_GB2312"/>
                <w:kern w:val="0"/>
                <w:szCs w:val="21"/>
                <w:lang w:bidi="ar"/>
              </w:rPr>
              <w:t>得分=</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度支付数/</w:t>
            </w:r>
            <w:r>
              <w:rPr>
                <w:rFonts w:hint="eastAsia" w:ascii="仿宋_GB2312" w:hAnsi="新宋体" w:eastAsia="仿宋_GB2312" w:cs="仿宋_GB2312"/>
                <w:kern w:val="0"/>
                <w:szCs w:val="21"/>
                <w:lang w:bidi="ar"/>
              </w:rPr>
              <w:t>年</w:t>
            </w:r>
            <w:r>
              <w:rPr>
                <w:rFonts w:ascii="仿宋_GB2312" w:hAnsi="新宋体" w:eastAsia="仿宋_GB2312" w:cs="仿宋_GB2312"/>
                <w:kern w:val="0"/>
                <w:szCs w:val="21"/>
                <w:lang w:bidi="ar"/>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结转结余率（4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公用经费控制率（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政府采购执行率（</w:t>
            </w:r>
            <w:r>
              <w:rPr>
                <w:rFonts w:hint="eastAsia" w:ascii="仿宋_GB2312" w:hAnsi="新宋体" w:eastAsia="仿宋_GB2312" w:cs="仿宋_GB2312"/>
                <w:kern w:val="0"/>
                <w:szCs w:val="21"/>
                <w:lang w:bidi="ar"/>
              </w:rPr>
              <w:t>4分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预算管理</w:t>
            </w:r>
            <w:r>
              <w:rPr>
                <w:rFonts w:hint="eastAsia" w:ascii="仿宋_GB2312" w:hAnsi="新宋体" w:eastAsia="仿宋_GB2312" w:cs="仿宋_GB2312"/>
                <w:kern w:val="0"/>
                <w:szCs w:val="21"/>
                <w:lang w:bidi="ar"/>
              </w:rPr>
              <w:t>情况</w:t>
            </w:r>
          </w:p>
          <w:p>
            <w:pPr>
              <w:widowControl/>
              <w:spacing w:line="240" w:lineRule="exact"/>
              <w:jc w:val="left"/>
              <w:rPr>
                <w:szCs w:val="21"/>
              </w:rPr>
            </w:pPr>
            <w:r>
              <w:rPr>
                <w:rFonts w:ascii="仿宋_GB2312" w:hAnsi="新宋体" w:eastAsia="仿宋_GB2312" w:cs="仿宋_GB2312"/>
                <w:kern w:val="0"/>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资金使用合规性（8</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lang w:bidi="ar"/>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lang w:bidi="ar"/>
              </w:rPr>
              <w:t>3.项目的重大开支经过评估论证；</w:t>
            </w:r>
          </w:p>
          <w:p>
            <w:pPr>
              <w:widowControl/>
              <w:spacing w:line="240" w:lineRule="exact"/>
              <w:jc w:val="left"/>
              <w:rPr>
                <w:szCs w:val="21"/>
              </w:rPr>
            </w:pPr>
            <w:r>
              <w:rPr>
                <w:rFonts w:ascii="仿宋_GB2312" w:hAnsi="新宋体" w:eastAsia="仿宋_GB2312" w:cs="仿宋_GB2312"/>
                <w:kern w:val="0"/>
                <w:szCs w:val="21"/>
                <w:lang w:bidi="ar"/>
              </w:rPr>
              <w:t>4.符合部门预算批复的用途；</w:t>
            </w:r>
          </w:p>
          <w:p>
            <w:pPr>
              <w:widowControl/>
              <w:spacing w:line="240" w:lineRule="exact"/>
              <w:jc w:val="left"/>
              <w:rPr>
                <w:szCs w:val="21"/>
              </w:rPr>
            </w:pPr>
            <w:r>
              <w:rPr>
                <w:rFonts w:ascii="仿宋_GB2312" w:hAnsi="新宋体" w:eastAsia="仿宋_GB2312" w:cs="仿宋_GB2312"/>
                <w:kern w:val="0"/>
                <w:szCs w:val="21"/>
                <w:lang w:bidi="ar"/>
              </w:rPr>
              <w:t>5.不存在截留情况；</w:t>
            </w:r>
          </w:p>
          <w:p>
            <w:pPr>
              <w:widowControl/>
              <w:spacing w:line="240" w:lineRule="exact"/>
              <w:jc w:val="left"/>
              <w:rPr>
                <w:szCs w:val="21"/>
              </w:rPr>
            </w:pPr>
            <w:r>
              <w:rPr>
                <w:rFonts w:ascii="仿宋_GB2312" w:hAnsi="新宋体" w:eastAsia="仿宋_GB2312" w:cs="仿宋_GB2312"/>
                <w:kern w:val="0"/>
                <w:szCs w:val="21"/>
                <w:lang w:bidi="ar"/>
              </w:rPr>
              <w:t>6.不存在挤占情况；</w:t>
            </w:r>
          </w:p>
          <w:p>
            <w:pPr>
              <w:widowControl/>
              <w:spacing w:line="240" w:lineRule="exact"/>
              <w:jc w:val="left"/>
              <w:rPr>
                <w:szCs w:val="21"/>
              </w:rPr>
            </w:pPr>
            <w:r>
              <w:rPr>
                <w:rFonts w:ascii="仿宋_GB2312" w:hAnsi="新宋体" w:eastAsia="仿宋_GB2312" w:cs="仿宋_GB2312"/>
                <w:kern w:val="0"/>
                <w:szCs w:val="21"/>
                <w:lang w:bidi="ar"/>
              </w:rPr>
              <w:t>7.不存在挪用情况；</w:t>
            </w:r>
          </w:p>
          <w:p>
            <w:pPr>
              <w:widowControl/>
              <w:spacing w:line="240" w:lineRule="exact"/>
              <w:jc w:val="left"/>
              <w:rPr>
                <w:szCs w:val="21"/>
              </w:rPr>
            </w:pPr>
            <w:r>
              <w:rPr>
                <w:rFonts w:ascii="仿宋_GB2312" w:hAnsi="新宋体" w:eastAsia="仿宋_GB2312" w:cs="仿宋_GB2312"/>
                <w:kern w:val="0"/>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全部符合（8）；</w:t>
            </w:r>
          </w:p>
          <w:p>
            <w:pPr>
              <w:widowControl/>
              <w:spacing w:line="240" w:lineRule="exact"/>
              <w:jc w:val="left"/>
              <w:rPr>
                <w:szCs w:val="21"/>
              </w:rPr>
            </w:pPr>
            <w:r>
              <w:rPr>
                <w:rFonts w:ascii="仿宋_GB2312" w:hAnsi="新宋体" w:eastAsia="仿宋_GB2312" w:cs="仿宋_GB2312"/>
                <w:kern w:val="0"/>
                <w:szCs w:val="21"/>
                <w:lang w:bidi="ar"/>
              </w:rPr>
              <w:t>符合其中七项（6）；</w:t>
            </w:r>
          </w:p>
          <w:p>
            <w:pPr>
              <w:widowControl/>
              <w:spacing w:line="240" w:lineRule="exact"/>
              <w:jc w:val="left"/>
              <w:rPr>
                <w:szCs w:val="21"/>
              </w:rPr>
            </w:pPr>
            <w:r>
              <w:rPr>
                <w:rFonts w:ascii="仿宋_GB2312" w:hAnsi="新宋体" w:eastAsia="仿宋_GB2312" w:cs="仿宋_GB2312"/>
                <w:kern w:val="0"/>
                <w:szCs w:val="21"/>
                <w:lang w:bidi="ar"/>
              </w:rPr>
              <w:t>符合其中六项（4）；</w:t>
            </w:r>
          </w:p>
          <w:p>
            <w:pPr>
              <w:widowControl/>
              <w:spacing w:line="240" w:lineRule="exact"/>
              <w:jc w:val="left"/>
              <w:rPr>
                <w:szCs w:val="21"/>
              </w:rPr>
            </w:pPr>
            <w:r>
              <w:rPr>
                <w:rFonts w:ascii="仿宋_GB2312" w:hAnsi="新宋体" w:eastAsia="仿宋_GB2312" w:cs="仿宋_GB2312"/>
                <w:kern w:val="0"/>
                <w:szCs w:val="21"/>
                <w:lang w:bidi="ar"/>
              </w:rPr>
              <w:t>符合其中五项（2）；</w:t>
            </w:r>
          </w:p>
          <w:p>
            <w:pPr>
              <w:widowControl/>
              <w:spacing w:line="240" w:lineRule="exact"/>
              <w:jc w:val="left"/>
              <w:rPr>
                <w:szCs w:val="21"/>
              </w:rPr>
            </w:pPr>
            <w:r>
              <w:rPr>
                <w:rFonts w:ascii="仿宋_GB2312" w:hAnsi="新宋体" w:eastAsia="仿宋_GB2312" w:cs="仿宋_GB2312"/>
                <w:kern w:val="0"/>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预决算信息公开性（3</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lang w:bidi="ar"/>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1.公开预决算信息；</w:t>
            </w:r>
          </w:p>
          <w:p>
            <w:pPr>
              <w:widowControl/>
              <w:spacing w:line="240" w:lineRule="exact"/>
              <w:jc w:val="left"/>
              <w:rPr>
                <w:szCs w:val="21"/>
              </w:rPr>
            </w:pPr>
            <w:r>
              <w:rPr>
                <w:rFonts w:ascii="仿宋_GB2312" w:hAnsi="新宋体" w:eastAsia="仿宋_GB2312" w:cs="仿宋_GB2312"/>
                <w:kern w:val="0"/>
                <w:szCs w:val="21"/>
                <w:lang w:bidi="ar"/>
              </w:rPr>
              <w:t>2.按规定内容公开预决算信息；</w:t>
            </w:r>
          </w:p>
          <w:p>
            <w:pPr>
              <w:widowControl/>
              <w:spacing w:line="240" w:lineRule="exact"/>
              <w:jc w:val="left"/>
              <w:rPr>
                <w:szCs w:val="21"/>
              </w:rPr>
            </w:pPr>
            <w:r>
              <w:rPr>
                <w:rFonts w:ascii="仿宋_GB2312" w:hAnsi="新宋体" w:eastAsia="仿宋_GB2312" w:cs="仿宋_GB2312"/>
                <w:kern w:val="0"/>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全部符合（3）；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lang w:bidi="ar"/>
              </w:rPr>
              <w:t>基础信息完善性</w:t>
            </w:r>
            <w:r>
              <w:rPr>
                <w:rFonts w:ascii="仿宋_GB2312" w:hAnsi="新宋体" w:eastAsia="仿宋_GB2312" w:cs="仿宋_GB2312"/>
                <w:kern w:val="0"/>
                <w:szCs w:val="21"/>
                <w:lang w:bidi="ar"/>
              </w:rPr>
              <w:t>（4</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1.基本财务管理制度健全；</w:t>
            </w:r>
          </w:p>
          <w:p>
            <w:pPr>
              <w:widowControl/>
              <w:spacing w:line="240" w:lineRule="exact"/>
              <w:jc w:val="left"/>
              <w:rPr>
                <w:szCs w:val="21"/>
              </w:rPr>
            </w:pPr>
            <w:r>
              <w:rPr>
                <w:rFonts w:ascii="仿宋_GB2312" w:hAnsi="新宋体" w:eastAsia="仿宋_GB2312" w:cs="仿宋_GB2312"/>
                <w:kern w:val="0"/>
                <w:szCs w:val="21"/>
                <w:lang w:bidi="ar"/>
              </w:rPr>
              <w:t>2.基础数据信息和会计信息资料真实；</w:t>
            </w:r>
          </w:p>
          <w:p>
            <w:pPr>
              <w:widowControl/>
              <w:spacing w:line="240" w:lineRule="exact"/>
              <w:jc w:val="left"/>
              <w:rPr>
                <w:szCs w:val="21"/>
              </w:rPr>
            </w:pPr>
            <w:r>
              <w:rPr>
                <w:rFonts w:ascii="仿宋_GB2312" w:hAnsi="新宋体" w:eastAsia="仿宋_GB2312" w:cs="仿宋_GB2312"/>
                <w:kern w:val="0"/>
                <w:szCs w:val="21"/>
                <w:lang w:bidi="ar"/>
              </w:rPr>
              <w:t>3.基础数据信息和会计信息资料完整；</w:t>
            </w:r>
          </w:p>
          <w:p>
            <w:pPr>
              <w:widowControl/>
              <w:spacing w:line="240" w:lineRule="exact"/>
              <w:jc w:val="left"/>
              <w:rPr>
                <w:szCs w:val="21"/>
              </w:rPr>
            </w:pPr>
            <w:r>
              <w:rPr>
                <w:rFonts w:ascii="仿宋_GB2312" w:hAnsi="新宋体" w:eastAsia="仿宋_GB2312" w:cs="仿宋_GB2312"/>
                <w:kern w:val="0"/>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符合全部四项（4）；</w:t>
            </w:r>
          </w:p>
          <w:p>
            <w:pPr>
              <w:widowControl/>
              <w:spacing w:line="240" w:lineRule="exact"/>
              <w:jc w:val="left"/>
              <w:rPr>
                <w:szCs w:val="21"/>
              </w:rPr>
            </w:pPr>
            <w:r>
              <w:rPr>
                <w:rFonts w:ascii="仿宋_GB2312" w:hAnsi="新宋体" w:eastAsia="仿宋_GB2312" w:cs="仿宋_GB2312"/>
                <w:kern w:val="0"/>
                <w:szCs w:val="21"/>
                <w:lang w:bidi="ar"/>
              </w:rPr>
              <w:t>符合其中三项（2）；</w:t>
            </w:r>
          </w:p>
          <w:p>
            <w:pPr>
              <w:widowControl/>
              <w:spacing w:line="240" w:lineRule="exact"/>
              <w:jc w:val="left"/>
              <w:rPr>
                <w:szCs w:val="21"/>
              </w:rPr>
            </w:pPr>
            <w:r>
              <w:rPr>
                <w:rFonts w:ascii="仿宋_GB2312" w:hAnsi="新宋体" w:eastAsia="仿宋_GB2312" w:cs="仿宋_GB2312"/>
                <w:kern w:val="0"/>
                <w:szCs w:val="21"/>
                <w:lang w:bidi="ar"/>
              </w:rPr>
              <w:t>符合其中两项（1）；</w:t>
            </w:r>
          </w:p>
          <w:p>
            <w:pPr>
              <w:widowControl/>
              <w:spacing w:line="240" w:lineRule="exact"/>
              <w:jc w:val="left"/>
              <w:rPr>
                <w:szCs w:val="21"/>
              </w:rPr>
            </w:pPr>
            <w:r>
              <w:rPr>
                <w:rFonts w:ascii="仿宋_GB2312" w:hAnsi="新宋体" w:eastAsia="仿宋_GB2312" w:cs="仿宋_GB2312"/>
                <w:kern w:val="0"/>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资产管理完整性（</w:t>
            </w:r>
            <w:r>
              <w:rPr>
                <w:rFonts w:hint="eastAsia" w:ascii="仿宋_GB2312" w:hAnsi="新宋体" w:eastAsia="仿宋_GB2312" w:cs="仿宋_GB2312"/>
                <w:kern w:val="0"/>
                <w:szCs w:val="21"/>
                <w:lang w:bidi="ar"/>
              </w:rPr>
              <w:t>2分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lang w:bidi="ar"/>
              </w:rPr>
              <w:t>评价要点：</w:t>
            </w:r>
          </w:p>
          <w:p>
            <w:pPr>
              <w:widowControl/>
              <w:spacing w:line="240" w:lineRule="exact"/>
              <w:jc w:val="left"/>
              <w:rPr>
                <w:szCs w:val="21"/>
              </w:rPr>
            </w:pPr>
            <w:r>
              <w:rPr>
                <w:rFonts w:ascii="仿宋_GB2312" w:hAnsi="新宋体" w:eastAsia="仿宋_GB2312" w:cs="仿宋_GB2312"/>
                <w:kern w:val="0"/>
                <w:szCs w:val="21"/>
                <w:lang w:bidi="ar"/>
              </w:rPr>
              <w:t>1.资产保存完整；</w:t>
            </w:r>
          </w:p>
          <w:p>
            <w:pPr>
              <w:widowControl/>
              <w:spacing w:line="240" w:lineRule="exact"/>
              <w:jc w:val="left"/>
              <w:rPr>
                <w:szCs w:val="21"/>
              </w:rPr>
            </w:pPr>
            <w:r>
              <w:rPr>
                <w:rFonts w:ascii="仿宋_GB2312" w:hAnsi="新宋体" w:eastAsia="仿宋_GB2312" w:cs="仿宋_GB2312"/>
                <w:kern w:val="0"/>
                <w:szCs w:val="21"/>
                <w:lang w:bidi="ar"/>
              </w:rPr>
              <w:t>2.资产账务管理是否合规，</w:t>
            </w:r>
            <w:r>
              <w:rPr>
                <w:rFonts w:hint="eastAsia" w:ascii="仿宋_GB2312" w:hAnsi="新宋体" w:eastAsia="仿宋_GB2312" w:cs="仿宋_GB2312"/>
                <w:kern w:val="0"/>
                <w:szCs w:val="21"/>
                <w:lang w:eastAsia="zh-CN" w:bidi="ar"/>
              </w:rPr>
              <w:t>账</w:t>
            </w:r>
            <w:r>
              <w:rPr>
                <w:rFonts w:ascii="仿宋_GB2312" w:hAnsi="新宋体" w:eastAsia="仿宋_GB2312" w:cs="仿宋_GB2312"/>
                <w:kern w:val="0"/>
                <w:szCs w:val="21"/>
                <w:lang w:bidi="ar"/>
              </w:rPr>
              <w:t>实相符；</w:t>
            </w:r>
          </w:p>
          <w:p>
            <w:pPr>
              <w:widowControl/>
              <w:spacing w:line="240" w:lineRule="exact"/>
              <w:jc w:val="left"/>
              <w:rPr>
                <w:szCs w:val="21"/>
              </w:rPr>
            </w:pPr>
            <w:r>
              <w:rPr>
                <w:rFonts w:ascii="仿宋_GB2312" w:hAnsi="新宋体" w:eastAsia="仿宋_GB2312" w:cs="仿宋_GB2312"/>
                <w:kern w:val="0"/>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符合全部三项（3）；</w:t>
            </w:r>
          </w:p>
          <w:p>
            <w:pPr>
              <w:widowControl/>
              <w:spacing w:line="240" w:lineRule="exact"/>
              <w:jc w:val="left"/>
              <w:rPr>
                <w:szCs w:val="21"/>
              </w:rPr>
            </w:pPr>
            <w:r>
              <w:rPr>
                <w:rFonts w:ascii="仿宋_GB2312" w:hAnsi="新宋体" w:eastAsia="仿宋_GB2312" w:cs="仿宋_GB2312"/>
                <w:kern w:val="0"/>
                <w:szCs w:val="21"/>
                <w:lang w:bidi="ar"/>
              </w:rPr>
              <w:t>符合其中两项（2）；</w:t>
            </w:r>
          </w:p>
          <w:p>
            <w:pPr>
              <w:widowControl/>
              <w:spacing w:line="240" w:lineRule="exact"/>
              <w:jc w:val="left"/>
              <w:rPr>
                <w:szCs w:val="21"/>
              </w:rPr>
            </w:pPr>
            <w:r>
              <w:rPr>
                <w:rFonts w:ascii="仿宋_GB2312" w:hAnsi="新宋体" w:eastAsia="仿宋_GB2312" w:cs="仿宋_GB2312"/>
                <w:kern w:val="0"/>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固定资产利用率（</w:t>
            </w:r>
            <w:r>
              <w:rPr>
                <w:rFonts w:hint="eastAsia" w:ascii="仿宋_GB2312" w:hAnsi="新宋体" w:eastAsia="仿宋_GB2312" w:cs="仿宋_GB2312"/>
                <w:kern w:val="0"/>
                <w:szCs w:val="21"/>
                <w:lang w:bidi="ar"/>
              </w:rPr>
              <w:t>3分</w:t>
            </w:r>
            <w:r>
              <w:rPr>
                <w:rFonts w:ascii="仿宋_GB2312" w:hAnsi="新宋体" w:eastAsia="仿宋_GB2312" w:cs="仿宋_GB2312"/>
                <w:kern w:val="0"/>
                <w:szCs w:val="21"/>
                <w:lang w:bidi="ar"/>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产出(2</w:t>
            </w:r>
            <w:r>
              <w:rPr>
                <w:rFonts w:hint="eastAsia" w:ascii="仿宋_GB2312" w:hAnsi="新宋体" w:eastAsia="仿宋_GB2312" w:cs="仿宋_GB2312"/>
                <w:kern w:val="0"/>
                <w:szCs w:val="21"/>
                <w:lang w:bidi="ar"/>
              </w:rPr>
              <w:t>5分</w:t>
            </w:r>
            <w:r>
              <w:rPr>
                <w:rFonts w:ascii="仿宋_GB2312" w:hAnsi="新宋体" w:eastAsia="仿宋_GB2312" w:cs="仿宋_GB2312"/>
                <w:kern w:val="0"/>
                <w:szCs w:val="21"/>
                <w:lang w:bidi="ar"/>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职责履行</w:t>
            </w:r>
            <w:r>
              <w:rPr>
                <w:rFonts w:hint="eastAsia" w:ascii="仿宋_GB2312" w:hAnsi="新宋体" w:eastAsia="仿宋_GB2312" w:cs="仿宋_GB2312"/>
                <w:kern w:val="0"/>
                <w:szCs w:val="21"/>
                <w:lang w:bidi="ar"/>
              </w:rPr>
              <w:t>情况</w:t>
            </w:r>
            <w:r>
              <w:rPr>
                <w:rFonts w:ascii="仿宋_GB2312" w:hAnsi="新宋体" w:eastAsia="仿宋_GB2312" w:cs="仿宋_GB2312"/>
                <w:kern w:val="0"/>
                <w:szCs w:val="21"/>
                <w:lang w:bidi="ar"/>
              </w:rPr>
              <w:t>（2</w:t>
            </w:r>
            <w:r>
              <w:rPr>
                <w:rFonts w:hint="eastAsia" w:ascii="仿宋_GB2312" w:hAnsi="新宋体" w:eastAsia="仿宋_GB2312" w:cs="仿宋_GB2312"/>
                <w:kern w:val="0"/>
                <w:szCs w:val="21"/>
                <w:lang w:bidi="ar"/>
              </w:rPr>
              <w:t>5</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履职完成情况</w:t>
            </w: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10分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根据年度主要任务分解表</w:t>
            </w:r>
            <w:r>
              <w:rPr>
                <w:rFonts w:hint="eastAsia" w:ascii="仿宋" w:hAnsi="仿宋" w:eastAsia="仿宋" w:cs="仿宋"/>
                <w:color w:val="000000"/>
                <w:kern w:val="0"/>
                <w:szCs w:val="21"/>
                <w:lang w:eastAsia="zh-CN" w:bidi="ar"/>
              </w:rPr>
              <w:t>的</w:t>
            </w:r>
            <w:r>
              <w:rPr>
                <w:rFonts w:hint="eastAsia" w:ascii="仿宋" w:hAnsi="仿宋" w:eastAsia="仿宋" w:cs="仿宋"/>
                <w:color w:val="000000"/>
                <w:kern w:val="0"/>
                <w:szCs w:val="21"/>
                <w:lang w:bidi="ar"/>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1.每项任务是否已制定了明确、具体、可量化、可衡量的绩效指标；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2.每项任务绩效指标的完成情况，是全部完成、基本完成、未完成，还是未实施；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3.每项任务实施效果情况，是优秀、良好、一般，还是无效果；</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项目</w:t>
            </w:r>
            <w:r>
              <w:rPr>
                <w:rFonts w:hint="eastAsia" w:ascii="仿宋_GB2312" w:hAnsi="新宋体" w:eastAsia="仿宋_GB2312" w:cs="仿宋_GB2312"/>
                <w:kern w:val="0"/>
                <w:szCs w:val="21"/>
                <w:lang w:bidi="ar"/>
              </w:rPr>
              <w:t>完成</w:t>
            </w:r>
            <w:r>
              <w:rPr>
                <w:rFonts w:ascii="仿宋_GB2312" w:hAnsi="新宋体" w:eastAsia="仿宋_GB2312" w:cs="仿宋_GB2312"/>
                <w:kern w:val="0"/>
                <w:szCs w:val="21"/>
                <w:lang w:bidi="ar"/>
              </w:rPr>
              <w:t>质量达标率（</w:t>
            </w:r>
            <w:r>
              <w:rPr>
                <w:rFonts w:hint="eastAsia" w:ascii="仿宋_GB2312" w:hAnsi="新宋体" w:eastAsia="仿宋_GB2312" w:cs="仿宋_GB2312"/>
                <w:kern w:val="0"/>
                <w:szCs w:val="21"/>
                <w:lang w:bidi="ar"/>
              </w:rPr>
              <w:t>15</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lang w:bidi="ar"/>
              </w:rPr>
              <w:t>效果（</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p>
            <w:pPr>
              <w:widowControl/>
              <w:spacing w:line="240" w:lineRule="exact"/>
              <w:jc w:val="left"/>
              <w:rPr>
                <w:rFonts w:ascii="仿宋_GB2312" w:hAnsi="新宋体" w:eastAsia="仿宋_GB2312" w:cs="仿宋_GB2312"/>
                <w:kern w:val="0"/>
                <w:szCs w:val="21"/>
                <w:lang w:bidi="ar"/>
              </w:rPr>
            </w:pPr>
            <w:r>
              <w:rPr>
                <w:rFonts w:hint="eastAsia" w:ascii="仿宋_GB2312" w:hAnsi="新宋体" w:eastAsia="仿宋_GB2312" w:cs="仿宋_GB2312"/>
                <w:kern w:val="0"/>
                <w:szCs w:val="21"/>
                <w:lang w:bidi="ar"/>
              </w:rPr>
              <w:t>履职效益情况</w:t>
            </w:r>
          </w:p>
          <w:p>
            <w:pPr>
              <w:widowControl/>
              <w:spacing w:line="240" w:lineRule="exact"/>
              <w:jc w:val="left"/>
              <w:rPr>
                <w:rFonts w:ascii="仿宋_GB2312" w:hAnsi="新宋体" w:eastAsia="仿宋_GB2312" w:cs="仿宋_GB2312"/>
                <w:kern w:val="0"/>
                <w:szCs w:val="21"/>
                <w:lang w:bidi="ar"/>
              </w:rPr>
            </w:pPr>
            <w:r>
              <w:rPr>
                <w:rFonts w:ascii="仿宋_GB2312" w:hAnsi="新宋体" w:eastAsia="仿宋_GB2312" w:cs="仿宋_GB2312"/>
                <w:kern w:val="0"/>
                <w:szCs w:val="21"/>
                <w:lang w:bidi="ar"/>
              </w:rPr>
              <w:t>（</w:t>
            </w:r>
            <w:r>
              <w:rPr>
                <w:rFonts w:hint="eastAsia" w:ascii="仿宋_GB2312" w:hAnsi="新宋体" w:eastAsia="仿宋_GB2312" w:cs="仿宋_GB2312"/>
                <w:kern w:val="0"/>
                <w:szCs w:val="21"/>
                <w:lang w:bidi="ar"/>
              </w:rPr>
              <w:t>2</w:t>
            </w:r>
            <w:r>
              <w:rPr>
                <w:rFonts w:ascii="仿宋_GB2312" w:hAnsi="新宋体" w:eastAsia="仿宋_GB2312" w:cs="仿宋_GB2312"/>
                <w:kern w:val="0"/>
                <w:szCs w:val="21"/>
                <w:lang w:bidi="ar"/>
              </w:rPr>
              <w:t>0</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lang w:bidi="ar"/>
              </w:rPr>
              <w:t>经济效益</w:t>
            </w:r>
            <w:r>
              <w:rPr>
                <w:rFonts w:ascii="仿宋_GB2312" w:hAnsi="新宋体" w:eastAsia="仿宋_GB2312" w:cs="仿宋_GB2312"/>
                <w:kern w:val="0"/>
                <w:szCs w:val="21"/>
                <w:lang w:bidi="ar"/>
              </w:rPr>
              <w:t>（5</w:t>
            </w:r>
            <w:r>
              <w:rPr>
                <w:rFonts w:hint="eastAsia" w:ascii="仿宋_GB2312" w:hAnsi="新宋体" w:eastAsia="仿宋_GB2312" w:cs="仿宋_GB2312"/>
                <w:kern w:val="0"/>
                <w:szCs w:val="21"/>
                <w:lang w:bidi="ar"/>
              </w:rPr>
              <w:t>分</w:t>
            </w:r>
            <w:r>
              <w:rPr>
                <w:rFonts w:ascii="仿宋_GB2312" w:hAnsi="新宋体" w:eastAsia="仿宋_GB2312" w:cs="仿宋_GB2312"/>
                <w:kern w:val="0"/>
                <w:szCs w:val="21"/>
                <w:lang w:bidi="ar"/>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1.通过部门所属企事业单位改革，促进了企事业单位效益增长情况；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2.通过预算支出项目的实施，促进了行业生产能力增长，从而带动行业经济效益增长；</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3.通过预算支出项目的实施，有效提高劳动效率，节约成本费用；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4.通过预算支出项目的实施，降低了损耗，从而提高了生产效益；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1.通过部门所属企事业单位的改革，促进了企事业单位可持续发展，带动就业增长情况；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2.通过预算支出项目的实施，是否明显促进了行业精神文明建设；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3.通过部门履职是否明显提高城乡居民生活水平，满足了人们日益增长的物质与文化生活需求；</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4.通过预算项目的实施，是否提高了劳动生产率，降低了劳动强度，促进了劳动人民的身心健康；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lang w:bidi="ar"/>
              </w:rPr>
            </w:pPr>
            <w:r>
              <w:rPr>
                <w:rFonts w:hint="eastAsia" w:ascii="仿宋_GB2312" w:hAnsi="新宋体" w:eastAsia="仿宋_GB2312" w:cs="仿宋_GB2312"/>
                <w:color w:val="000000"/>
                <w:kern w:val="0"/>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评价要点：</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2.通过履职有效地控制虚假、伪劣、霉变等劣质产品进入市场，影响了人民生活质量，净化地市场环境；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3.通过预算支出项目的实施，是否达到减少污染物排放；</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lang w:bidi="ar"/>
              </w:rPr>
              <w:t>服务对象</w:t>
            </w:r>
            <w:r>
              <w:rPr>
                <w:rFonts w:ascii="仿宋_GB2312" w:hAnsi="新宋体" w:eastAsia="仿宋_GB2312" w:cs="仿宋_GB2312"/>
                <w:kern w:val="0"/>
                <w:szCs w:val="21"/>
                <w:lang w:bidi="ar"/>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eastAsiaTheme="minorEastAsia"/>
                <w:szCs w:val="21"/>
                <w:lang w:val="en-US" w:eastAsia="zh-CN"/>
              </w:rPr>
            </w:pPr>
            <w:r>
              <w:rPr>
                <w:rFonts w:hint="eastAsia"/>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eastAsiaTheme="minorEastAsia"/>
                <w:szCs w:val="21"/>
                <w:lang w:val="en-US" w:eastAsia="zh-CN"/>
              </w:rPr>
            </w:pPr>
            <w:r>
              <w:rPr>
                <w:rFonts w:hint="eastAsia" w:ascii="宋体"/>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新宋体" w:eastAsia="仿宋_GB2312" w:cs="仿宋_GB2312"/>
                <w:kern w:val="0"/>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新宋体" w:eastAsia="仿宋_GB2312" w:cs="仿宋_GB2312"/>
                <w:kern w:val="0"/>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Arial"/>
                <w:kern w:val="0"/>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eastAsiaTheme="minorEastAsia"/>
                <w:szCs w:val="21"/>
                <w:lang w:val="en-US" w:eastAsia="zh-CN"/>
              </w:rPr>
            </w:pPr>
            <w:r>
              <w:rPr>
                <w:rFonts w:hint="eastAsia"/>
                <w:szCs w:val="21"/>
                <w:lang w:val="en-US" w:eastAsia="zh-CN"/>
              </w:rPr>
              <w:t>98</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3A31320"/>
    <w:rsid w:val="05374814"/>
    <w:rsid w:val="08C505E3"/>
    <w:rsid w:val="0C8F0285"/>
    <w:rsid w:val="0F8F6BFC"/>
    <w:rsid w:val="107166F3"/>
    <w:rsid w:val="1C841DE7"/>
    <w:rsid w:val="3791647A"/>
    <w:rsid w:val="455969D8"/>
    <w:rsid w:val="48725571"/>
    <w:rsid w:val="4BDB04ED"/>
    <w:rsid w:val="4D2E0FD4"/>
    <w:rsid w:val="526A3656"/>
    <w:rsid w:val="53CD5365"/>
    <w:rsid w:val="5D643D56"/>
    <w:rsid w:val="64283056"/>
    <w:rsid w:val="69BD0A47"/>
    <w:rsid w:val="71A911C9"/>
    <w:rsid w:val="7793669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795</Words>
  <Characters>4535</Characters>
  <Lines>37</Lines>
  <Paragraphs>10</Paragraphs>
  <TotalTime>13</TotalTime>
  <ScaleCrop>false</ScaleCrop>
  <LinksUpToDate>false</LinksUpToDate>
  <CharactersWithSpaces>5320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不二臣</cp:lastModifiedBy>
  <cp:lastPrinted>2018-11-29T03:23:00Z</cp:lastPrinted>
  <dcterms:modified xsi:type="dcterms:W3CDTF">2024-04-10T08:30:08Z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C24EFFDBAF564C4E8F4784BDF8A10C3D</vt:lpwstr>
  </property>
</Properties>
</file>